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ind w:left="0" w:leftChars="0" w:firstLine="0" w:firstLineChars="0"/>
        <w:rPr>
          <w:rFonts w:hint="eastAsia"/>
          <w:lang w:val="en-US" w:eastAsia="zh-CN"/>
        </w:rPr>
      </w:pPr>
    </w:p>
    <w:p>
      <w:pPr>
        <w:widowControl/>
        <w:kinsoku w:val="0"/>
        <w:autoSpaceDE w:val="0"/>
        <w:autoSpaceDN w:val="0"/>
        <w:adjustRightInd w:val="0"/>
        <w:snapToGrid w:val="0"/>
        <w:spacing w:before="140" w:line="223" w:lineRule="auto"/>
        <w:jc w:val="center"/>
        <w:textAlignment w:val="baseline"/>
        <w:rPr>
          <w:rFonts w:hint="eastAsia" w:ascii="宋体" w:hAnsi="宋体" w:eastAsia="宋体" w:cs="宋体"/>
          <w:snapToGrid w:val="0"/>
          <w:color w:val="000000"/>
          <w:spacing w:val="8"/>
          <w:kern w:val="0"/>
          <w:sz w:val="43"/>
          <w:szCs w:val="43"/>
        </w:rPr>
      </w:pPr>
      <w:r>
        <w:rPr>
          <w:rFonts w:hint="eastAsia" w:ascii="宋体" w:hAnsi="宋体" w:eastAsia="宋体" w:cs="宋体"/>
          <w:snapToGrid w:val="0"/>
          <w:color w:val="000000"/>
          <w:spacing w:val="8"/>
          <w:kern w:val="0"/>
          <w:sz w:val="43"/>
          <w:szCs w:val="43"/>
        </w:rPr>
        <w:t>温县陈家沟景区亮化项目竞争性磋商文件</w:t>
      </w:r>
    </w:p>
    <w:p>
      <w:pPr>
        <w:spacing w:line="560" w:lineRule="exact"/>
        <w:jc w:val="center"/>
        <w:rPr>
          <w:rFonts w:hint="eastAsia" w:ascii="宋体" w:hAnsi="宋体" w:eastAsia="宋体" w:cs="宋体"/>
          <w:b/>
          <w:bCs/>
          <w:color w:val="auto"/>
          <w:sz w:val="28"/>
          <w:szCs w:val="28"/>
          <w:highlight w:val="none"/>
          <w:lang w:val="en-US" w:eastAsia="zh-CN"/>
        </w:rPr>
      </w:pPr>
    </w:p>
    <w:p>
      <w:pPr>
        <w:spacing w:line="296" w:lineRule="auto"/>
        <w:jc w:val="center"/>
        <w:rPr>
          <w:rFonts w:ascii="Arial"/>
          <w:sz w:val="21"/>
        </w:rPr>
      </w:pPr>
      <w:r>
        <w:rPr>
          <w:rFonts w:hint="eastAsia" w:ascii="Arial"/>
        </w:rPr>
        <w:drawing>
          <wp:inline distT="0" distB="0" distL="114300" distR="114300">
            <wp:extent cx="3448050" cy="2619375"/>
            <wp:effectExtent l="0" t="0" r="0" b="9525"/>
            <wp:docPr id="1" name="图片 1" descr="c609534f320e2ea933568b241d999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09534f320e2ea933568b241d999b9"/>
                    <pic:cNvPicPr>
                      <a:picLocks noChangeAspect="1"/>
                    </pic:cNvPicPr>
                  </pic:nvPicPr>
                  <pic:blipFill>
                    <a:blip r:embed="rId12"/>
                    <a:stretch>
                      <a:fillRect/>
                    </a:stretch>
                  </pic:blipFill>
                  <pic:spPr>
                    <a:xfrm>
                      <a:off x="0" y="0"/>
                      <a:ext cx="3448050" cy="2619375"/>
                    </a:xfrm>
                    <a:prstGeom prst="rect">
                      <a:avLst/>
                    </a:prstGeom>
                    <a:noFill/>
                    <a:ln>
                      <a:noFill/>
                    </a:ln>
                  </pic:spPr>
                </pic:pic>
              </a:graphicData>
            </a:graphic>
          </wp:inline>
        </w:drawing>
      </w:r>
    </w:p>
    <w:p>
      <w:pPr>
        <w:spacing w:line="297" w:lineRule="auto"/>
        <w:rPr>
          <w:rFonts w:ascii="Arial"/>
          <w:sz w:val="21"/>
        </w:rPr>
      </w:pPr>
    </w:p>
    <w:p>
      <w:pPr>
        <w:spacing w:before="91" w:line="562" w:lineRule="exact"/>
        <w:ind w:firstLine="2448" w:firstLineChars="900"/>
        <w:rPr>
          <w:rFonts w:ascii="宋体" w:hAnsi="宋体" w:eastAsia="宋体" w:cs="宋体"/>
          <w:spacing w:val="-2"/>
          <w:sz w:val="28"/>
          <w:szCs w:val="28"/>
        </w:rPr>
      </w:pPr>
      <w:r>
        <w:rPr>
          <w:rFonts w:hint="eastAsia" w:ascii="宋体" w:hAnsi="宋体" w:cs="宋体"/>
          <w:spacing w:val="-4"/>
          <w:sz w:val="28"/>
          <w:szCs w:val="28"/>
          <w:lang w:eastAsia="zh-CN"/>
        </w:rPr>
        <w:t>项目</w:t>
      </w:r>
      <w:r>
        <w:rPr>
          <w:rFonts w:ascii="宋体" w:hAnsi="宋体" w:eastAsia="宋体" w:cs="宋体"/>
          <w:spacing w:val="-4"/>
          <w:sz w:val="28"/>
          <w:szCs w:val="28"/>
        </w:rPr>
        <w:t>编号</w:t>
      </w:r>
      <w:r>
        <w:rPr>
          <w:rFonts w:ascii="宋体" w:hAnsi="宋体" w:eastAsia="宋体" w:cs="宋体"/>
          <w:spacing w:val="-2"/>
          <w:sz w:val="28"/>
          <w:szCs w:val="28"/>
        </w:rPr>
        <w:t>：温交易</w:t>
      </w:r>
      <w:r>
        <w:rPr>
          <w:rFonts w:hint="eastAsia" w:ascii="宋体" w:hAnsi="宋体" w:eastAsia="宋体" w:cs="宋体"/>
          <w:spacing w:val="-2"/>
          <w:sz w:val="28"/>
          <w:szCs w:val="28"/>
          <w:lang w:val="en-US" w:eastAsia="zh-CN"/>
        </w:rPr>
        <w:t>【2023】</w:t>
      </w:r>
      <w:r>
        <w:rPr>
          <w:rFonts w:hint="eastAsia" w:ascii="宋体" w:hAnsi="宋体" w:cs="宋体"/>
          <w:spacing w:val="-2"/>
          <w:sz w:val="28"/>
          <w:szCs w:val="28"/>
          <w:lang w:val="en-US" w:eastAsia="zh-CN"/>
        </w:rPr>
        <w:t xml:space="preserve"> 100 </w:t>
      </w:r>
      <w:r>
        <w:rPr>
          <w:rFonts w:ascii="宋体" w:hAnsi="宋体" w:eastAsia="宋体" w:cs="宋体"/>
          <w:spacing w:val="-2"/>
          <w:sz w:val="28"/>
          <w:szCs w:val="28"/>
        </w:rPr>
        <w:t>号</w:t>
      </w:r>
    </w:p>
    <w:p>
      <w:pPr>
        <w:spacing w:before="91" w:line="562" w:lineRule="exact"/>
        <w:ind w:left="2441"/>
        <w:rPr>
          <w:rFonts w:ascii="宋体" w:hAnsi="宋体" w:eastAsia="宋体" w:cs="宋体"/>
          <w:sz w:val="28"/>
          <w:szCs w:val="28"/>
        </w:rPr>
      </w:pPr>
      <w:r>
        <w:rPr>
          <w:rFonts w:hint="eastAsia" w:ascii="宋体" w:hAnsi="宋体" w:cs="宋体"/>
          <w:spacing w:val="-4"/>
          <w:position w:val="21"/>
          <w:sz w:val="28"/>
          <w:szCs w:val="28"/>
          <w:lang w:eastAsia="zh-CN"/>
        </w:rPr>
        <w:t>采购</w:t>
      </w:r>
      <w:r>
        <w:rPr>
          <w:rFonts w:ascii="宋体" w:hAnsi="宋体" w:eastAsia="宋体" w:cs="宋体"/>
          <w:spacing w:val="-2"/>
          <w:position w:val="21"/>
          <w:sz w:val="28"/>
          <w:szCs w:val="28"/>
        </w:rPr>
        <w:t>编号：温政采</w:t>
      </w:r>
      <w:r>
        <w:rPr>
          <w:rFonts w:hint="eastAsia" w:ascii="宋体" w:hAnsi="宋体" w:eastAsia="宋体" w:cs="宋体"/>
          <w:spacing w:val="-2"/>
          <w:position w:val="21"/>
          <w:sz w:val="28"/>
          <w:szCs w:val="28"/>
          <w:lang w:eastAsia="zh-CN"/>
        </w:rPr>
        <w:t>【</w:t>
      </w:r>
      <w:r>
        <w:rPr>
          <w:rFonts w:hint="eastAsia" w:ascii="宋体" w:hAnsi="宋体" w:eastAsia="宋体" w:cs="宋体"/>
          <w:spacing w:val="-2"/>
          <w:position w:val="21"/>
          <w:sz w:val="28"/>
          <w:szCs w:val="28"/>
          <w:lang w:val="en-US" w:eastAsia="zh-CN"/>
        </w:rPr>
        <w:t>2023】</w:t>
      </w:r>
      <w:r>
        <w:rPr>
          <w:rFonts w:hint="eastAsia" w:ascii="宋体" w:hAnsi="宋体" w:cs="宋体"/>
          <w:spacing w:val="-2"/>
          <w:position w:val="21"/>
          <w:sz w:val="28"/>
          <w:szCs w:val="28"/>
          <w:lang w:val="en-US" w:eastAsia="zh-CN"/>
        </w:rPr>
        <w:t>11-41</w:t>
      </w:r>
      <w:r>
        <w:rPr>
          <w:rFonts w:ascii="宋体" w:hAnsi="宋体" w:eastAsia="宋体" w:cs="宋体"/>
          <w:spacing w:val="-2"/>
          <w:position w:val="21"/>
          <w:sz w:val="28"/>
          <w:szCs w:val="28"/>
        </w:rPr>
        <w:t>号</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
    <w:p>
      <w:pPr>
        <w:spacing w:line="219" w:lineRule="exact"/>
      </w:pPr>
    </w:p>
    <w:p>
      <w:pPr>
        <w:spacing w:line="360" w:lineRule="auto"/>
        <w:ind w:firstLine="1285" w:firstLineChars="400"/>
        <w:rPr>
          <w:rFonts w:hint="eastAsia" w:ascii="宋体" w:hAnsi="宋体"/>
          <w:b/>
          <w:color w:val="000000"/>
          <w:sz w:val="32"/>
          <w:szCs w:val="32"/>
          <w:lang w:eastAsia="zh-CN"/>
        </w:rPr>
      </w:pPr>
    </w:p>
    <w:p>
      <w:pPr>
        <w:spacing w:line="360" w:lineRule="auto"/>
        <w:ind w:firstLine="1285" w:firstLineChars="400"/>
        <w:rPr>
          <w:rFonts w:hint="eastAsia" w:ascii="宋体" w:hAnsi="宋体"/>
          <w:b/>
          <w:color w:val="000000"/>
          <w:sz w:val="32"/>
          <w:szCs w:val="32"/>
          <w:lang w:eastAsia="zh-CN"/>
        </w:rPr>
      </w:pPr>
      <w:r>
        <w:rPr>
          <w:rFonts w:hint="eastAsia" w:ascii="宋体" w:hAnsi="宋体"/>
          <w:b/>
          <w:color w:val="000000"/>
          <w:sz w:val="32"/>
          <w:szCs w:val="32"/>
          <w:lang w:eastAsia="zh-CN"/>
        </w:rPr>
        <w:t>采   购  人：温县陈家沟景区</w:t>
      </w:r>
      <w:r>
        <w:rPr>
          <w:rFonts w:hint="eastAsia" w:ascii="宋体" w:hAnsi="宋体"/>
          <w:b/>
          <w:color w:val="000000"/>
          <w:sz w:val="32"/>
          <w:szCs w:val="32"/>
          <w:lang w:val="en-US" w:eastAsia="zh-CN"/>
        </w:rPr>
        <w:t>发展中心</w:t>
      </w:r>
    </w:p>
    <w:p>
      <w:pPr>
        <w:spacing w:line="360" w:lineRule="auto"/>
        <w:ind w:firstLine="1179" w:firstLineChars="367"/>
        <w:rPr>
          <w:rFonts w:hint="eastAsia" w:ascii="宋体" w:hAnsi="宋体"/>
          <w:b/>
          <w:color w:val="000000"/>
          <w:sz w:val="32"/>
          <w:szCs w:val="32"/>
          <w:lang w:val="en-US" w:eastAsia="zh-CN"/>
        </w:rPr>
      </w:pPr>
      <w:r>
        <w:rPr>
          <w:rFonts w:hint="eastAsia" w:ascii="宋体" w:hAnsi="宋体"/>
          <w:b/>
          <w:color w:val="000000"/>
          <w:sz w:val="32"/>
          <w:szCs w:val="32"/>
          <w:lang w:eastAsia="zh-CN"/>
        </w:rPr>
        <w:t>采购代理机构：中昕国际项目管理有限公司</w:t>
      </w:r>
    </w:p>
    <w:p>
      <w:pPr>
        <w:spacing w:line="360" w:lineRule="auto"/>
        <w:ind w:firstLine="1179" w:firstLineChars="367"/>
        <w:rPr>
          <w:rFonts w:hint="eastAsia" w:ascii="宋体" w:hAnsi="宋体"/>
          <w:b/>
          <w:color w:val="000000"/>
          <w:sz w:val="32"/>
          <w:szCs w:val="32"/>
          <w:lang w:eastAsia="zh-CN"/>
        </w:rPr>
      </w:pPr>
      <w:r>
        <w:rPr>
          <w:rFonts w:hint="eastAsia" w:ascii="宋体" w:hAnsi="宋体"/>
          <w:b/>
          <w:color w:val="000000"/>
          <w:sz w:val="32"/>
          <w:szCs w:val="32"/>
          <w:lang w:eastAsia="zh-CN"/>
        </w:rPr>
        <w:t>日        期：二〇二三年</w:t>
      </w:r>
      <w:r>
        <w:rPr>
          <w:rFonts w:hint="eastAsia" w:ascii="宋体" w:hAnsi="宋体"/>
          <w:b/>
          <w:color w:val="000000"/>
          <w:sz w:val="32"/>
          <w:szCs w:val="32"/>
          <w:lang w:val="en-US" w:eastAsia="zh-CN"/>
        </w:rPr>
        <w:t>十一</w:t>
      </w:r>
      <w:r>
        <w:rPr>
          <w:rFonts w:hint="eastAsia" w:ascii="宋体" w:hAnsi="宋体"/>
          <w:b/>
          <w:color w:val="000000"/>
          <w:sz w:val="32"/>
          <w:szCs w:val="32"/>
          <w:lang w:eastAsia="zh-CN"/>
        </w:rPr>
        <w:t>月</w:t>
      </w:r>
    </w:p>
    <w:p>
      <w:pPr>
        <w:spacing w:line="560" w:lineRule="exact"/>
        <w:ind w:firstLine="2570" w:firstLineChars="800"/>
        <w:rPr>
          <w:rFonts w:hint="eastAsia" w:ascii="仿宋_GB2312" w:eastAsia="仿宋_GB2312"/>
          <w:b/>
          <w:color w:val="auto"/>
          <w:sz w:val="32"/>
          <w:szCs w:val="32"/>
          <w:highlight w:val="none"/>
        </w:rPr>
        <w:sectPr>
          <w:headerReference r:id="rId3" w:type="default"/>
          <w:pgSz w:w="11907" w:h="16840"/>
          <w:pgMar w:top="1440" w:right="1800" w:bottom="1440" w:left="1800" w:header="851" w:footer="992" w:gutter="0"/>
          <w:pgNumType w:fmt="decimal"/>
          <w:cols w:space="720" w:num="1"/>
          <w:rtlGutter w:val="0"/>
          <w:docGrid w:type="lines" w:linePitch="312" w:charSpace="0"/>
        </w:sectPr>
      </w:pPr>
    </w:p>
    <w:p>
      <w:pPr>
        <w:ind w:left="0" w:leftChars="0" w:firstLine="0" w:firstLineChars="0"/>
        <w:jc w:val="center"/>
        <w:rPr>
          <w:rFonts w:hint="eastAsia"/>
          <w:b/>
          <w:bCs/>
          <w:color w:val="auto"/>
          <w:highlight w:val="none"/>
        </w:rPr>
      </w:pP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政府采购合同融资政策</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为充分发挥政府采购合同资金支付有保障的优势，进一步优化我县营商环境，针对中小微企业融资难、融资贵问题，焦作市财政局联合有关部门推出了以政府采购合同预期支付能力为信用的融资政策。</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政府采购合同融资，是指参与政府采购并中标（成交）的中小微企业供应商，凭借政府采购合同向开展融资业务的服务机构申请融资贷款，融资服务机构以信贷政策为基础提供无抵押、免担保、低利率的融资产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政府采购项目中标（成交）的供应商，有融资意向的，</w:t>
      </w:r>
      <w:r>
        <w:rPr>
          <w:rFonts w:hint="eastAsia" w:ascii="宋体" w:hAnsi="宋体" w:cs="宋体"/>
          <w:color w:val="auto"/>
          <w:highlight w:val="none"/>
          <w:lang w:eastAsia="zh-CN"/>
        </w:rPr>
        <w:t>可登录</w:t>
      </w:r>
      <w:r>
        <w:rPr>
          <w:rFonts w:hint="eastAsia" w:ascii="宋体" w:hAnsi="宋体" w:eastAsia="宋体" w:cs="宋体"/>
          <w:color w:val="auto"/>
          <w:highlight w:val="none"/>
        </w:rPr>
        <w:t>“焦作市政府采购网”（网址：</w:t>
      </w:r>
      <w:r>
        <w:rPr>
          <w:rFonts w:hint="eastAsia" w:ascii="宋体" w:hAnsi="宋体" w:cs="宋体"/>
          <w:color w:val="auto"/>
          <w:highlight w:val="none"/>
          <w:lang w:eastAsia="zh-CN"/>
        </w:rPr>
        <w:t>http:</w:t>
      </w:r>
      <w:r>
        <w:rPr>
          <w:rFonts w:hint="eastAsia" w:ascii="宋体" w:hAnsi="宋体" w:eastAsia="宋体" w:cs="宋体"/>
          <w:color w:val="auto"/>
          <w:highlight w:val="none"/>
        </w:rPr>
        <w:t>jiaozuo.hng</w:t>
      </w:r>
      <w:r>
        <w:rPr>
          <w:rFonts w:hint="eastAsia" w:ascii="宋体" w:hAnsi="宋体" w:eastAsia="宋体" w:cs="宋体"/>
          <w:color w:val="auto"/>
          <w:highlight w:val="none"/>
          <w:lang w:val="en-US" w:eastAsia="zh-CN"/>
        </w:rPr>
        <w:t>p.</w:t>
      </w:r>
      <w:r>
        <w:rPr>
          <w:rFonts w:hint="eastAsia" w:ascii="宋体" w:hAnsi="宋体" w:eastAsia="宋体" w:cs="宋体"/>
          <w:color w:val="auto"/>
          <w:highlight w:val="none"/>
        </w:rPr>
        <w:t>gov.cn</w:t>
      </w:r>
      <w:r>
        <w:rPr>
          <w:rFonts w:hint="eastAsia" w:ascii="宋体" w:hAnsi="宋体" w:cs="宋体"/>
          <w:color w:val="auto"/>
          <w:highlight w:val="none"/>
          <w:lang w:eastAsia="zh-CN"/>
        </w:rPr>
        <w:t>）</w:t>
      </w:r>
      <w:r>
        <w:rPr>
          <w:rFonts w:hint="eastAsia" w:ascii="宋体" w:hAnsi="宋体" w:eastAsia="宋体" w:cs="宋体"/>
          <w:color w:val="auto"/>
          <w:highlight w:val="none"/>
        </w:rPr>
        <w:t>的政府采购合同融资平台，查看各融资服务机构的融资产品，同时可在线向融资服务机构申请贷款，融资服务机构按照程序向您提供便捷、高效、优惠的贷款服务。</w:t>
      </w:r>
    </w:p>
    <w:p>
      <w:pPr>
        <w:spacing w:line="340" w:lineRule="exact"/>
        <w:jc w:val="center"/>
        <w:rPr>
          <w:rFonts w:hint="eastAsia" w:ascii="宋体" w:hAnsi="宋体" w:cs="宋体"/>
          <w:b/>
          <w:color w:val="auto"/>
          <w:kern w:val="44"/>
          <w:sz w:val="30"/>
          <w:szCs w:val="30"/>
          <w:highlight w:val="none"/>
          <w:lang w:val="zh-CN"/>
        </w:rPr>
        <w:sectPr>
          <w:headerReference r:id="rId5" w:type="first"/>
          <w:footerReference r:id="rId7" w:type="first"/>
          <w:headerReference r:id="rId4" w:type="default"/>
          <w:footerReference r:id="rId6" w:type="default"/>
          <w:pgSz w:w="11906" w:h="16838"/>
          <w:pgMar w:top="1440" w:right="1669" w:bottom="1440" w:left="1417" w:header="851" w:footer="992" w:gutter="0"/>
          <w:pgNumType w:fmt="numberInDash"/>
          <w:cols w:space="720" w:num="1"/>
          <w:titlePg/>
          <w:docGrid w:type="lines" w:linePitch="312" w:charSpace="0"/>
        </w:sectPr>
      </w:pPr>
    </w:p>
    <w:p>
      <w:pPr>
        <w:jc w:val="center"/>
        <w:rPr>
          <w:lang w:val="en-US" w:eastAsia="zh-CN"/>
        </w:rPr>
      </w:pPr>
      <w:r>
        <w:rPr>
          <w:rFonts w:hint="eastAsia"/>
          <w:b/>
          <w:bCs/>
          <w:sz w:val="40"/>
          <w:szCs w:val="40"/>
          <w:lang w:val="zh-CN"/>
        </w:rPr>
        <w:t>目</w:t>
      </w:r>
      <w:r>
        <w:rPr>
          <w:b/>
          <w:bCs/>
          <w:sz w:val="40"/>
          <w:szCs w:val="40"/>
        </w:rPr>
        <w:t xml:space="preserve">  </w:t>
      </w:r>
      <w:r>
        <w:rPr>
          <w:rFonts w:hint="eastAsia"/>
          <w:b/>
          <w:bCs/>
          <w:sz w:val="40"/>
          <w:szCs w:val="40"/>
          <w:lang w:val="zh-CN"/>
        </w:rPr>
        <w:t>录</w:t>
      </w:r>
      <w:r>
        <w:fldChar w:fldCharType="begin"/>
      </w:r>
      <w:r>
        <w:instrText xml:space="preserve"> TOC \o "1-3" \h \z \u </w:instrText>
      </w:r>
      <w:r>
        <w:fldChar w:fldCharType="separate"/>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_Toc23886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竞争性磋商公告</w:t>
      </w:r>
      <w:r>
        <w:rPr>
          <w:rFonts w:hint="eastAsia" w:ascii="宋体" w:hAnsi="宋体" w:eastAsia="宋体" w:cs="宋体"/>
          <w:b/>
          <w:bCs/>
          <w:sz w:val="28"/>
          <w:szCs w:val="28"/>
        </w:rPr>
        <w:fldChar w:fldCharType="end"/>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_Toc3088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第二章 </w:t>
      </w: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供应商须知</w:t>
      </w:r>
      <w:r>
        <w:rPr>
          <w:rFonts w:hint="eastAsia" w:ascii="宋体" w:hAnsi="宋体" w:eastAsia="宋体" w:cs="宋体"/>
          <w:b/>
          <w:bCs/>
          <w:sz w:val="28"/>
          <w:szCs w:val="28"/>
        </w:rPr>
        <w:fldChar w:fldCharType="end"/>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_Toc5349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评标标准和评标方法</w:t>
      </w:r>
      <w:r>
        <w:rPr>
          <w:rFonts w:hint="eastAsia" w:ascii="宋体" w:hAnsi="宋体" w:eastAsia="宋体" w:cs="宋体"/>
          <w:b/>
          <w:bCs/>
          <w:sz w:val="28"/>
          <w:szCs w:val="28"/>
        </w:rPr>
        <w:fldChar w:fldCharType="end"/>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 xml:space="preserve">第四章 </w:t>
      </w:r>
      <w:r>
        <w:rPr>
          <w:rFonts w:hint="eastAsia" w:ascii="宋体" w:hAnsi="宋体" w:cs="宋体"/>
          <w:b/>
          <w:bCs/>
          <w:sz w:val="28"/>
          <w:szCs w:val="28"/>
          <w:lang w:val="en-US" w:eastAsia="zh-CN"/>
        </w:rPr>
        <w:t xml:space="preserve"> </w:t>
      </w:r>
      <w:r>
        <w:rPr>
          <w:rFonts w:hint="eastAsia" w:ascii="宋体" w:hAnsi="宋体" w:eastAsia="宋体" w:cs="宋体"/>
          <w:b/>
          <w:bCs/>
          <w:sz w:val="28"/>
          <w:szCs w:val="28"/>
          <w:lang w:val="en-US" w:eastAsia="zh-CN"/>
        </w:rPr>
        <w:t>采购需求及内容</w:t>
      </w:r>
      <w:r>
        <w:rPr>
          <w:rFonts w:hint="eastAsia" w:ascii="宋体" w:hAnsi="宋体" w:eastAsia="宋体" w:cs="宋体"/>
          <w:b/>
          <w:bCs/>
          <w:sz w:val="28"/>
          <w:szCs w:val="28"/>
        </w:rPr>
        <w:fldChar w:fldCharType="end"/>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_Toc16545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合同签订及条款</w:t>
      </w:r>
      <w:r>
        <w:rPr>
          <w:rFonts w:hint="eastAsia" w:ascii="宋体" w:hAnsi="宋体" w:eastAsia="宋体" w:cs="宋体"/>
          <w:b/>
          <w:bCs/>
          <w:sz w:val="28"/>
          <w:szCs w:val="28"/>
        </w:rPr>
        <w:fldChar w:fldCharType="end"/>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参考</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_Toc20502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响应</w:t>
      </w:r>
      <w:r>
        <w:rPr>
          <w:rFonts w:hint="eastAsia" w:ascii="宋体" w:hAnsi="宋体" w:eastAsia="宋体" w:cs="宋体"/>
          <w:b/>
          <w:bCs/>
          <w:sz w:val="28"/>
          <w:szCs w:val="28"/>
          <w:lang w:val="en-US" w:eastAsia="zh-CN"/>
        </w:rPr>
        <w:t>性</w:t>
      </w:r>
      <w:r>
        <w:rPr>
          <w:rFonts w:hint="eastAsia" w:ascii="宋体" w:hAnsi="宋体" w:eastAsia="宋体" w:cs="宋体"/>
          <w:b/>
          <w:bCs/>
          <w:sz w:val="28"/>
          <w:szCs w:val="28"/>
        </w:rPr>
        <w:t>文件</w:t>
      </w:r>
      <w:r>
        <w:rPr>
          <w:rFonts w:hint="eastAsia" w:ascii="宋体" w:hAnsi="宋体" w:eastAsia="宋体" w:cs="宋体"/>
          <w:b/>
          <w:bCs/>
          <w:sz w:val="28"/>
          <w:szCs w:val="28"/>
          <w:lang w:val="en-US" w:eastAsia="zh-CN"/>
        </w:rPr>
        <w:t>内容及</w:t>
      </w:r>
      <w:r>
        <w:rPr>
          <w:rFonts w:hint="eastAsia" w:ascii="宋体" w:hAnsi="宋体" w:eastAsia="宋体" w:cs="宋体"/>
          <w:b/>
          <w:bCs/>
          <w:sz w:val="28"/>
          <w:szCs w:val="28"/>
        </w:rPr>
        <w:t>格式</w:t>
      </w:r>
      <w:r>
        <w:rPr>
          <w:rFonts w:hint="eastAsia" w:ascii="宋体" w:hAnsi="宋体" w:eastAsia="宋体" w:cs="宋体"/>
          <w:b/>
          <w:bCs/>
          <w:sz w:val="28"/>
          <w:szCs w:val="28"/>
        </w:rPr>
        <w:fldChar w:fldCharType="end"/>
      </w:r>
    </w:p>
    <w:p>
      <w:pPr>
        <w:tabs>
          <w:tab w:val="left" w:pos="7671"/>
        </w:tabs>
        <w:rPr>
          <w:rFonts w:hint="eastAsia" w:eastAsia="宋体"/>
          <w:color w:val="auto"/>
          <w:highlight w:val="none"/>
          <w:lang w:eastAsia="zh-CN"/>
        </w:rPr>
      </w:pPr>
      <w:r>
        <w:fldChar w:fldCharType="end"/>
      </w:r>
      <w:r>
        <w:rPr>
          <w:rFonts w:hint="eastAsia"/>
          <w:color w:val="auto"/>
          <w:highlight w:val="none"/>
          <w:lang w:eastAsia="zh-CN"/>
        </w:rPr>
        <w:tab/>
      </w:r>
    </w:p>
    <w:p>
      <w:pPr>
        <w:pStyle w:val="15"/>
        <w:rPr>
          <w:color w:val="auto"/>
          <w:highlight w:val="none"/>
        </w:rPr>
      </w:pPr>
    </w:p>
    <w:p>
      <w:pPr>
        <w:rPr>
          <w:color w:val="auto"/>
          <w:highlight w:val="none"/>
        </w:rPr>
      </w:pPr>
    </w:p>
    <w:p>
      <w:pPr>
        <w:pStyle w:val="9"/>
        <w:rPr>
          <w:rFonts w:hint="eastAsia"/>
          <w:color w:val="auto"/>
          <w:kern w:val="44"/>
          <w:highlight w:val="none"/>
        </w:rPr>
      </w:pPr>
    </w:p>
    <w:p>
      <w:pPr>
        <w:rPr>
          <w:rFonts w:hint="eastAsia"/>
          <w:color w:val="auto"/>
          <w:kern w:val="44"/>
          <w:highlight w:val="none"/>
        </w:rPr>
        <w:sectPr>
          <w:footerReference r:id="rId9" w:type="first"/>
          <w:footerReference r:id="rId8" w:type="default"/>
          <w:pgSz w:w="11906" w:h="16838"/>
          <w:pgMar w:top="1440" w:right="1417" w:bottom="1440" w:left="1417" w:header="851" w:footer="992" w:gutter="0"/>
          <w:pgNumType w:fmt="decimal" w:start="1"/>
          <w:cols w:space="720" w:num="1"/>
          <w:docGrid w:type="lines" w:linePitch="312" w:charSpace="0"/>
        </w:sectPr>
      </w:pPr>
    </w:p>
    <w:p>
      <w:pPr>
        <w:pStyle w:val="9"/>
        <w:rPr>
          <w:rFonts w:ascii="宋体" w:cs="宋体"/>
          <w:color w:val="auto"/>
          <w:kern w:val="44"/>
          <w:highlight w:val="none"/>
        </w:rPr>
      </w:pPr>
      <w:bookmarkStart w:id="0" w:name="_Toc23886"/>
      <w:r>
        <w:rPr>
          <w:rFonts w:hint="eastAsia"/>
          <w:color w:val="auto"/>
          <w:kern w:val="44"/>
          <w:highlight w:val="none"/>
        </w:rPr>
        <w:t>第一章</w:t>
      </w:r>
      <w:r>
        <w:rPr>
          <w:color w:val="auto"/>
          <w:kern w:val="44"/>
          <w:highlight w:val="none"/>
        </w:rPr>
        <w:t xml:space="preserve">  </w:t>
      </w:r>
      <w:r>
        <w:rPr>
          <w:rFonts w:hint="eastAsia"/>
          <w:color w:val="auto"/>
          <w:kern w:val="44"/>
          <w:highlight w:val="none"/>
        </w:rPr>
        <w:t>竞争性磋商公告</w:t>
      </w:r>
      <w:bookmarkEnd w:id="0"/>
    </w:p>
    <w:p>
      <w:pPr>
        <w:pageBreakBefore w:val="0"/>
        <w:kinsoku/>
        <w:wordWrap/>
        <w:overflowPunct/>
        <w:topLinePunct w:val="0"/>
        <w:autoSpaceDE/>
        <w:autoSpaceDN/>
        <w:bidi w:val="0"/>
        <w:adjustRightInd/>
        <w:snapToGrid/>
        <w:spacing w:line="380" w:lineRule="exact"/>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温县陈家沟景区亮化项目竞争性磋商公告</w:t>
      </w:r>
    </w:p>
    <w:p>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项目概况</w:t>
      </w:r>
      <w:r>
        <w:rPr>
          <w:rFonts w:hint="eastAsia" w:ascii="宋体" w:hAnsi="宋体" w:cs="宋体"/>
          <w:b/>
          <w:color w:val="000000" w:themeColor="text1"/>
          <w:szCs w:val="21"/>
          <w:lang w:eastAsia="zh-CN"/>
          <w14:textFill>
            <w14:solidFill>
              <w14:schemeClr w14:val="tx1"/>
            </w14:solidFill>
          </w14:textFill>
        </w:rPr>
        <w:t>：</w:t>
      </w:r>
    </w:p>
    <w:p>
      <w:pPr>
        <w:spacing w:line="380" w:lineRule="exact"/>
        <w:ind w:firstLine="420" w:firstLineChars="200"/>
        <w:rPr>
          <w:rFonts w:ascii="宋体" w:hAnsi="宋体" w:cs="宋体"/>
          <w:color w:val="auto"/>
          <w:szCs w:val="21"/>
        </w:rPr>
      </w:pPr>
      <w:r>
        <w:rPr>
          <w:rFonts w:hint="eastAsia" w:ascii="宋体" w:hAnsi="宋体" w:cs="宋体"/>
          <w:color w:val="000000" w:themeColor="text1"/>
          <w:szCs w:val="21"/>
          <w14:textFill>
            <w14:solidFill>
              <w14:schemeClr w14:val="tx1"/>
            </w14:solidFill>
          </w14:textFill>
        </w:rPr>
        <w:t>温县陈家沟景区亮化项目的潜在供应商应在焦作市公共资源交易中心网站会员系统获取</w:t>
      </w:r>
      <w:r>
        <w:rPr>
          <w:rFonts w:hint="eastAsia" w:ascii="宋体" w:hAnsi="宋体" w:cs="宋体"/>
          <w:color w:val="000000" w:themeColor="text1"/>
          <w:szCs w:val="21"/>
          <w:lang w:eastAsia="zh-CN"/>
          <w14:textFill>
            <w14:solidFill>
              <w14:schemeClr w14:val="tx1"/>
            </w14:solidFill>
          </w14:textFill>
        </w:rPr>
        <w:t>招标</w:t>
      </w:r>
      <w:r>
        <w:rPr>
          <w:rFonts w:hint="eastAsia" w:ascii="宋体" w:hAnsi="宋体" w:cs="宋体"/>
          <w:color w:val="000000" w:themeColor="text1"/>
          <w:szCs w:val="21"/>
          <w14:textFill>
            <w14:solidFill>
              <w14:schemeClr w14:val="tx1"/>
            </w14:solidFill>
          </w14:textFill>
        </w:rPr>
        <w:t>文件，</w:t>
      </w:r>
      <w:r>
        <w:rPr>
          <w:rFonts w:hint="eastAsia" w:ascii="宋体" w:hAnsi="宋体" w:cs="宋体"/>
          <w:color w:val="auto"/>
          <w:szCs w:val="21"/>
        </w:rPr>
        <w:t>并于</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2023</w:t>
      </w:r>
      <w:r>
        <w:rPr>
          <w:rFonts w:hint="eastAsia" w:ascii="宋体" w:hAnsi="宋体" w:cs="宋体"/>
          <w:color w:val="auto"/>
          <w:szCs w:val="21"/>
          <w:u w:val="single"/>
        </w:rPr>
        <w:t xml:space="preserve"> 年</w:t>
      </w:r>
      <w:r>
        <w:rPr>
          <w:rFonts w:hint="eastAsia" w:ascii="宋体" w:hAnsi="宋体" w:cs="宋体"/>
          <w:color w:val="auto"/>
          <w:szCs w:val="21"/>
          <w:u w:val="single"/>
          <w:lang w:val="en-US" w:eastAsia="zh-CN"/>
        </w:rPr>
        <w:t xml:space="preserve"> 11</w:t>
      </w:r>
      <w:r>
        <w:rPr>
          <w:rFonts w:hint="eastAsia" w:ascii="宋体" w:hAnsi="宋体" w:cs="宋体"/>
          <w:color w:val="auto"/>
          <w:szCs w:val="21"/>
          <w:u w:val="single"/>
        </w:rPr>
        <w:t xml:space="preserve"> 月</w:t>
      </w:r>
      <w:r>
        <w:rPr>
          <w:rFonts w:hint="eastAsia" w:ascii="宋体" w:hAnsi="宋体" w:cs="宋体"/>
          <w:color w:val="auto"/>
          <w:szCs w:val="21"/>
          <w:u w:val="single"/>
          <w:lang w:val="en-US" w:eastAsia="zh-CN"/>
        </w:rPr>
        <w:t xml:space="preserve"> 28 </w:t>
      </w:r>
      <w:r>
        <w:rPr>
          <w:rFonts w:hint="eastAsia" w:ascii="宋体" w:hAnsi="宋体" w:cs="宋体"/>
          <w:color w:val="auto"/>
          <w:szCs w:val="21"/>
          <w:u w:val="single"/>
        </w:rPr>
        <w:t>日</w:t>
      </w:r>
      <w:r>
        <w:rPr>
          <w:rFonts w:hint="eastAsia" w:ascii="宋体" w:hAnsi="宋体" w:cs="宋体"/>
          <w:color w:val="auto"/>
          <w:szCs w:val="21"/>
          <w:u w:val="single"/>
          <w:lang w:val="en-US" w:eastAsia="zh-CN"/>
        </w:rPr>
        <w:t xml:space="preserve"> 9 </w:t>
      </w:r>
      <w:r>
        <w:rPr>
          <w:rFonts w:hint="eastAsia" w:ascii="宋体" w:hAnsi="宋体" w:cs="宋体"/>
          <w:color w:val="auto"/>
          <w:szCs w:val="21"/>
          <w:u w:val="single"/>
        </w:rPr>
        <w:t xml:space="preserve">时 </w:t>
      </w:r>
      <w:r>
        <w:rPr>
          <w:rFonts w:hint="eastAsia" w:ascii="宋体" w:hAnsi="宋体" w:cs="宋体"/>
          <w:color w:val="auto"/>
          <w:szCs w:val="21"/>
          <w:u w:val="single"/>
          <w:lang w:val="en-US" w:eastAsia="zh-CN"/>
        </w:rPr>
        <w:t>00</w:t>
      </w:r>
      <w:r>
        <w:rPr>
          <w:rFonts w:hint="eastAsia" w:ascii="宋体" w:hAnsi="宋体" w:cs="宋体"/>
          <w:color w:val="auto"/>
          <w:szCs w:val="21"/>
          <w:u w:val="single"/>
        </w:rPr>
        <w:t xml:space="preserve"> 分</w:t>
      </w:r>
      <w:r>
        <w:rPr>
          <w:rFonts w:hint="eastAsia" w:ascii="宋体" w:hAnsi="宋体" w:cs="宋体"/>
          <w:color w:val="auto"/>
          <w:szCs w:val="21"/>
        </w:rPr>
        <w:t>（北京时间）前递交响应文件。</w:t>
      </w:r>
    </w:p>
    <w:p>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一、项目基本情况</w:t>
      </w:r>
      <w:r>
        <w:rPr>
          <w:rFonts w:hint="eastAsia" w:ascii="宋体" w:hAnsi="宋体" w:cs="宋体"/>
          <w:b/>
          <w:color w:val="000000" w:themeColor="text1"/>
          <w:szCs w:val="21"/>
          <w:lang w:eastAsia="zh-CN"/>
          <w14:textFill>
            <w14:solidFill>
              <w14:schemeClr w14:val="tx1"/>
            </w14:solidFill>
          </w14:textFill>
        </w:rPr>
        <w:t>：</w:t>
      </w:r>
    </w:p>
    <w:p>
      <w:pPr>
        <w:spacing w:line="380" w:lineRule="exact"/>
        <w:ind w:left="0" w:leftChars="0" w:firstLine="420" w:firstLineChars="200"/>
        <w:rPr>
          <w:rFonts w:ascii="宋体" w:hAnsi="宋体" w:cs="宋体"/>
          <w:color w:val="auto"/>
          <w:szCs w:val="21"/>
        </w:rPr>
      </w:pPr>
      <w:r>
        <w:rPr>
          <w:rFonts w:hint="eastAsia" w:ascii="宋体" w:hAnsi="宋体" w:cs="宋体"/>
          <w:color w:val="auto"/>
          <w:szCs w:val="21"/>
        </w:rPr>
        <w:t>1.项目编号：温政采【2023】</w:t>
      </w:r>
      <w:r>
        <w:rPr>
          <w:rFonts w:hint="eastAsia" w:ascii="宋体" w:hAnsi="宋体" w:cs="宋体"/>
          <w:color w:val="auto"/>
          <w:szCs w:val="21"/>
          <w:lang w:val="en-US" w:eastAsia="zh-CN"/>
        </w:rPr>
        <w:t xml:space="preserve">11-41 </w:t>
      </w:r>
      <w:r>
        <w:rPr>
          <w:rFonts w:hint="eastAsia" w:ascii="宋体" w:hAnsi="宋体" w:cs="宋体"/>
          <w:color w:val="auto"/>
          <w:szCs w:val="21"/>
        </w:rPr>
        <w:t>号</w:t>
      </w:r>
    </w:p>
    <w:p>
      <w:pPr>
        <w:spacing w:line="380" w:lineRule="exact"/>
        <w:ind w:firstLine="420" w:firstLineChars="2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2.项目名称：温县陈家沟景区亮化项目</w:t>
      </w:r>
    </w:p>
    <w:p>
      <w:pPr>
        <w:spacing w:line="38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3.采购方式：</w:t>
      </w:r>
      <w:r>
        <w:rPr>
          <w:rFonts w:hint="eastAsia" w:ascii="宋体" w:hAnsi="宋体" w:cs="宋体"/>
          <w:color w:val="000000" w:themeColor="text1"/>
          <w:szCs w:val="21"/>
          <w:lang w:eastAsia="zh-CN"/>
          <w14:textFill>
            <w14:solidFill>
              <w14:schemeClr w14:val="tx1"/>
            </w14:solidFill>
          </w14:textFill>
        </w:rPr>
        <w:t>竞争性磋商</w:t>
      </w:r>
    </w:p>
    <w:p>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4.预算金额：</w:t>
      </w:r>
      <w:r>
        <w:rPr>
          <w:rFonts w:hint="eastAsia" w:ascii="宋体" w:hAnsi="宋体" w:cs="宋体"/>
          <w:color w:val="000000" w:themeColor="text1"/>
          <w:szCs w:val="21"/>
          <w:lang w:val="en-US" w:eastAsia="zh-CN"/>
          <w14:textFill>
            <w14:solidFill>
              <w14:schemeClr w14:val="tx1"/>
            </w14:solidFill>
          </w14:textFill>
        </w:rPr>
        <w:t>1328200.00</w:t>
      </w:r>
      <w:r>
        <w:rPr>
          <w:rFonts w:hint="eastAsia" w:ascii="宋体" w:hAnsi="宋体" w:cs="宋体"/>
          <w:color w:val="000000" w:themeColor="text1"/>
          <w:szCs w:val="21"/>
          <w14:textFill>
            <w14:solidFill>
              <w14:schemeClr w14:val="tx1"/>
            </w14:solidFill>
          </w14:textFill>
        </w:rPr>
        <w:t>元</w:t>
      </w:r>
    </w:p>
    <w:p>
      <w:pPr>
        <w:spacing w:line="38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w:t>
      </w:r>
      <w:r>
        <w:rPr>
          <w:rFonts w:hint="eastAsia" w:ascii="宋体" w:hAnsi="宋体" w:cs="宋体"/>
          <w:color w:val="000000" w:themeColor="text1"/>
          <w:szCs w:val="21"/>
          <w:lang w:val="en-US" w:eastAsia="zh-CN"/>
          <w14:textFill>
            <w14:solidFill>
              <w14:schemeClr w14:val="tx1"/>
            </w14:solidFill>
          </w14:textFill>
        </w:rPr>
        <w:t>1328200.00</w:t>
      </w:r>
      <w:r>
        <w:rPr>
          <w:rFonts w:hint="eastAsia" w:ascii="宋体" w:hAnsi="宋体" w:cs="宋体"/>
          <w:color w:val="000000" w:themeColor="text1"/>
          <w:szCs w:val="21"/>
          <w14:textFill>
            <w14:solidFill>
              <w14:schemeClr w14:val="tx1"/>
            </w14:solidFill>
          </w14:textFill>
        </w:rPr>
        <w:t>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760"/>
        <w:gridCol w:w="2551"/>
        <w:gridCol w:w="1365"/>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widowControl/>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序号</w:t>
            </w:r>
          </w:p>
        </w:tc>
        <w:tc>
          <w:tcPr>
            <w:tcW w:w="1760" w:type="dxa"/>
            <w:vAlign w:val="center"/>
          </w:tcPr>
          <w:p>
            <w:pPr>
              <w:widowControl/>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包号</w:t>
            </w:r>
          </w:p>
        </w:tc>
        <w:tc>
          <w:tcPr>
            <w:tcW w:w="2551" w:type="dxa"/>
            <w:vAlign w:val="center"/>
          </w:tcPr>
          <w:p>
            <w:pPr>
              <w:widowControl/>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包名称</w:t>
            </w:r>
          </w:p>
        </w:tc>
        <w:tc>
          <w:tcPr>
            <w:tcW w:w="1365" w:type="dxa"/>
            <w:vAlign w:val="center"/>
          </w:tcPr>
          <w:p>
            <w:pPr>
              <w:widowControl/>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包预算（元）</w:t>
            </w:r>
          </w:p>
        </w:tc>
        <w:tc>
          <w:tcPr>
            <w:tcW w:w="1374" w:type="dxa"/>
            <w:vAlign w:val="center"/>
          </w:tcPr>
          <w:p>
            <w:pPr>
              <w:widowControl/>
              <w:spacing w:line="380" w:lineRule="exact"/>
              <w:jc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包最高限价</w:t>
            </w:r>
          </w:p>
          <w:p>
            <w:pPr>
              <w:widowControl/>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31" w:type="dxa"/>
            <w:vAlign w:val="center"/>
          </w:tcPr>
          <w:p>
            <w:pPr>
              <w:widowControl/>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760" w:type="dxa"/>
            <w:vAlign w:val="center"/>
          </w:tcPr>
          <w:p>
            <w:pPr>
              <w:widowControl/>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auto"/>
                <w:szCs w:val="21"/>
              </w:rPr>
              <w:t>温交易【2023】</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100</w:t>
            </w:r>
            <w:r>
              <w:rPr>
                <w:rFonts w:hint="eastAsia" w:ascii="宋体" w:hAnsi="宋体" w:cs="宋体"/>
                <w:color w:val="auto"/>
                <w:szCs w:val="21"/>
              </w:rPr>
              <w:t>号</w:t>
            </w:r>
          </w:p>
        </w:tc>
        <w:tc>
          <w:tcPr>
            <w:tcW w:w="2551" w:type="dxa"/>
            <w:vAlign w:val="center"/>
          </w:tcPr>
          <w:p>
            <w:pPr>
              <w:spacing w:line="38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温县陈家沟景区亮化项目</w:t>
            </w:r>
          </w:p>
        </w:tc>
        <w:tc>
          <w:tcPr>
            <w:tcW w:w="1365" w:type="dxa"/>
            <w:vAlign w:val="center"/>
          </w:tcPr>
          <w:p>
            <w:pPr>
              <w:widowControl/>
              <w:spacing w:line="3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1328200</w:t>
            </w:r>
          </w:p>
        </w:tc>
        <w:tc>
          <w:tcPr>
            <w:tcW w:w="1374" w:type="dxa"/>
            <w:vAlign w:val="center"/>
          </w:tcPr>
          <w:p>
            <w:pPr>
              <w:widowControl/>
              <w:spacing w:line="3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1328200</w:t>
            </w:r>
          </w:p>
        </w:tc>
      </w:tr>
    </w:tbl>
    <w:p>
      <w:pPr>
        <w:numPr>
          <w:ilvl w:val="0"/>
          <w:numId w:val="1"/>
        </w:numPr>
        <w:spacing w:line="44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采购内容：更换LED染色灯、灯笼墙灯笼、制定氛围投影灯、国潮灯笼+投影灯、互动投影一体机，加装草坪、电缆、</w:t>
      </w:r>
      <w:r>
        <w:rPr>
          <w:rFonts w:hint="eastAsia" w:ascii="宋体" w:hAnsi="宋体" w:cs="宋体"/>
          <w:color w:val="000000" w:themeColor="text1"/>
          <w:szCs w:val="21"/>
          <w:lang w:eastAsia="zh-CN"/>
          <w14:textFill>
            <w14:solidFill>
              <w14:schemeClr w14:val="tx1"/>
            </w14:solidFill>
          </w14:textFill>
        </w:rPr>
        <w:t>萤火</w:t>
      </w:r>
      <w:r>
        <w:rPr>
          <w:rFonts w:hint="eastAsia" w:ascii="宋体" w:hAnsi="宋体" w:cs="宋体"/>
          <w:color w:val="000000" w:themeColor="text1"/>
          <w:szCs w:val="21"/>
          <w14:textFill>
            <w14:solidFill>
              <w14:schemeClr w14:val="tx1"/>
            </w14:solidFill>
          </w14:textFill>
        </w:rPr>
        <w:t>灯等。具体内容详见清单。</w:t>
      </w:r>
    </w:p>
    <w:p>
      <w:pPr>
        <w:spacing w:line="38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.资金来源</w:t>
      </w:r>
      <w:r>
        <w:rPr>
          <w:rFonts w:hint="eastAsia" w:ascii="宋体" w:hAnsi="宋体" w:eastAsia="宋体" w:cs="宋体"/>
          <w:color w:val="auto"/>
          <w:szCs w:val="21"/>
          <w:lang w:eastAsia="zh-CN"/>
        </w:rPr>
        <w:t>：</w:t>
      </w:r>
      <w:r>
        <w:rPr>
          <w:rFonts w:hint="eastAsia" w:ascii="宋体" w:hAnsi="宋体" w:cs="宋体"/>
          <w:color w:val="auto"/>
          <w:szCs w:val="21"/>
          <w:lang w:val="en-US" w:eastAsia="zh-CN"/>
        </w:rPr>
        <w:t>县财政</w:t>
      </w:r>
      <w:r>
        <w:rPr>
          <w:rFonts w:hint="eastAsia" w:ascii="宋体" w:hAnsi="宋体" w:eastAsia="宋体" w:cs="宋体"/>
          <w:color w:val="auto"/>
          <w:szCs w:val="21"/>
          <w:lang w:val="en-US" w:eastAsia="zh-CN"/>
        </w:rPr>
        <w:t>。</w:t>
      </w:r>
    </w:p>
    <w:p>
      <w:pPr>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.质量要</w:t>
      </w:r>
      <w:r>
        <w:rPr>
          <w:rFonts w:hint="eastAsia" w:ascii="宋体" w:hAnsi="宋体" w:eastAsia="宋体" w:cs="宋体"/>
          <w:color w:val="000000" w:themeColor="text1"/>
          <w:szCs w:val="21"/>
          <w:lang w:val="en-US" w:eastAsia="zh-CN"/>
          <w14:textFill>
            <w14:solidFill>
              <w14:schemeClr w14:val="tx1"/>
            </w14:solidFill>
          </w14:textFill>
        </w:rPr>
        <w:t>求：合格，符合国家、地方现行相关规范要求，通过相关部门审查。</w:t>
      </w:r>
    </w:p>
    <w:p>
      <w:pPr>
        <w:spacing w:line="440" w:lineRule="exact"/>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eastAsia="zh-CN"/>
        </w:rPr>
        <w:t>合同履行期限</w:t>
      </w:r>
      <w:r>
        <w:rPr>
          <w:rFonts w:hint="eastAsia" w:ascii="宋体" w:hAnsi="宋体" w:eastAsia="宋体" w:cs="宋体"/>
          <w:color w:val="auto"/>
          <w:szCs w:val="21"/>
          <w:lang w:val="en-US" w:eastAsia="zh-CN"/>
        </w:rPr>
        <w:t>：自合同签订生效之日起 15 天内完工</w:t>
      </w:r>
    </w:p>
    <w:p>
      <w:pPr>
        <w:spacing w:line="44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本项目是否接受联合体投标：否</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10.</w:t>
      </w:r>
      <w:r>
        <w:rPr>
          <w:rFonts w:ascii="宋体" w:hAnsi="宋体" w:cs="宋体"/>
          <w:color w:val="000000" w:themeColor="text1"/>
          <w:szCs w:val="21"/>
          <w14:textFill>
            <w14:solidFill>
              <w14:schemeClr w14:val="tx1"/>
            </w14:solidFill>
          </w14:textFill>
        </w:rPr>
        <w:t>是否接受进口产品：否</w:t>
      </w:r>
    </w:p>
    <w:p>
      <w:pPr>
        <w:spacing w:line="380" w:lineRule="exact"/>
        <w:ind w:firstLine="420" w:firstLineChars="200"/>
        <w:jc w:val="left"/>
        <w:rPr>
          <w:rFonts w:hint="eastAsia" w:ascii="宋体" w:hAnsi="宋体" w:eastAsia="宋体" w:cs="宋体"/>
          <w:color w:val="000000" w:themeColor="text1"/>
          <w:szCs w:val="21"/>
          <w:shd w:val="clear" w:color="auto" w:fill="FFFFFF"/>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是否专门面向中小企业：</w:t>
      </w:r>
      <w:r>
        <w:rPr>
          <w:rFonts w:hint="eastAsia" w:ascii="宋体" w:hAnsi="宋体" w:cs="宋体"/>
          <w:color w:val="000000" w:themeColor="text1"/>
          <w:szCs w:val="21"/>
          <w:lang w:eastAsia="zh-CN"/>
          <w14:textFill>
            <w14:solidFill>
              <w14:schemeClr w14:val="tx1"/>
            </w14:solidFill>
          </w14:textFill>
        </w:rPr>
        <w:t>否</w:t>
      </w:r>
    </w:p>
    <w:p>
      <w:pPr>
        <w:spacing w:line="360" w:lineRule="exact"/>
        <w:jc w:val="left"/>
        <w:rPr>
          <w:rFonts w:ascii="宋体" w:hAnsi="宋体" w:cs="宋体"/>
          <w:b/>
          <w:bCs/>
          <w:color w:val="000000" w:themeColor="text1"/>
          <w:szCs w:val="21"/>
          <w:shd w:val="clear" w:color="auto" w:fill="FFFFFF"/>
          <w14:textFill>
            <w14:solidFill>
              <w14:schemeClr w14:val="tx1"/>
            </w14:solidFill>
          </w14:textFill>
        </w:rPr>
      </w:pPr>
      <w:r>
        <w:rPr>
          <w:rFonts w:hint="eastAsia" w:ascii="宋体" w:hAnsi="宋体" w:cs="宋体"/>
          <w:b/>
          <w:bCs/>
          <w:color w:val="000000" w:themeColor="text1"/>
          <w:szCs w:val="21"/>
          <w:shd w:val="clear" w:color="auto" w:fill="FFFFFF"/>
          <w14:textFill>
            <w14:solidFill>
              <w14:schemeClr w14:val="tx1"/>
            </w14:solidFill>
          </w14:textFill>
        </w:rPr>
        <w:t>二、申请人资格要求：</w:t>
      </w:r>
    </w:p>
    <w:p>
      <w:pPr>
        <w:spacing w:line="360" w:lineRule="exact"/>
        <w:ind w:firstLine="420" w:firstLineChars="200"/>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（一）具有独立承担民事责任的能力；</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（二）具有良好的商业信誉和健全的</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"https://www.baidu.com/s?wd=%E8%B4%A2%E5%8A%A1%E4%BC%9A%E8%AE%A1%E5%88%B6%E5%BA%A6&amp;tn=44039180_cpr&amp;fenlei=mv6quAkxTZn0IZRqIHckPjm4nH00T1Y3ujD1PW0LuhDdmHm4Py7B0ZwV5Hcvrjm3rH6sPfKWUMw85HfYnjn4nH6sgvPsT6KdThsqpZwYTjCEQLGCpyw9Uz4Bmy-bIi4WUvYETgN-TLwGUv3EnWT3nHn3rjD4" \t "https://zhidao.baidu.com/question/_blank"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shd w:val="clear" w:color="auto" w:fill="FFFFFF"/>
          <w14:textFill>
            <w14:solidFill>
              <w14:schemeClr w14:val="tx1"/>
            </w14:solidFill>
          </w14:textFill>
        </w:rPr>
        <w:t>财务会计制度</w:t>
      </w:r>
      <w:r>
        <w:rPr>
          <w:rFonts w:hint="eastAsia" w:ascii="宋体" w:hAnsi="宋体" w:cs="宋体"/>
          <w:color w:val="000000" w:themeColor="text1"/>
          <w:szCs w:val="21"/>
          <w:shd w:val="clear" w:color="auto" w:fill="FFFFFF"/>
          <w14:textFill>
            <w14:solidFill>
              <w14:schemeClr w14:val="tx1"/>
            </w14:solidFill>
          </w14:textFill>
        </w:rPr>
        <w:fldChar w:fldCharType="end"/>
      </w:r>
      <w:r>
        <w:rPr>
          <w:rFonts w:hint="eastAsia" w:ascii="宋体" w:hAnsi="宋体" w:cs="宋体"/>
          <w:color w:val="000000" w:themeColor="text1"/>
          <w:szCs w:val="21"/>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（四）有依法缴纳税收和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"https://www.baidu.com/s?wd=%E7%A4%BE%E4%BC%9A%E4%BF%9D%E9%9A%9C%E8%B5%84%E9%87%91&amp;tn=44039180_cpr&amp;fenlei=mv6quAkxTZn0IZRqIHckPjm4nH00T1Y3ujD1PW0LuhDdmHm4Py7B0ZwV5Hcvrjm3rH6sPfKWUMw85HfYnjn4nH6sgvPsT6KdThsqpZwYTjCEQLGCpyw9Uz4Bmy-bIi4WUvYETgN-TLwGUv3EnWT3nHn3rjD4" \t "https://zhidao.baidu.com/question/_blank"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shd w:val="clear" w:color="auto" w:fill="FFFFFF"/>
          <w14:textFill>
            <w14:solidFill>
              <w14:schemeClr w14:val="tx1"/>
            </w14:solidFill>
          </w14:textFill>
        </w:rPr>
        <w:t>社会保障资金</w:t>
      </w:r>
      <w:r>
        <w:rPr>
          <w:rFonts w:hint="eastAsia" w:ascii="宋体" w:hAnsi="宋体" w:cs="宋体"/>
          <w:color w:val="000000" w:themeColor="text1"/>
          <w:szCs w:val="21"/>
          <w:shd w:val="clear" w:color="auto" w:fill="FFFFFF"/>
          <w14:textFill>
            <w14:solidFill>
              <w14:schemeClr w14:val="tx1"/>
            </w14:solidFill>
          </w14:textFill>
        </w:rPr>
        <w:fldChar w:fldCharType="end"/>
      </w:r>
      <w:r>
        <w:rPr>
          <w:rFonts w:hint="eastAsia" w:ascii="宋体" w:hAnsi="宋体" w:cs="宋体"/>
          <w:color w:val="000000" w:themeColor="text1"/>
          <w:szCs w:val="21"/>
          <w:shd w:val="clear" w:color="auto" w:fill="FFFFFF"/>
          <w14:textFill>
            <w14:solidFill>
              <w14:schemeClr w14:val="tx1"/>
            </w14:solidFill>
          </w14:textFill>
        </w:rPr>
        <w:t>的良好记录；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备注：</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cs="宋体"/>
          <w:color w:val="000000" w:themeColor="text1"/>
          <w:szCs w:val="21"/>
          <w:shd w:val="clear" w:color="auto" w:fill="FFFFFF"/>
          <w14:textFill>
            <w14:solidFill>
              <w14:schemeClr w14:val="tx1"/>
            </w14:solidFill>
          </w14:textFill>
        </w:rPr>
        <w:t>供应商在投标（响应）时，按照规定提供相关承诺函，无需再提交上述（一）到（五）证明材料。</w:t>
      </w:r>
    </w:p>
    <w:p>
      <w:pPr>
        <w:keepNext w:val="0"/>
        <w:keepLines w:val="0"/>
        <w:pageBreakBefore w:val="0"/>
        <w:widowControl w:val="0"/>
        <w:kinsoku/>
        <w:wordWrap/>
        <w:overflowPunct/>
        <w:topLinePunct w:val="0"/>
        <w:bidi w:val="0"/>
        <w:snapToGrid/>
        <w:spacing w:line="36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2.落实政府采购政策需满足的资格要求：</w:t>
      </w:r>
      <w:r>
        <w:rPr>
          <w:rFonts w:hint="eastAsia" w:ascii="宋体" w:hAnsi="宋体" w:cs="宋体"/>
          <w:color w:val="auto"/>
          <w:szCs w:val="21"/>
        </w:rPr>
        <w:t>本项目落实节能环保、</w:t>
      </w:r>
      <w:r>
        <w:rPr>
          <w:rFonts w:hint="eastAsia" w:ascii="宋体" w:hAnsi="宋体" w:cs="宋体"/>
          <w:color w:val="000000" w:themeColor="text1"/>
          <w:szCs w:val="21"/>
          <w14:textFill>
            <w14:solidFill>
              <w14:schemeClr w14:val="tx1"/>
            </w14:solidFill>
          </w14:textFill>
        </w:rPr>
        <w:t>中小微企业扶持、促进残疾人就业等相关政府采购政策。</w:t>
      </w:r>
    </w:p>
    <w:p>
      <w:pPr>
        <w:keepNext w:val="0"/>
        <w:keepLines w:val="0"/>
        <w:pageBreakBefore w:val="0"/>
        <w:widowControl w:val="0"/>
        <w:kinsoku/>
        <w:wordWrap/>
        <w:overflowPunct/>
        <w:topLinePunct w:val="0"/>
        <w:bidi w:val="0"/>
        <w:snapToGrid/>
        <w:spacing w:line="360" w:lineRule="exact"/>
        <w:ind w:firstLine="420" w:firstLineChars="200"/>
        <w:jc w:val="left"/>
        <w:textAlignment w:val="auto"/>
      </w:pPr>
      <w:r>
        <w:rPr>
          <w:rFonts w:hint="eastAsia" w:ascii="宋体" w:hAnsi="宋体" w:cs="宋体"/>
          <w:color w:val="000000" w:themeColor="text1"/>
          <w:szCs w:val="21"/>
          <w:shd w:val="clear" w:color="auto" w:fill="FFFFFF"/>
          <w14:textFill>
            <w14:solidFill>
              <w14:schemeClr w14:val="tx1"/>
            </w14:solidFill>
          </w14:textFill>
        </w:rPr>
        <w:t>3.本项目的特定资格要求：</w:t>
      </w:r>
    </w:p>
    <w:p>
      <w:pPr>
        <w:keepNext w:val="0"/>
        <w:keepLines w:val="0"/>
        <w:pageBreakBefore w:val="0"/>
        <w:widowControl w:val="0"/>
        <w:kinsoku/>
        <w:wordWrap/>
        <w:overflowPunct/>
        <w:topLinePunct w:val="0"/>
        <w:bidi w:val="0"/>
        <w:snapToGrid/>
        <w:spacing w:line="360" w:lineRule="exact"/>
        <w:ind w:firstLine="420" w:firstLineChars="200"/>
        <w:jc w:val="left"/>
        <w:textAlignment w:val="auto"/>
        <w:rPr>
          <w:rFonts w:hint="eastAsia" w:ascii="宋体" w:hAnsi="宋体" w:cs="宋体"/>
          <w:color w:val="000000" w:themeColor="text1"/>
          <w:szCs w:val="21"/>
          <w:shd w:val="clear" w:color="auto" w:fill="FFFFFF"/>
          <w:lang w:eastAsia="zh-CN"/>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3.1供应商须具有有效的营业执照（副本）、税务登记证（副本）、组织机构代码证（副本）（或三证合一营业执照）</w:t>
      </w:r>
      <w:r>
        <w:rPr>
          <w:rFonts w:hint="eastAsia" w:ascii="宋体" w:hAnsi="宋体" w:cs="宋体"/>
          <w:color w:val="000000" w:themeColor="text1"/>
          <w:szCs w:val="21"/>
          <w:shd w:val="clear" w:color="auto" w:fill="FFFFFF"/>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360" w:lineRule="exact"/>
        <w:ind w:firstLine="420" w:firstLineChars="200"/>
        <w:jc w:val="left"/>
        <w:textAlignment w:val="auto"/>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lang w:val="en-US" w:eastAsia="zh-CN"/>
          <w14:textFill>
            <w14:solidFill>
              <w14:schemeClr w14:val="tx1"/>
            </w14:solidFill>
          </w14:textFill>
        </w:rPr>
        <w:t>3.2</w:t>
      </w:r>
      <w:r>
        <w:rPr>
          <w:rFonts w:hint="eastAsia" w:ascii="宋体" w:hAnsi="宋体" w:cs="宋体"/>
          <w:color w:val="000000" w:themeColor="text1"/>
          <w:szCs w:val="21"/>
          <w:shd w:val="clear" w:color="auto" w:fill="FFFFFF"/>
          <w14:textFill>
            <w14:solidFill>
              <w14:schemeClr w14:val="tx1"/>
            </w14:solidFill>
          </w14:textFill>
        </w:rPr>
        <w:t>根据《关于在政府采购活动中查询及使用信用记录有关问题的通知》</w:t>
      </w:r>
      <w:r>
        <w:rPr>
          <w:rFonts w:hint="eastAsia" w:ascii="宋体" w:hAnsi="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14:textFill>
            <w14:solidFill>
              <w14:schemeClr w14:val="tx1"/>
            </w14:solidFill>
          </w14:textFill>
        </w:rPr>
        <w:t>财库[2016]125号</w:t>
      </w:r>
      <w:r>
        <w:rPr>
          <w:rFonts w:hint="eastAsia" w:ascii="宋体" w:hAnsi="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14:textFill>
            <w14:solidFill>
              <w14:schemeClr w14:val="tx1"/>
            </w14:solidFill>
          </w14:textFill>
        </w:rPr>
        <w:t>的规定，采购代理机构将通过“信用中国”网（www.creditchina.gov.cn）、中国政府采购网（www.ccgp.gov.cn）等渠道在资格审查环节查询投标人信用记录，被列入失信被执行人、重大税收违法失信主体、政府采购严重违法失信行为记录名单的单位将被拒绝参与本项目政府采购活动；信用信息查询记录和证据将同采购文件等资料一同归档保存。（供应商需提供网站查询截图，加盖企业公章，查询时间为</w:t>
      </w:r>
      <w:r>
        <w:rPr>
          <w:rFonts w:hint="eastAsia" w:ascii="宋体" w:hAnsi="宋体" w:cs="宋体"/>
          <w:color w:val="000000" w:themeColor="text1"/>
          <w:szCs w:val="21"/>
          <w:shd w:val="clear" w:color="auto" w:fill="FFFFFF"/>
          <w:lang w:eastAsia="zh-CN"/>
          <w14:textFill>
            <w14:solidFill>
              <w14:schemeClr w14:val="tx1"/>
            </w14:solidFill>
          </w14:textFill>
        </w:rPr>
        <w:t>磋商</w:t>
      </w:r>
      <w:r>
        <w:rPr>
          <w:rFonts w:hint="eastAsia" w:ascii="宋体" w:hAnsi="宋体" w:cs="宋体"/>
          <w:color w:val="000000" w:themeColor="text1"/>
          <w:szCs w:val="21"/>
          <w:shd w:val="clear" w:color="auto" w:fill="FFFFFF"/>
          <w14:textFill>
            <w14:solidFill>
              <w14:schemeClr w14:val="tx1"/>
            </w14:solidFill>
          </w14:textFill>
        </w:rPr>
        <w:t>公告发布之后。）</w:t>
      </w:r>
    </w:p>
    <w:p>
      <w:pPr>
        <w:keepNext w:val="0"/>
        <w:keepLines w:val="0"/>
        <w:pageBreakBefore w:val="0"/>
        <w:widowControl w:val="0"/>
        <w:kinsoku/>
        <w:wordWrap/>
        <w:overflowPunct/>
        <w:topLinePunct w:val="0"/>
        <w:bidi w:val="0"/>
        <w:snapToGrid/>
        <w:spacing w:line="360" w:lineRule="exact"/>
        <w:ind w:firstLine="420" w:firstLineChars="200"/>
        <w:jc w:val="left"/>
        <w:textAlignment w:val="auto"/>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3.</w:t>
      </w:r>
      <w:r>
        <w:rPr>
          <w:rFonts w:hint="eastAsia" w:ascii="宋体" w:hAnsi="宋体" w:cs="宋体"/>
          <w:color w:val="000000" w:themeColor="text1"/>
          <w:szCs w:val="21"/>
          <w:shd w:val="clear" w:color="auto" w:fill="FFFFFF"/>
          <w:lang w:val="en-US" w:eastAsia="zh-CN"/>
          <w14:textFill>
            <w14:solidFill>
              <w14:schemeClr w14:val="tx1"/>
            </w14:solidFill>
          </w14:textFill>
        </w:rPr>
        <w:t>3</w:t>
      </w:r>
      <w:r>
        <w:rPr>
          <w:rFonts w:hint="eastAsia" w:ascii="宋体" w:hAnsi="宋体" w:cs="宋体"/>
          <w:color w:val="000000" w:themeColor="text1"/>
          <w:szCs w:val="21"/>
          <w:shd w:val="clear" w:color="auto" w:fill="FFFFFF"/>
          <w14:textFill>
            <w14:solidFill>
              <w14:schemeClr w14:val="tx1"/>
            </w14:solidFill>
          </w14:textFill>
        </w:rPr>
        <w:t>供应商必须提供无行贿犯罪记录承诺书</w:t>
      </w:r>
      <w:r>
        <w:rPr>
          <w:rFonts w:hint="eastAsia" w:ascii="宋体" w:hAnsi="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14:textFill>
            <w14:solidFill>
              <w14:schemeClr w14:val="tx1"/>
            </w14:solidFill>
          </w14:textFill>
        </w:rPr>
        <w:t>并出具由“中国裁判文书网”网站查询近三年来法人、法定代表人（负责人）、法定代表人（负责人）委托人无行贿犯罪记录网页截图加盖企业公章证明</w:t>
      </w:r>
      <w:r>
        <w:rPr>
          <w:rFonts w:hint="eastAsia" w:ascii="宋体" w:hAnsi="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14:textFill>
            <w14:solidFill>
              <w14:schemeClr w14:val="tx1"/>
            </w14:solidFill>
          </w14:textFill>
        </w:rPr>
        <w:t>；若有行贿犯罪记录则取消其投标资格；</w:t>
      </w:r>
    </w:p>
    <w:p>
      <w:pPr>
        <w:pStyle w:val="40"/>
        <w:keepNext w:val="0"/>
        <w:keepLines w:val="0"/>
        <w:pageBreakBefore w:val="0"/>
        <w:widowControl w:val="0"/>
        <w:kinsoku/>
        <w:wordWrap/>
        <w:overflowPunct/>
        <w:topLinePunct w:val="0"/>
        <w:bidi w:val="0"/>
        <w:snapToGrid/>
        <w:spacing w:line="276" w:lineRule="auto"/>
        <w:ind w:firstLine="420" w:firstLineChars="200"/>
        <w:textAlignment w:val="auto"/>
        <w:rPr>
          <w:color w:val="000000" w:themeColor="text1"/>
          <w14:textFill>
            <w14:solidFill>
              <w14:schemeClr w14:val="tx1"/>
            </w14:solidFill>
          </w14:textFill>
        </w:rPr>
      </w:pPr>
      <w:r>
        <w:rPr>
          <w:rFonts w:hint="eastAsia" w:hAnsi="宋体"/>
          <w:color w:val="000000" w:themeColor="text1"/>
          <w:kern w:val="2"/>
          <w:sz w:val="21"/>
          <w:szCs w:val="21"/>
          <w14:textFill>
            <w14:solidFill>
              <w14:schemeClr w14:val="tx1"/>
            </w14:solidFill>
          </w14:textFill>
        </w:rPr>
        <w:t>3.</w:t>
      </w:r>
      <w:r>
        <w:rPr>
          <w:rFonts w:hint="eastAsia" w:hAnsi="宋体"/>
          <w:color w:val="000000" w:themeColor="text1"/>
          <w:kern w:val="2"/>
          <w:sz w:val="21"/>
          <w:szCs w:val="21"/>
          <w:lang w:val="en-US" w:eastAsia="zh-CN"/>
          <w14:textFill>
            <w14:solidFill>
              <w14:schemeClr w14:val="tx1"/>
            </w14:solidFill>
          </w14:textFill>
        </w:rPr>
        <w:t>4</w:t>
      </w:r>
      <w:r>
        <w:rPr>
          <w:rFonts w:hint="eastAsia" w:hAnsi="宋体"/>
          <w:color w:val="000000" w:themeColor="text1"/>
          <w:kern w:val="2"/>
          <w:sz w:val="21"/>
          <w:szCs w:val="21"/>
          <w14:textFill>
            <w14:solidFill>
              <w14:schemeClr w14:val="tx1"/>
            </w14:solidFill>
          </w14:textFill>
        </w:rPr>
        <w:t>本项目不接受联合体投标。</w:t>
      </w:r>
    </w:p>
    <w:p>
      <w:pPr>
        <w:spacing w:line="360" w:lineRule="exact"/>
        <w:jc w:val="left"/>
        <w:rPr>
          <w:rFonts w:ascii="宋体" w:hAnsi="宋体" w:cs="宋体"/>
          <w:b/>
          <w:bCs/>
          <w:color w:val="000000" w:themeColor="text1"/>
          <w:szCs w:val="21"/>
          <w:shd w:val="clear" w:color="auto" w:fill="FFFFFF"/>
          <w14:textFill>
            <w14:solidFill>
              <w14:schemeClr w14:val="tx1"/>
            </w14:solidFill>
          </w14:textFill>
        </w:rPr>
      </w:pPr>
      <w:r>
        <w:rPr>
          <w:rFonts w:hint="eastAsia" w:ascii="宋体" w:hAnsi="宋体" w:cs="宋体"/>
          <w:b/>
          <w:bCs/>
          <w:color w:val="000000" w:themeColor="text1"/>
          <w:szCs w:val="21"/>
          <w:shd w:val="clear" w:color="auto" w:fill="FFFFFF"/>
          <w14:textFill>
            <w14:solidFill>
              <w14:schemeClr w14:val="tx1"/>
            </w14:solidFill>
          </w14:textFill>
        </w:rPr>
        <w:t>三、获取</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采购文</w:t>
      </w:r>
      <w:r>
        <w:rPr>
          <w:rFonts w:hint="eastAsia" w:ascii="宋体" w:hAnsi="宋体" w:cs="宋体"/>
          <w:b/>
          <w:bCs/>
          <w:color w:val="000000" w:themeColor="text1"/>
          <w:szCs w:val="21"/>
          <w:shd w:val="clear" w:color="auto" w:fill="FFFFFF"/>
          <w14:textFill>
            <w14:solidFill>
              <w14:schemeClr w14:val="tx1"/>
            </w14:solidFill>
          </w14:textFill>
        </w:rPr>
        <w:t>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1.</w:t>
      </w:r>
      <w:r>
        <w:rPr>
          <w:rFonts w:hint="eastAsia" w:ascii="宋体" w:hAnsi="宋体" w:cs="宋体"/>
          <w:color w:val="auto"/>
          <w:szCs w:val="21"/>
          <w:shd w:val="clear" w:color="auto" w:fill="FFFFFF"/>
        </w:rPr>
        <w:t>时间：</w:t>
      </w:r>
      <w:r>
        <w:rPr>
          <w:rFonts w:hint="eastAsia" w:ascii="宋体" w:hAnsi="宋体" w:cs="宋体"/>
          <w:color w:val="auto"/>
          <w:szCs w:val="21"/>
          <w:shd w:val="clear" w:color="auto" w:fill="FFFFFF"/>
          <w:lang w:val="en-US" w:eastAsia="zh-CN"/>
        </w:rPr>
        <w:t>2023</w:t>
      </w:r>
      <w:r>
        <w:rPr>
          <w:rFonts w:hint="eastAsia" w:ascii="宋体" w:hAnsi="宋体" w:cs="宋体"/>
          <w:color w:val="auto"/>
          <w:szCs w:val="21"/>
          <w:shd w:val="clear" w:color="auto" w:fill="FFFFFF"/>
          <w:lang w:val="zh-CN"/>
        </w:rPr>
        <w:t>年</w:t>
      </w:r>
      <w:r>
        <w:rPr>
          <w:rFonts w:hint="eastAsia" w:ascii="宋体" w:hAnsi="宋体" w:cs="宋体"/>
          <w:color w:val="auto"/>
          <w:szCs w:val="21"/>
          <w:shd w:val="clear" w:color="auto" w:fill="FFFFFF"/>
          <w:lang w:val="en-US" w:eastAsia="zh-CN"/>
        </w:rPr>
        <w:t>11</w:t>
      </w:r>
      <w:r>
        <w:rPr>
          <w:rFonts w:hint="eastAsia" w:ascii="宋体" w:hAnsi="宋体" w:cs="宋体"/>
          <w:color w:val="auto"/>
          <w:szCs w:val="21"/>
          <w:shd w:val="clear" w:color="auto" w:fill="FFFFFF"/>
          <w:lang w:val="zh-CN"/>
        </w:rPr>
        <w:t>月</w:t>
      </w:r>
      <w:r>
        <w:rPr>
          <w:rFonts w:hint="eastAsia" w:ascii="宋体" w:hAnsi="宋体" w:cs="宋体"/>
          <w:color w:val="auto"/>
          <w:szCs w:val="21"/>
          <w:shd w:val="clear" w:color="auto" w:fill="FFFFFF"/>
          <w:lang w:val="en-US" w:eastAsia="zh-CN"/>
        </w:rPr>
        <w:t>16</w:t>
      </w:r>
      <w:r>
        <w:rPr>
          <w:rFonts w:hint="eastAsia" w:ascii="宋体" w:hAnsi="宋体" w:cs="宋体"/>
          <w:color w:val="auto"/>
          <w:szCs w:val="21"/>
          <w:shd w:val="clear" w:color="auto" w:fill="FFFFFF"/>
          <w:lang w:val="zh-CN"/>
        </w:rPr>
        <w:t>日至</w:t>
      </w:r>
      <w:r>
        <w:rPr>
          <w:rFonts w:hint="eastAsia" w:ascii="宋体" w:hAnsi="宋体" w:cs="宋体"/>
          <w:color w:val="auto"/>
          <w:szCs w:val="21"/>
          <w:shd w:val="clear" w:color="auto" w:fill="FFFFFF"/>
          <w:lang w:val="en-US" w:eastAsia="zh-CN"/>
        </w:rPr>
        <w:t>2023</w:t>
      </w:r>
      <w:r>
        <w:rPr>
          <w:rFonts w:hint="eastAsia" w:ascii="宋体" w:hAnsi="宋体" w:cs="宋体"/>
          <w:color w:val="auto"/>
          <w:szCs w:val="21"/>
          <w:shd w:val="clear" w:color="auto" w:fill="FFFFFF"/>
          <w:lang w:val="zh-CN"/>
        </w:rPr>
        <w:t>年</w:t>
      </w:r>
      <w:r>
        <w:rPr>
          <w:rFonts w:hint="eastAsia" w:ascii="宋体" w:hAnsi="宋体" w:cs="宋体"/>
          <w:color w:val="auto"/>
          <w:szCs w:val="21"/>
          <w:shd w:val="clear" w:color="auto" w:fill="FFFFFF"/>
          <w:lang w:val="en-US" w:eastAsia="zh-CN"/>
        </w:rPr>
        <w:t>11</w:t>
      </w:r>
      <w:r>
        <w:rPr>
          <w:rFonts w:hint="eastAsia" w:ascii="宋体" w:hAnsi="宋体" w:cs="宋体"/>
          <w:color w:val="auto"/>
          <w:szCs w:val="21"/>
          <w:shd w:val="clear" w:color="auto" w:fill="FFFFFF"/>
          <w:lang w:val="zh-CN"/>
        </w:rPr>
        <w:t>月</w:t>
      </w:r>
      <w:r>
        <w:rPr>
          <w:rFonts w:hint="eastAsia" w:ascii="宋体" w:hAnsi="宋体" w:cs="宋体"/>
          <w:color w:val="auto"/>
          <w:szCs w:val="21"/>
          <w:shd w:val="clear" w:color="auto" w:fill="FFFFFF"/>
          <w:lang w:val="en-US" w:eastAsia="zh-CN"/>
        </w:rPr>
        <w:t>22</w:t>
      </w:r>
      <w:r>
        <w:rPr>
          <w:rFonts w:hint="eastAsia" w:ascii="宋体" w:hAnsi="宋体" w:cs="宋体"/>
          <w:color w:val="auto"/>
          <w:szCs w:val="21"/>
          <w:shd w:val="clear" w:color="auto" w:fill="FFFFFF"/>
          <w:lang w:val="zh-CN"/>
        </w:rPr>
        <w:t>日，每天上午0</w:t>
      </w:r>
      <w:r>
        <w:rPr>
          <w:rFonts w:hint="eastAsia" w:ascii="宋体" w:hAnsi="宋体" w:cs="宋体"/>
          <w:color w:val="auto"/>
          <w:szCs w:val="21"/>
          <w:shd w:val="clear" w:color="auto" w:fill="FFFFFF"/>
        </w:rPr>
        <w:t>8</w:t>
      </w:r>
      <w:r>
        <w:rPr>
          <w:rFonts w:hint="eastAsia" w:ascii="宋体" w:hAnsi="宋体" w:cs="宋体"/>
          <w:color w:val="auto"/>
          <w:szCs w:val="21"/>
          <w:shd w:val="clear" w:color="auto" w:fill="FFFFFF"/>
          <w:lang w:val="zh-CN"/>
        </w:rPr>
        <w:t>：00至12:00，下午12:00至23:00</w:t>
      </w:r>
      <w:r>
        <w:rPr>
          <w:rFonts w:hint="eastAsia" w:ascii="宋体" w:hAnsi="宋体" w:cs="宋体"/>
          <w:color w:val="auto"/>
          <w:szCs w:val="21"/>
          <w:shd w:val="clear" w:color="auto" w:fill="FFFFFF"/>
        </w:rPr>
        <w:t>（北京时间，法定节假日除外）</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cs="宋体"/>
          <w:color w:val="000000" w:themeColor="text1"/>
          <w:szCs w:val="21"/>
          <w:shd w:val="clear" w:color="auto" w:fill="FFFFFF"/>
          <w14:textFill>
            <w14:solidFill>
              <w14:schemeClr w14:val="tx1"/>
            </w14:solidFill>
          </w14:textFill>
        </w:rPr>
        <w:t>地点：焦作市公共资源交易中心网站</w:t>
      </w:r>
      <w:r>
        <w:rPr>
          <w:rFonts w:hint="eastAsia" w:ascii="宋体" w:hAnsi="宋体" w:cs="宋体"/>
          <w:color w:val="000000" w:themeColor="text1"/>
          <w:szCs w:val="21"/>
          <w:shd w:val="clear" w:color="auto"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lang w:val="en-US" w:eastAsia="zh-CN"/>
          <w14:textFill>
            <w14:solidFill>
              <w14:schemeClr w14:val="tx1"/>
            </w14:solidFill>
          </w14:textFill>
        </w:rPr>
        <w:t>3.</w:t>
      </w:r>
      <w:r>
        <w:rPr>
          <w:rFonts w:hint="eastAsia" w:ascii="宋体" w:hAnsi="宋体" w:cs="宋体"/>
          <w:color w:val="000000" w:themeColor="text1"/>
          <w:szCs w:val="21"/>
          <w:shd w:val="clear" w:color="auto" w:fill="FFFFFF"/>
          <w14:textFill>
            <w14:solidFill>
              <w14:schemeClr w14:val="tx1"/>
            </w14:solidFill>
          </w14:textFill>
        </w:rPr>
        <w:t>方式：本项目采用网上获取招标文件，凡有意参加投标者，</w:t>
      </w:r>
      <w:r>
        <w:rPr>
          <w:rFonts w:hint="eastAsia" w:ascii="宋体" w:hAnsi="宋体" w:cs="宋体"/>
          <w:color w:val="000000" w:themeColor="text1"/>
          <w:szCs w:val="21"/>
          <w:shd w:val="clear" w:color="auto" w:fill="FFFFFF"/>
          <w:lang w:eastAsia="zh-CN"/>
          <w14:textFill>
            <w14:solidFill>
              <w14:schemeClr w14:val="tx1"/>
            </w14:solidFill>
          </w14:textFill>
        </w:rPr>
        <w:t>请登录</w:t>
      </w:r>
      <w:r>
        <w:rPr>
          <w:rFonts w:hint="eastAsia" w:ascii="宋体" w:hAnsi="宋体" w:cs="宋体"/>
          <w:color w:val="000000" w:themeColor="text1"/>
          <w:szCs w:val="21"/>
          <w:shd w:val="clear" w:color="auto" w:fill="FFFFFF"/>
          <w14:textFill>
            <w14:solidFill>
              <w14:schemeClr w14:val="tx1"/>
            </w14:solidFill>
          </w14:textFill>
        </w:rPr>
        <w:t>焦作市公共资源交易中心网站会员系统进行网上下载</w:t>
      </w:r>
      <w:r>
        <w:rPr>
          <w:rFonts w:hint="eastAsia" w:ascii="宋体" w:hAnsi="宋体" w:cs="宋体"/>
          <w:color w:val="000000" w:themeColor="text1"/>
          <w:szCs w:val="21"/>
          <w:shd w:val="clear" w:color="auto" w:fill="FFFFFF"/>
          <w:lang w:eastAsia="zh-CN"/>
          <w14:textFill>
            <w14:solidFill>
              <w14:schemeClr w14:val="tx1"/>
            </w14:solidFill>
          </w14:textFill>
        </w:rPr>
        <w:t>竞争性磋商</w:t>
      </w:r>
      <w:r>
        <w:rPr>
          <w:rFonts w:hint="eastAsia" w:ascii="宋体" w:hAnsi="宋体" w:cs="宋体"/>
          <w:color w:val="000000" w:themeColor="text1"/>
          <w:szCs w:val="21"/>
          <w:shd w:val="clear" w:color="auto" w:fill="FFFFFF"/>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特别提醒：获取</w:t>
      </w:r>
      <w:r>
        <w:rPr>
          <w:rFonts w:hint="eastAsia" w:ascii="宋体" w:hAnsi="宋体" w:cs="宋体"/>
          <w:color w:val="000000" w:themeColor="text1"/>
          <w:szCs w:val="21"/>
          <w:shd w:val="clear" w:color="auto" w:fill="FFFFFF"/>
          <w:lang w:eastAsia="zh-CN"/>
          <w14:textFill>
            <w14:solidFill>
              <w14:schemeClr w14:val="tx1"/>
            </w14:solidFill>
          </w14:textFill>
        </w:rPr>
        <w:t>磋商</w:t>
      </w:r>
      <w:r>
        <w:rPr>
          <w:rFonts w:hint="eastAsia" w:ascii="宋体" w:hAnsi="宋体" w:cs="宋体"/>
          <w:color w:val="000000" w:themeColor="text1"/>
          <w:szCs w:val="21"/>
          <w:shd w:val="clear" w:color="auto" w:fill="FFFFFF"/>
          <w14:textFill>
            <w14:solidFill>
              <w14:schemeClr w14:val="tx1"/>
            </w14:solidFill>
          </w14:textFill>
        </w:rPr>
        <w:t>文件前请到焦作市公共资源交易中心官网首页---下载中心--下载《焦作市电子招投标系统操作手册》按要求下载招标文件。平台统一技术服务电话为：400-998-0000，服务QQ：4008503300，服务时间：周一至周日8：00-17：30。凡未在规定时间内获取</w:t>
      </w:r>
      <w:r>
        <w:rPr>
          <w:rFonts w:hint="eastAsia" w:ascii="宋体" w:hAnsi="宋体" w:cs="宋体"/>
          <w:color w:val="000000" w:themeColor="text1"/>
          <w:szCs w:val="21"/>
          <w:shd w:val="clear" w:color="auto" w:fill="FFFFFF"/>
          <w:lang w:eastAsia="zh-CN"/>
          <w14:textFill>
            <w14:solidFill>
              <w14:schemeClr w14:val="tx1"/>
            </w14:solidFill>
          </w14:textFill>
        </w:rPr>
        <w:t>磋商</w:t>
      </w:r>
      <w:r>
        <w:rPr>
          <w:rFonts w:hint="eastAsia" w:ascii="宋体" w:hAnsi="宋体" w:cs="宋体"/>
          <w:color w:val="000000" w:themeColor="text1"/>
          <w:szCs w:val="21"/>
          <w:shd w:val="clear" w:color="auto" w:fill="FFFFFF"/>
          <w14:textFill>
            <w14:solidFill>
              <w14:schemeClr w14:val="tx1"/>
            </w14:solidFill>
          </w14:textFill>
        </w:rPr>
        <w:t>文件的视为无效标。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pPr>
      <w:r>
        <w:rPr>
          <w:rFonts w:hint="eastAsia" w:ascii="宋体" w:hAnsi="宋体" w:cs="宋体"/>
          <w:color w:val="000000" w:themeColor="text1"/>
          <w:szCs w:val="21"/>
          <w:shd w:val="clear" w:color="auto" w:fill="FFFFFF"/>
          <w:lang w:val="en-US" w:eastAsia="zh-CN"/>
          <w14:textFill>
            <w14:solidFill>
              <w14:schemeClr w14:val="tx1"/>
            </w14:solidFill>
          </w14:textFill>
        </w:rPr>
        <w:t>4.</w:t>
      </w:r>
      <w:r>
        <w:rPr>
          <w:rFonts w:hint="eastAsia" w:ascii="宋体" w:hAnsi="宋体" w:cs="宋体"/>
          <w:color w:val="000000" w:themeColor="text1"/>
          <w:szCs w:val="21"/>
          <w:shd w:val="clear" w:color="auto" w:fill="FFFFFF"/>
          <w14:textFill>
            <w14:solidFill>
              <w14:schemeClr w14:val="tx1"/>
            </w14:solidFill>
          </w14:textFill>
        </w:rPr>
        <w:t>售价：0元；</w:t>
      </w:r>
    </w:p>
    <w:p>
      <w:pPr>
        <w:spacing w:line="360" w:lineRule="exact"/>
        <w:jc w:val="left"/>
        <w:rPr>
          <w:rFonts w:hint="eastAsia" w:ascii="宋体" w:hAnsi="宋体" w:eastAsia="宋体" w:cs="宋体"/>
          <w:b/>
          <w:bCs/>
          <w:color w:val="000000" w:themeColor="text1"/>
          <w:szCs w:val="21"/>
          <w:shd w:val="clear" w:color="auto" w:fill="FFFFFF"/>
          <w:lang w:eastAsia="zh-CN"/>
          <w14:textFill>
            <w14:solidFill>
              <w14:schemeClr w14:val="tx1"/>
            </w14:solidFill>
          </w14:textFill>
        </w:rPr>
      </w:pPr>
      <w:r>
        <w:rPr>
          <w:rFonts w:hint="eastAsia" w:ascii="宋体" w:hAnsi="宋体" w:cs="宋体"/>
          <w:b/>
          <w:bCs/>
          <w:color w:val="000000" w:themeColor="text1"/>
          <w:szCs w:val="21"/>
          <w:shd w:val="clear" w:color="auto" w:fill="FFFFFF"/>
          <w14:textFill>
            <w14:solidFill>
              <w14:schemeClr w14:val="tx1"/>
            </w14:solidFill>
          </w14:textFill>
        </w:rPr>
        <w:t>四、</w:t>
      </w:r>
      <w:r>
        <w:rPr>
          <w:rFonts w:hint="eastAsia" w:ascii="宋体" w:hAnsi="宋体" w:cs="宋体"/>
          <w:b/>
          <w:bCs/>
          <w:color w:val="000000" w:themeColor="text1"/>
          <w:szCs w:val="21"/>
          <w:shd w:val="clear" w:color="auto" w:fill="FFFFFF"/>
          <w:lang w:eastAsia="zh-CN"/>
          <w14:textFill>
            <w14:solidFill>
              <w14:schemeClr w14:val="tx1"/>
            </w14:solidFill>
          </w14:textFill>
        </w:rPr>
        <w:t>响应文件提交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1.</w:t>
      </w:r>
      <w:r>
        <w:rPr>
          <w:rFonts w:hint="eastAsia" w:ascii="宋体" w:hAnsi="宋体" w:cs="宋体"/>
          <w:color w:val="auto"/>
          <w:szCs w:val="21"/>
          <w:shd w:val="clear" w:color="auto" w:fill="FFFFFF"/>
        </w:rPr>
        <w:t>时间：</w:t>
      </w:r>
      <w:r>
        <w:rPr>
          <w:rFonts w:hint="eastAsia" w:ascii="宋体" w:hAnsi="宋体" w:cs="宋体"/>
          <w:color w:val="auto"/>
          <w:szCs w:val="21"/>
          <w:shd w:val="clear" w:color="auto" w:fill="FFFFFF"/>
          <w:lang w:val="en-US" w:eastAsia="zh-CN"/>
        </w:rPr>
        <w:t>2023</w:t>
      </w:r>
      <w:r>
        <w:rPr>
          <w:rFonts w:hint="eastAsia" w:ascii="宋体" w:hAnsi="宋体" w:cs="宋体"/>
          <w:color w:val="auto"/>
          <w:szCs w:val="21"/>
          <w:shd w:val="clear" w:color="auto" w:fill="FFFFFF"/>
        </w:rPr>
        <w:t>年</w:t>
      </w:r>
      <w:r>
        <w:rPr>
          <w:rFonts w:hint="eastAsia" w:ascii="宋体" w:hAnsi="宋体" w:cs="宋体"/>
          <w:color w:val="auto"/>
          <w:szCs w:val="21"/>
          <w:shd w:val="clear" w:color="auto" w:fill="FFFFFF"/>
          <w:lang w:val="en-US" w:eastAsia="zh-CN"/>
        </w:rPr>
        <w:t>11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 xml:space="preserve"> 28 </w:t>
      </w:r>
      <w:r>
        <w:rPr>
          <w:rFonts w:hint="eastAsia" w:ascii="宋体" w:hAnsi="宋体" w:cs="宋体"/>
          <w:color w:val="auto"/>
          <w:szCs w:val="21"/>
          <w:shd w:val="clear" w:color="auto" w:fill="FFFFFF"/>
        </w:rPr>
        <w:t>日</w:t>
      </w:r>
      <w:r>
        <w:rPr>
          <w:rFonts w:hint="eastAsia" w:ascii="宋体" w:hAnsi="宋体" w:cs="宋体"/>
          <w:color w:val="auto"/>
          <w:szCs w:val="21"/>
          <w:shd w:val="clear" w:color="auto" w:fill="FFFFFF"/>
          <w:lang w:val="en-US" w:eastAsia="zh-CN"/>
        </w:rPr>
        <w:t xml:space="preserve"> 9</w:t>
      </w:r>
      <w:r>
        <w:rPr>
          <w:rFonts w:hint="eastAsia" w:ascii="宋体" w:hAnsi="宋体" w:cs="宋体"/>
          <w:color w:val="auto"/>
          <w:szCs w:val="21"/>
          <w:shd w:val="clear" w:color="auto" w:fill="FFFFFF"/>
        </w:rPr>
        <w:t xml:space="preserve">点 </w:t>
      </w:r>
      <w:r>
        <w:rPr>
          <w:rFonts w:hint="eastAsia" w:ascii="宋体" w:hAnsi="宋体" w:cs="宋体"/>
          <w:color w:val="auto"/>
          <w:szCs w:val="21"/>
          <w:shd w:val="clear" w:color="auto" w:fill="FFFFFF"/>
          <w:lang w:val="en-US" w:eastAsia="zh-CN"/>
        </w:rPr>
        <w:t xml:space="preserve">00 </w:t>
      </w:r>
      <w:r>
        <w:rPr>
          <w:rFonts w:hint="eastAsia" w:ascii="宋体" w:hAnsi="宋体" w:cs="宋体"/>
          <w:color w:val="auto"/>
          <w:szCs w:val="21"/>
          <w:shd w:val="clear" w:color="auto" w:fill="FFFFFF"/>
        </w:rPr>
        <w:t>分（北京时间）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cs="宋体"/>
          <w:color w:val="000000" w:themeColor="text1"/>
          <w:szCs w:val="21"/>
          <w:shd w:val="clear" w:color="auto" w:fill="FFFFFF"/>
          <w14:textFill>
            <w14:solidFill>
              <w14:schemeClr w14:val="tx1"/>
            </w14:solidFill>
          </w14:textFill>
        </w:rPr>
        <w:t>地点：温县公共资源交易中心开标室（具体详见开标当日公示牌）</w:t>
      </w:r>
    </w:p>
    <w:p>
      <w:pPr>
        <w:spacing w:line="360" w:lineRule="exact"/>
        <w:jc w:val="left"/>
        <w:rPr>
          <w:rFonts w:hint="eastAsia" w:ascii="宋体" w:hAnsi="宋体" w:eastAsia="宋体" w:cs="宋体"/>
          <w:b/>
          <w:bCs/>
          <w:color w:val="000000" w:themeColor="text1"/>
          <w:szCs w:val="21"/>
          <w:shd w:val="clear" w:color="auto" w:fill="FFFFFF"/>
          <w:lang w:eastAsia="zh-CN"/>
          <w14:textFill>
            <w14:solidFill>
              <w14:schemeClr w14:val="tx1"/>
            </w14:solidFill>
          </w14:textFill>
        </w:rPr>
      </w:pPr>
      <w:r>
        <w:rPr>
          <w:rFonts w:hint="eastAsia" w:ascii="宋体" w:hAnsi="宋体" w:cs="宋体"/>
          <w:b/>
          <w:bCs/>
          <w:color w:val="000000" w:themeColor="text1"/>
          <w:szCs w:val="21"/>
          <w:shd w:val="clear" w:color="auto" w:fill="FFFFFF"/>
          <w14:textFill>
            <w14:solidFill>
              <w14:schemeClr w14:val="tx1"/>
            </w14:solidFill>
          </w14:textFill>
        </w:rPr>
        <w:t>五、</w:t>
      </w:r>
      <w:r>
        <w:rPr>
          <w:rFonts w:hint="eastAsia" w:ascii="宋体" w:hAnsi="宋体" w:cs="宋体"/>
          <w:b/>
          <w:bCs/>
          <w:color w:val="000000" w:themeColor="text1"/>
          <w:szCs w:val="21"/>
          <w:shd w:val="clear" w:color="auto" w:fill="FFFFFF"/>
          <w:lang w:eastAsia="zh-CN"/>
          <w14:textFill>
            <w14:solidFill>
              <w14:schemeClr w14:val="tx1"/>
            </w14:solidFill>
          </w14:textFill>
        </w:rPr>
        <w:t>响应文件开启</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shd w:val="clear" w:color="auto" w:fill="FFFFFF"/>
        </w:rPr>
      </w:pPr>
      <w:r>
        <w:rPr>
          <w:rFonts w:hint="eastAsia" w:ascii="宋体" w:hAnsi="宋体" w:cs="宋体"/>
          <w:color w:val="auto"/>
          <w:szCs w:val="21"/>
          <w:shd w:val="clear" w:color="auto" w:fill="FFFFFF"/>
        </w:rPr>
        <w:t>时间：</w:t>
      </w:r>
      <w:r>
        <w:rPr>
          <w:rFonts w:hint="eastAsia" w:ascii="宋体" w:hAnsi="宋体" w:cs="宋体"/>
          <w:color w:val="auto"/>
          <w:szCs w:val="21"/>
          <w:shd w:val="clear" w:color="auto" w:fill="FFFFFF"/>
          <w:lang w:val="en-US" w:eastAsia="zh-CN"/>
        </w:rPr>
        <w:t xml:space="preserve"> 2023</w:t>
      </w:r>
      <w:r>
        <w:rPr>
          <w:rFonts w:hint="eastAsia" w:ascii="宋体" w:hAnsi="宋体" w:cs="宋体"/>
          <w:color w:val="auto"/>
          <w:szCs w:val="21"/>
          <w:shd w:val="clear" w:color="auto" w:fill="FFFFFF"/>
        </w:rPr>
        <w:t>年</w:t>
      </w:r>
      <w:r>
        <w:rPr>
          <w:rFonts w:hint="eastAsia" w:ascii="宋体" w:hAnsi="宋体" w:cs="宋体"/>
          <w:color w:val="auto"/>
          <w:szCs w:val="21"/>
          <w:shd w:val="clear" w:color="auto" w:fill="FFFFFF"/>
          <w:lang w:val="en-US" w:eastAsia="zh-CN"/>
        </w:rPr>
        <w:t>11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 xml:space="preserve"> 28 </w:t>
      </w:r>
      <w:r>
        <w:rPr>
          <w:rFonts w:hint="eastAsia" w:ascii="宋体" w:hAnsi="宋体" w:cs="宋体"/>
          <w:color w:val="auto"/>
          <w:szCs w:val="21"/>
          <w:shd w:val="clear" w:color="auto" w:fill="FFFFFF"/>
        </w:rPr>
        <w:t>日</w:t>
      </w:r>
      <w:r>
        <w:rPr>
          <w:rFonts w:hint="eastAsia" w:ascii="宋体" w:hAnsi="宋体" w:cs="宋体"/>
          <w:color w:val="auto"/>
          <w:szCs w:val="21"/>
          <w:shd w:val="clear" w:color="auto" w:fill="FFFFFF"/>
          <w:lang w:val="en-US" w:eastAsia="zh-CN"/>
        </w:rPr>
        <w:t xml:space="preserve"> 9</w:t>
      </w:r>
      <w:r>
        <w:rPr>
          <w:rFonts w:hint="eastAsia" w:ascii="宋体" w:hAnsi="宋体" w:cs="宋体"/>
          <w:color w:val="auto"/>
          <w:szCs w:val="21"/>
          <w:shd w:val="clear" w:color="auto" w:fill="FFFFFF"/>
        </w:rPr>
        <w:t xml:space="preserve">点 </w:t>
      </w:r>
      <w:r>
        <w:rPr>
          <w:rFonts w:hint="eastAsia" w:ascii="宋体" w:hAnsi="宋体" w:cs="宋体"/>
          <w:color w:val="auto"/>
          <w:szCs w:val="21"/>
          <w:shd w:val="clear" w:color="auto" w:fill="FFFFFF"/>
          <w:lang w:val="en-US" w:eastAsia="zh-CN"/>
        </w:rPr>
        <w:t xml:space="preserve">00 </w:t>
      </w:r>
      <w:r>
        <w:rPr>
          <w:rFonts w:hint="eastAsia" w:ascii="宋体" w:hAnsi="宋体" w:cs="宋体"/>
          <w:color w:val="auto"/>
          <w:szCs w:val="21"/>
          <w:shd w:val="clear" w:color="auto" w:fill="FFFFFF"/>
        </w:rPr>
        <w:t>分（北京时间）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地点：温县公共资源交易中心开标室（具体详见开标当日公示牌）</w:t>
      </w:r>
    </w:p>
    <w:p>
      <w:pPr>
        <w:spacing w:line="360" w:lineRule="exact"/>
        <w:jc w:val="left"/>
        <w:rPr>
          <w:rFonts w:ascii="宋体" w:hAnsi="宋体" w:cs="宋体"/>
          <w:b/>
          <w:bCs/>
          <w:color w:val="000000" w:themeColor="text1"/>
          <w:szCs w:val="21"/>
          <w:shd w:val="clear" w:color="auto" w:fill="FFFFFF"/>
          <w14:textFill>
            <w14:solidFill>
              <w14:schemeClr w14:val="tx1"/>
            </w14:solidFill>
          </w14:textFill>
        </w:rPr>
      </w:pPr>
      <w:r>
        <w:rPr>
          <w:rFonts w:hint="eastAsia" w:ascii="宋体" w:hAnsi="宋体" w:cs="宋体"/>
          <w:b/>
          <w:bCs/>
          <w:color w:val="000000" w:themeColor="text1"/>
          <w:szCs w:val="21"/>
          <w:shd w:val="clear" w:color="auto" w:fill="FFFFFF"/>
          <w:lang w:val="en-US" w:eastAsia="zh-CN"/>
          <w14:textFill>
            <w14:solidFill>
              <w14:schemeClr w14:val="tx1"/>
            </w14:solidFill>
          </w14:textFill>
        </w:rPr>
        <w:t>六、发布公告的媒介及招标</w:t>
      </w:r>
      <w:r>
        <w:rPr>
          <w:rFonts w:hint="eastAsia" w:ascii="宋体" w:hAnsi="宋体" w:cs="宋体"/>
          <w:b/>
          <w:bCs/>
          <w:color w:val="000000" w:themeColor="text1"/>
          <w:szCs w:val="21"/>
          <w:shd w:val="clear" w:color="auto" w:fill="FFFFFF"/>
          <w14:textFill>
            <w14:solidFill>
              <w14:schemeClr w14:val="tx1"/>
            </w14:solidFill>
          </w14:textFill>
        </w:rPr>
        <w:t>公告期限：</w:t>
      </w:r>
    </w:p>
    <w:p>
      <w:pPr>
        <w:pStyle w:val="28"/>
        <w:spacing w:before="0" w:beforeAutospacing="0" w:after="0" w:afterAutospacing="0" w:line="440" w:lineRule="exact"/>
        <w:ind w:firstLine="409" w:firstLineChars="195"/>
        <w:jc w:val="both"/>
        <w:rPr>
          <w:rFonts w:ascii="宋体" w:hAnsi="宋体" w:cs="宋体"/>
          <w:color w:val="000000" w:themeColor="text1"/>
          <w:szCs w:val="21"/>
          <w:shd w:val="clear" w:color="auto" w:fill="FFFFFF"/>
          <w14:textFill>
            <w14:solidFill>
              <w14:schemeClr w14:val="tx1"/>
            </w14:solidFill>
          </w14:textFill>
        </w:rPr>
      </w:pPr>
      <w:r>
        <w:rPr>
          <w:rFonts w:hint="eastAsia"/>
          <w:color w:val="000000" w:themeColor="text1"/>
          <w:sz w:val="21"/>
          <w:szCs w:val="21"/>
          <w14:textFill>
            <w14:solidFill>
              <w14:schemeClr w14:val="tx1"/>
            </w14:solidFill>
          </w14:textFill>
        </w:rPr>
        <w:t>本次公告在《河南省政府采购网</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焦作市公共资源交易中心网</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温县公共资源交易中心网》上发布</w:t>
      </w:r>
      <w:r>
        <w:rPr>
          <w:rFonts w:hint="eastAsia"/>
          <w:color w:val="000000" w:themeColor="text1"/>
          <w:sz w:val="21"/>
          <w:szCs w:val="21"/>
          <w:lang w:eastAsia="zh-CN"/>
          <w14:textFill>
            <w14:solidFill>
              <w14:schemeClr w14:val="tx1"/>
            </w14:solidFill>
          </w14:textFill>
        </w:rPr>
        <w:t>，公告期限为五</w:t>
      </w:r>
      <w:r>
        <w:rPr>
          <w:rFonts w:hint="eastAsia"/>
          <w:color w:val="000000" w:themeColor="text1"/>
          <w:sz w:val="21"/>
          <w:szCs w:val="21"/>
          <w14:textFill>
            <w14:solidFill>
              <w14:schemeClr w14:val="tx1"/>
            </w14:solidFill>
          </w14:textFill>
        </w:rPr>
        <w:t>个工作日。</w:t>
      </w:r>
    </w:p>
    <w:p>
      <w:pPr>
        <w:spacing w:line="360" w:lineRule="exact"/>
        <w:jc w:val="left"/>
        <w:rPr>
          <w:rFonts w:ascii="宋体" w:hAnsi="宋体" w:cs="宋体"/>
          <w:b/>
          <w:bCs/>
          <w:color w:val="000000" w:themeColor="text1"/>
          <w:szCs w:val="21"/>
          <w:shd w:val="clear" w:color="auto" w:fill="FFFFFF"/>
          <w14:textFill>
            <w14:solidFill>
              <w14:schemeClr w14:val="tx1"/>
            </w14:solidFill>
          </w14:textFill>
        </w:rPr>
      </w:pPr>
      <w:r>
        <w:rPr>
          <w:rFonts w:hint="eastAsia" w:ascii="宋体" w:hAnsi="宋体" w:cs="宋体"/>
          <w:b/>
          <w:bCs/>
          <w:color w:val="000000" w:themeColor="text1"/>
          <w:szCs w:val="21"/>
          <w:shd w:val="clear" w:color="auto" w:fill="FFFFFF"/>
          <w:lang w:eastAsia="zh-CN"/>
          <w14:textFill>
            <w14:solidFill>
              <w14:schemeClr w14:val="tx1"/>
            </w14:solidFill>
          </w14:textFill>
        </w:rPr>
        <w:t>七</w:t>
      </w:r>
      <w:r>
        <w:rPr>
          <w:rFonts w:hint="eastAsia" w:ascii="宋体" w:hAnsi="宋体" w:cs="宋体"/>
          <w:b/>
          <w:bCs/>
          <w:color w:val="000000" w:themeColor="text1"/>
          <w:szCs w:val="21"/>
          <w:shd w:val="clear" w:color="auto" w:fill="FFFFFF"/>
          <w14:textFill>
            <w14:solidFill>
              <w14:schemeClr w14:val="tx1"/>
            </w14:solidFill>
          </w14:textFill>
        </w:rPr>
        <w:t>、其他补充事宜：</w:t>
      </w:r>
    </w:p>
    <w:p>
      <w:pPr>
        <w:pStyle w:val="28"/>
        <w:spacing w:before="0" w:beforeAutospacing="0" w:after="0" w:afterAutospacing="0" w:line="440" w:lineRule="exact"/>
        <w:ind w:firstLine="409" w:firstLineChars="195"/>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本项目采用“远程不见面”的开标方式，潜在投标人可提前在焦作市交易中心官网首页---下载中心--下载《焦作市电子招投标系统操作手册》和《焦作市公共资源交易平台不见面开标操作手册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投标文件制作工作工具》等，查看操作说明，按要求进行投标文件制作和上传等。为避免网络拥堵等不可控因素影响投标文件的上传，请提前上传投标文件，并在开标截止时间前登录不见面开标大厅进行签到，逾期或未按规定时间进行签到的，投标文件不予受理。按要求解密投标文件。因文件未及时上传导致投标失败的责任由投标人自行承担，具体要求详见招标文件。 平台统一技术服务电话：400-998-0000，服务 QQ：4008503300，服务时间：周一至周日 8：00-17：30。</w:t>
      </w:r>
    </w:p>
    <w:p>
      <w:pPr>
        <w:pStyle w:val="28"/>
        <w:spacing w:before="0" w:beforeAutospacing="0" w:after="0" w:afterAutospacing="0" w:line="440" w:lineRule="exact"/>
        <w:ind w:firstLine="409" w:firstLineChars="195"/>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加密电子投标文件须在焦作市公共资源交易中心电子交易平台中加密上传，上传时必须得到电脑“上传成功”的确认回复后方为上传成功。投标人无需到现场参加开标会议，无需到达现场提交原件资料。投标人应当在投标截止前，登录远程开标大厅，在线准时参加开标活动并进行文件解密、答疑澄清等。在规定时间内未签到、投标文件未解密的投标人，视为放弃投标。</w:t>
      </w:r>
    </w:p>
    <w:p>
      <w:pPr>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lang w:eastAsia="zh-CN"/>
          <w14:textFill>
            <w14:solidFill>
              <w14:schemeClr w14:val="tx1"/>
            </w14:solidFill>
          </w14:textFill>
        </w:rPr>
        <w:t>八</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lang w:eastAsia="zh-CN"/>
          <w14:textFill>
            <w14:solidFill>
              <w14:schemeClr w14:val="tx1"/>
            </w14:solidFill>
          </w14:textFill>
        </w:rPr>
        <w:t>凡</w:t>
      </w:r>
      <w:r>
        <w:rPr>
          <w:rFonts w:hint="eastAsia" w:ascii="宋体" w:hAnsi="宋体" w:cs="宋体"/>
          <w:b/>
          <w:bCs/>
          <w:color w:val="000000" w:themeColor="text1"/>
          <w:szCs w:val="21"/>
          <w14:textFill>
            <w14:solidFill>
              <w14:schemeClr w14:val="tx1"/>
            </w14:solidFill>
          </w14:textFill>
        </w:rPr>
        <w:t>对本次招标提出询问，请按以下方式联系。</w:t>
      </w:r>
    </w:p>
    <w:p>
      <w:pPr>
        <w:pStyle w:val="28"/>
        <w:spacing w:before="0" w:beforeAutospacing="0" w:after="0" w:afterAutospacing="0" w:line="440" w:lineRule="exact"/>
        <w:ind w:firstLine="409" w:firstLineChars="195"/>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1.采购人信息：</w:t>
      </w:r>
    </w:p>
    <w:p>
      <w:pPr>
        <w:pStyle w:val="28"/>
        <w:spacing w:before="0" w:beforeAutospacing="0" w:after="0" w:afterAutospacing="0" w:line="440" w:lineRule="exact"/>
        <w:ind w:firstLine="409" w:firstLineChars="195"/>
        <w:jc w:val="both"/>
        <w:rPr>
          <w:rFonts w:hint="eastAsia" w:eastAsia="宋体"/>
          <w:color w:val="auto"/>
          <w:sz w:val="21"/>
          <w:szCs w:val="21"/>
          <w:lang w:eastAsia="zh-CN"/>
        </w:rPr>
      </w:pPr>
      <w:r>
        <w:rPr>
          <w:rFonts w:hint="eastAsia"/>
          <w:color w:val="auto"/>
          <w:sz w:val="21"/>
          <w:szCs w:val="21"/>
        </w:rPr>
        <w:t>名    称：</w:t>
      </w:r>
      <w:r>
        <w:rPr>
          <w:rFonts w:hint="eastAsia"/>
          <w:color w:val="auto"/>
          <w:sz w:val="21"/>
          <w:szCs w:val="21"/>
          <w:shd w:val="clear" w:color="auto" w:fill="FFFFFF"/>
          <w:lang w:val="en-US" w:eastAsia="zh-CN"/>
        </w:rPr>
        <w:t>温县陈家沟景区发展中心</w:t>
      </w:r>
    </w:p>
    <w:p>
      <w:pPr>
        <w:pStyle w:val="28"/>
        <w:spacing w:before="0" w:beforeAutospacing="0" w:after="0" w:afterAutospacing="0" w:line="440" w:lineRule="exact"/>
        <w:ind w:firstLine="409" w:firstLineChars="195"/>
        <w:jc w:val="both"/>
        <w:rPr>
          <w:rFonts w:hint="eastAsia" w:eastAsia="宋体"/>
          <w:color w:val="auto"/>
          <w:sz w:val="21"/>
          <w:szCs w:val="21"/>
          <w:lang w:eastAsia="zh-CN"/>
        </w:rPr>
      </w:pPr>
      <w:r>
        <w:rPr>
          <w:rFonts w:hint="eastAsia"/>
          <w:color w:val="auto"/>
          <w:sz w:val="21"/>
          <w:szCs w:val="21"/>
        </w:rPr>
        <w:t>地    址：</w:t>
      </w:r>
      <w:r>
        <w:rPr>
          <w:rFonts w:hint="eastAsia"/>
          <w:color w:val="auto"/>
          <w:sz w:val="21"/>
          <w:szCs w:val="21"/>
          <w:lang w:val="en-US" w:eastAsia="zh-CN"/>
        </w:rPr>
        <w:t>温县陈家沟</w:t>
      </w:r>
      <w:r>
        <w:rPr>
          <w:rFonts w:hint="eastAsia" w:ascii="新宋体" w:hAnsi="新宋体" w:eastAsia="新宋体" w:cs="新宋体"/>
          <w:color w:val="auto"/>
          <w:sz w:val="21"/>
          <w:szCs w:val="21"/>
          <w:lang w:val="en-US" w:eastAsia="zh-CN"/>
        </w:rPr>
        <w:t xml:space="preserve"> </w:t>
      </w:r>
    </w:p>
    <w:p>
      <w:pPr>
        <w:pStyle w:val="28"/>
        <w:spacing w:before="0" w:beforeAutospacing="0" w:after="0" w:afterAutospacing="0" w:line="440" w:lineRule="exact"/>
        <w:ind w:firstLine="409" w:firstLineChars="195"/>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联</w:t>
      </w:r>
      <w:r>
        <w:rPr>
          <w:rFonts w:hint="eastAsia"/>
          <w:color w:val="000000" w:themeColor="text1"/>
          <w:sz w:val="21"/>
          <w:szCs w:val="21"/>
          <w:shd w:val="clear" w:color="auto" w:fill="FFFFFF"/>
          <w:lang w:val="en-US" w:eastAsia="zh-CN"/>
          <w14:textFill>
            <w14:solidFill>
              <w14:schemeClr w14:val="tx1"/>
            </w14:solidFill>
          </w14:textFill>
        </w:rPr>
        <w:t xml:space="preserve"> </w:t>
      </w:r>
      <w:r>
        <w:rPr>
          <w:rFonts w:hint="eastAsia"/>
          <w:color w:val="000000" w:themeColor="text1"/>
          <w:sz w:val="21"/>
          <w:szCs w:val="21"/>
          <w:shd w:val="clear" w:color="auto" w:fill="FFFFFF"/>
          <w14:textFill>
            <w14:solidFill>
              <w14:schemeClr w14:val="tx1"/>
            </w14:solidFill>
          </w14:textFill>
        </w:rPr>
        <w:t>系</w:t>
      </w:r>
      <w:r>
        <w:rPr>
          <w:rFonts w:hint="eastAsia"/>
          <w:color w:val="000000" w:themeColor="text1"/>
          <w:sz w:val="21"/>
          <w:szCs w:val="21"/>
          <w:shd w:val="clear" w:color="auto" w:fill="FFFFFF"/>
          <w:lang w:val="en-US" w:eastAsia="zh-CN"/>
          <w14:textFill>
            <w14:solidFill>
              <w14:schemeClr w14:val="tx1"/>
            </w14:solidFill>
          </w14:textFill>
        </w:rPr>
        <w:t xml:space="preserve"> </w:t>
      </w:r>
      <w:r>
        <w:rPr>
          <w:rFonts w:hint="eastAsia"/>
          <w:color w:val="000000" w:themeColor="text1"/>
          <w:sz w:val="21"/>
          <w:szCs w:val="21"/>
          <w:shd w:val="clear" w:color="auto" w:fill="FFFFFF"/>
          <w14:textFill>
            <w14:solidFill>
              <w14:schemeClr w14:val="tx1"/>
            </w14:solidFill>
          </w14:textFill>
        </w:rPr>
        <w:t>人：</w:t>
      </w:r>
      <w:r>
        <w:rPr>
          <w:rFonts w:hint="eastAsia"/>
          <w:color w:val="000000" w:themeColor="text1"/>
          <w:sz w:val="21"/>
          <w:szCs w:val="21"/>
          <w:shd w:val="clear" w:color="auto" w:fill="FFFFFF"/>
          <w:lang w:val="en-US" w:eastAsia="zh-CN"/>
          <w14:textFill>
            <w14:solidFill>
              <w14:schemeClr w14:val="tx1"/>
            </w14:solidFill>
          </w14:textFill>
        </w:rPr>
        <w:t>毛先生</w:t>
      </w:r>
      <w:r>
        <w:rPr>
          <w:rFonts w:hint="eastAsia" w:ascii="新宋体" w:hAnsi="新宋体" w:eastAsia="新宋体" w:cs="新宋体"/>
          <w:color w:val="000000" w:themeColor="text1"/>
          <w:sz w:val="21"/>
          <w:szCs w:val="21"/>
          <w:lang w:val="en-US" w:eastAsia="zh-CN"/>
          <w14:textFill>
            <w14:solidFill>
              <w14:schemeClr w14:val="tx1"/>
            </w14:solidFill>
          </w14:textFill>
        </w:rPr>
        <w:t xml:space="preserve"> </w:t>
      </w:r>
    </w:p>
    <w:p>
      <w:pPr>
        <w:pStyle w:val="28"/>
        <w:spacing w:before="0" w:beforeAutospacing="0" w:after="0" w:afterAutospacing="0" w:line="440" w:lineRule="exact"/>
        <w:ind w:firstLine="409" w:firstLineChars="195"/>
        <w:jc w:val="both"/>
        <w:rPr>
          <w:rFonts w:hint="eastAsia" w:eastAsia="宋体"/>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联系</w:t>
      </w:r>
      <w:r>
        <w:rPr>
          <w:rFonts w:hint="eastAsia"/>
          <w:color w:val="000000" w:themeColor="text1"/>
          <w:sz w:val="21"/>
          <w:szCs w:val="21"/>
          <w14:textFill>
            <w14:solidFill>
              <w14:schemeClr w14:val="tx1"/>
            </w14:solidFill>
          </w14:textFill>
        </w:rPr>
        <w:t>方式</w:t>
      </w: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18639156719</w:t>
      </w:r>
    </w:p>
    <w:p>
      <w:pPr>
        <w:pStyle w:val="28"/>
        <w:spacing w:before="0" w:beforeAutospacing="0" w:after="0" w:afterAutospacing="0" w:line="440" w:lineRule="exact"/>
        <w:ind w:firstLine="409" w:firstLineChars="195"/>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2.采购代理机构信息</w:t>
      </w:r>
    </w:p>
    <w:p>
      <w:pPr>
        <w:pStyle w:val="28"/>
        <w:spacing w:before="0" w:beforeAutospacing="0" w:after="0" w:afterAutospacing="0" w:line="440" w:lineRule="exact"/>
        <w:ind w:firstLine="409" w:firstLineChars="195"/>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名    称：</w:t>
      </w:r>
      <w:r>
        <w:rPr>
          <w:rFonts w:hint="eastAsia"/>
          <w:color w:val="000000" w:themeColor="text1"/>
          <w:sz w:val="21"/>
          <w:szCs w:val="21"/>
          <w:shd w:val="clear" w:color="auto" w:fill="FFFFFF"/>
          <w:lang w:val="en-US" w:eastAsia="zh-CN"/>
          <w14:textFill>
            <w14:solidFill>
              <w14:schemeClr w14:val="tx1"/>
            </w14:solidFill>
          </w14:textFill>
        </w:rPr>
        <w:t>中昕国际项目管理有限公司</w:t>
      </w:r>
    </w:p>
    <w:p>
      <w:pPr>
        <w:pStyle w:val="28"/>
        <w:spacing w:before="0" w:beforeAutospacing="0" w:after="0" w:afterAutospacing="0" w:line="440" w:lineRule="exact"/>
        <w:ind w:firstLine="420" w:firstLineChars="200"/>
        <w:jc w:val="both"/>
        <w:rPr>
          <w:rFonts w:hint="eastAsia" w:eastAsia="宋体"/>
          <w:color w:val="000000" w:themeColor="text1"/>
          <w:sz w:val="21"/>
          <w:szCs w:val="21"/>
          <w:shd w:val="clear" w:color="auto" w:fill="FFFFFF"/>
          <w:lang w:eastAsia="zh-CN"/>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 xml:space="preserve">地   </w:t>
      </w:r>
      <w:r>
        <w:rPr>
          <w:rFonts w:hint="eastAsia"/>
          <w:color w:val="000000" w:themeColor="text1"/>
          <w:sz w:val="21"/>
          <w:szCs w:val="21"/>
          <w:shd w:val="clear" w:color="auto" w:fill="FFFFFF"/>
          <w:lang w:val="en-US" w:eastAsia="zh-CN"/>
          <w14:textFill>
            <w14:solidFill>
              <w14:schemeClr w14:val="tx1"/>
            </w14:solidFill>
          </w14:textFill>
        </w:rPr>
        <w:t xml:space="preserve"> </w:t>
      </w:r>
      <w:r>
        <w:rPr>
          <w:rFonts w:hint="eastAsia"/>
          <w:color w:val="000000" w:themeColor="text1"/>
          <w:sz w:val="21"/>
          <w:szCs w:val="21"/>
          <w:shd w:val="clear" w:color="auto" w:fill="FFFFFF"/>
          <w14:textFill>
            <w14:solidFill>
              <w14:schemeClr w14:val="tx1"/>
            </w14:solidFill>
          </w14:textFill>
        </w:rPr>
        <w:t>址：</w:t>
      </w:r>
      <w:r>
        <w:rPr>
          <w:rFonts w:hint="eastAsia"/>
          <w:color w:val="000000" w:themeColor="text1"/>
          <w:sz w:val="21"/>
          <w:szCs w:val="21"/>
          <w:shd w:val="clear" w:color="auto" w:fill="FFFFFF"/>
          <w:lang w:val="en-US" w:eastAsia="zh-CN"/>
          <w14:textFill>
            <w14:solidFill>
              <w14:schemeClr w14:val="tx1"/>
            </w14:solidFill>
          </w14:textFill>
        </w:rPr>
        <w:t>温县振兴路昊天花苑</w:t>
      </w:r>
    </w:p>
    <w:p>
      <w:pPr>
        <w:pStyle w:val="28"/>
        <w:spacing w:before="0" w:beforeAutospacing="0" w:after="0" w:afterAutospacing="0" w:line="440" w:lineRule="exact"/>
        <w:ind w:firstLine="409" w:firstLineChars="195"/>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联</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系</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人：</w:t>
      </w:r>
      <w:r>
        <w:rPr>
          <w:rFonts w:hint="eastAsia"/>
          <w:color w:val="000000" w:themeColor="text1"/>
          <w:sz w:val="21"/>
          <w:szCs w:val="21"/>
          <w:lang w:val="en-US" w:eastAsia="zh-CN"/>
          <w14:textFill>
            <w14:solidFill>
              <w14:schemeClr w14:val="tx1"/>
            </w14:solidFill>
          </w14:textFill>
        </w:rPr>
        <w:t>崔女士</w:t>
      </w:r>
      <w:r>
        <w:rPr>
          <w:rFonts w:hint="eastAsia"/>
          <w:color w:val="000000" w:themeColor="text1"/>
          <w:sz w:val="21"/>
          <w:szCs w:val="21"/>
          <w:shd w:val="clear" w:color="auto" w:fill="FFFFFF"/>
          <w:lang w:val="en-US" w:eastAsia="zh-CN"/>
          <w14:textFill>
            <w14:solidFill>
              <w14:schemeClr w14:val="tx1"/>
            </w14:solidFill>
          </w14:textFill>
        </w:rPr>
        <w:t xml:space="preserve"> </w:t>
      </w:r>
    </w:p>
    <w:p>
      <w:pPr>
        <w:widowControl/>
        <w:spacing w:line="420" w:lineRule="exact"/>
        <w:ind w:firstLine="420" w:firstLineChars="200"/>
        <w:jc w:val="left"/>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联系方式：</w:t>
      </w:r>
      <w:r>
        <w:rPr>
          <w:rFonts w:hint="eastAsia"/>
          <w:color w:val="000000" w:themeColor="text1"/>
          <w:szCs w:val="21"/>
          <w:lang w:val="en-US" w:eastAsia="zh-CN"/>
          <w14:textFill>
            <w14:solidFill>
              <w14:schemeClr w14:val="tx1"/>
            </w14:solidFill>
          </w14:textFill>
        </w:rPr>
        <w:t>15893039297</w:t>
      </w:r>
      <w:r>
        <w:rPr>
          <w:rFonts w:hint="eastAsia" w:ascii="宋体" w:hAnsi="宋体" w:cs="宋体"/>
          <w:color w:val="000000" w:themeColor="text1"/>
          <w:kern w:val="0"/>
          <w:szCs w:val="21"/>
          <w:shd w:val="clear" w:color="auto" w:fill="FFFFFF"/>
          <w:lang w:val="en-US" w:eastAsia="zh-CN"/>
          <w14:textFill>
            <w14:solidFill>
              <w14:schemeClr w14:val="tx1"/>
            </w14:solidFill>
          </w14:textFill>
        </w:rPr>
        <w:t xml:space="preserve"> </w:t>
      </w:r>
    </w:p>
    <w:p>
      <w:pPr>
        <w:pStyle w:val="28"/>
        <w:spacing w:before="0" w:beforeAutospacing="0" w:after="0" w:afterAutospacing="0" w:line="440" w:lineRule="exact"/>
        <w:ind w:firstLine="409" w:firstLineChars="195"/>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3.项目联系方式</w:t>
      </w:r>
    </w:p>
    <w:p>
      <w:pPr>
        <w:pStyle w:val="28"/>
        <w:spacing w:before="0" w:beforeAutospacing="0" w:after="0" w:afterAutospacing="0" w:line="440" w:lineRule="exact"/>
        <w:ind w:firstLine="409" w:firstLineChars="195"/>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项目联系人：</w:t>
      </w:r>
      <w:r>
        <w:rPr>
          <w:rFonts w:hint="eastAsia"/>
          <w:color w:val="000000" w:themeColor="text1"/>
          <w:sz w:val="21"/>
          <w:szCs w:val="21"/>
          <w:shd w:val="clear" w:color="auto" w:fill="FFFFFF"/>
          <w:lang w:val="en-US" w:eastAsia="zh-CN"/>
          <w14:textFill>
            <w14:solidFill>
              <w14:schemeClr w14:val="tx1"/>
            </w14:solidFill>
          </w14:textFill>
        </w:rPr>
        <w:t xml:space="preserve">毛先生 </w:t>
      </w:r>
    </w:p>
    <w:p>
      <w:pPr>
        <w:pStyle w:val="28"/>
        <w:spacing w:before="0" w:beforeAutospacing="0" w:after="0" w:afterAutospacing="0" w:line="440" w:lineRule="exact"/>
        <w:ind w:firstLine="409" w:firstLineChars="195"/>
        <w:jc w:val="both"/>
        <w:rPr>
          <w:rFonts w:hint="eastAsia" w:ascii="宋体" w:hAnsi="宋体" w:eastAsia="宋体" w:cs="宋体"/>
          <w:color w:val="000000" w:themeColor="text1"/>
          <w:kern w:val="0"/>
          <w:sz w:val="21"/>
          <w:szCs w:val="21"/>
          <w:shd w:val="clear" w:color="auto" w:fill="FFFFFF"/>
          <w:lang w:eastAsia="zh-CN"/>
          <w14:textFill>
            <w14:solidFill>
              <w14:schemeClr w14:val="tx1"/>
            </w14:solidFill>
          </w14:textFill>
        </w:rPr>
      </w:pPr>
      <w:r>
        <w:rPr>
          <w:rFonts w:hint="eastAsia"/>
          <w:color w:val="000000" w:themeColor="text1"/>
          <w:sz w:val="21"/>
          <w:szCs w:val="21"/>
          <w14:textFill>
            <w14:solidFill>
              <w14:schemeClr w14:val="tx1"/>
            </w14:solidFill>
          </w14:textFill>
        </w:rPr>
        <w:t>电    话：</w:t>
      </w:r>
      <w:r>
        <w:rPr>
          <w:rFonts w:hint="eastAsia" w:ascii="宋体" w:hAnsi="宋体" w:eastAsia="宋体" w:cs="宋体"/>
          <w:color w:val="auto"/>
          <w:kern w:val="2"/>
          <w:sz w:val="21"/>
          <w:szCs w:val="21"/>
          <w:highlight w:val="none"/>
          <w:lang w:val="en-US" w:eastAsia="zh-CN" w:bidi="ar-SA"/>
        </w:rPr>
        <w:t>18639156719</w:t>
      </w:r>
    </w:p>
    <w:p>
      <w:pPr>
        <w:spacing w:line="500" w:lineRule="atLeast"/>
        <w:jc w:val="right"/>
        <w:rPr>
          <w:rFonts w:hint="eastAsia" w:ascii="宋体" w:hAnsi="宋体" w:cs="宋体"/>
          <w:color w:val="000000" w:themeColor="text1"/>
          <w:kern w:val="0"/>
          <w:sz w:val="24"/>
          <w:szCs w:val="24"/>
          <w:shd w:val="clear" w:color="auto" w:fill="FFFFFF"/>
          <w14:textFill>
            <w14:solidFill>
              <w14:schemeClr w14:val="tx1"/>
            </w14:solidFill>
          </w14:textFill>
        </w:rPr>
      </w:pPr>
    </w:p>
    <w:p>
      <w:pPr>
        <w:spacing w:line="500" w:lineRule="atLeast"/>
        <w:jc w:val="center"/>
        <w:rPr>
          <w:sz w:val="21"/>
          <w:szCs w:val="21"/>
        </w:rPr>
      </w:pPr>
      <w:r>
        <w:rPr>
          <w:rFonts w:hint="eastAsia" w:ascii="宋体" w:hAnsi="宋体" w:cs="宋体"/>
          <w:color w:val="000000" w:themeColor="text1"/>
          <w:kern w:val="0"/>
          <w:sz w:val="21"/>
          <w:szCs w:val="21"/>
          <w:shd w:val="clear" w:color="auto" w:fill="FFFFFF"/>
          <w:lang w:val="en-US" w:eastAsia="zh-CN"/>
          <w14:textFill>
            <w14:solidFill>
              <w14:schemeClr w14:val="tx1"/>
            </w14:solidFill>
          </w14:textFill>
        </w:rPr>
        <w:t xml:space="preserve">                                             2023 </w:t>
      </w:r>
      <w:r>
        <w:rPr>
          <w:rFonts w:hint="eastAsia" w:ascii="宋体" w:hAnsi="宋体" w:cs="宋体"/>
          <w:color w:val="000000" w:themeColor="text1"/>
          <w:kern w:val="0"/>
          <w:sz w:val="21"/>
          <w:szCs w:val="21"/>
          <w:shd w:val="clear" w:color="auto" w:fill="FFFFFF"/>
          <w14:textFill>
            <w14:solidFill>
              <w14:schemeClr w14:val="tx1"/>
            </w14:solidFill>
          </w14:textFill>
        </w:rPr>
        <w:t>年</w:t>
      </w:r>
      <w:r>
        <w:rPr>
          <w:rFonts w:hint="eastAsia" w:ascii="宋体" w:hAnsi="宋体" w:cs="宋体"/>
          <w:color w:val="000000" w:themeColor="text1"/>
          <w:kern w:val="0"/>
          <w:sz w:val="21"/>
          <w:szCs w:val="21"/>
          <w:shd w:val="clear" w:color="auto" w:fill="FFFFFF"/>
          <w:lang w:val="en-US" w:eastAsia="zh-CN"/>
          <w14:textFill>
            <w14:solidFill>
              <w14:schemeClr w14:val="tx1"/>
            </w14:solidFill>
          </w14:textFill>
        </w:rPr>
        <w:t xml:space="preserve"> 11 </w:t>
      </w:r>
      <w:r>
        <w:rPr>
          <w:rFonts w:hint="eastAsia" w:ascii="宋体" w:hAnsi="宋体" w:cs="宋体"/>
          <w:color w:val="000000" w:themeColor="text1"/>
          <w:kern w:val="0"/>
          <w:sz w:val="21"/>
          <w:szCs w:val="21"/>
          <w:shd w:val="clear" w:color="auto" w:fill="FFFFFF"/>
          <w14:textFill>
            <w14:solidFill>
              <w14:schemeClr w14:val="tx1"/>
            </w14:solidFill>
          </w14:textFill>
        </w:rPr>
        <w:t>月</w:t>
      </w:r>
      <w:r>
        <w:rPr>
          <w:rFonts w:hint="eastAsia" w:ascii="宋体" w:hAnsi="宋体" w:cs="宋体"/>
          <w:color w:val="000000" w:themeColor="text1"/>
          <w:kern w:val="0"/>
          <w:sz w:val="21"/>
          <w:szCs w:val="21"/>
          <w:shd w:val="clear" w:color="auto" w:fill="FFFFFF"/>
          <w:lang w:val="en-US" w:eastAsia="zh-CN"/>
          <w14:textFill>
            <w14:solidFill>
              <w14:schemeClr w14:val="tx1"/>
            </w14:solidFill>
          </w14:textFill>
        </w:rPr>
        <w:t xml:space="preserve"> 15 </w:t>
      </w:r>
      <w:r>
        <w:rPr>
          <w:rFonts w:hint="eastAsia" w:ascii="宋体" w:hAnsi="宋体" w:cs="宋体"/>
          <w:color w:val="000000" w:themeColor="text1"/>
          <w:kern w:val="0"/>
          <w:sz w:val="21"/>
          <w:szCs w:val="21"/>
          <w:shd w:val="clear" w:color="auto" w:fill="FFFFFF"/>
          <w14:textFill>
            <w14:solidFill>
              <w14:schemeClr w14:val="tx1"/>
            </w14:solidFill>
          </w14:textFill>
        </w:rPr>
        <w:t>日</w:t>
      </w:r>
    </w:p>
    <w:p>
      <w:pPr>
        <w:pStyle w:val="25"/>
        <w:spacing w:line="400" w:lineRule="exact"/>
        <w:rPr>
          <w:rFonts w:hint="eastAsia" w:ascii="宋体" w:hAnsi="宋体" w:cs="宋体"/>
          <w:color w:val="auto"/>
          <w:highlight w:val="none"/>
        </w:rPr>
      </w:pPr>
      <w:bookmarkStart w:id="1" w:name="_Toc3088"/>
    </w:p>
    <w:p>
      <w:pPr>
        <w:pStyle w:val="25"/>
        <w:spacing w:line="400" w:lineRule="exact"/>
        <w:rPr>
          <w:rFonts w:hint="eastAsia" w:ascii="宋体" w:hAnsi="宋体" w:cs="宋体"/>
          <w:color w:val="auto"/>
          <w:highlight w:val="none"/>
        </w:rPr>
      </w:pPr>
    </w:p>
    <w:p>
      <w:pPr>
        <w:pStyle w:val="25"/>
        <w:spacing w:line="400" w:lineRule="exact"/>
        <w:rPr>
          <w:rFonts w:hint="eastAsia" w:ascii="宋体" w:hAnsi="宋体" w:cs="宋体"/>
          <w:color w:val="auto"/>
          <w:highlight w:val="none"/>
        </w:rPr>
      </w:pPr>
    </w:p>
    <w:p>
      <w:pPr>
        <w:pStyle w:val="25"/>
        <w:spacing w:line="400" w:lineRule="exact"/>
        <w:rPr>
          <w:rFonts w:hint="eastAsia" w:ascii="宋体" w:hAnsi="宋体" w:cs="宋体"/>
          <w:color w:val="auto"/>
          <w:highlight w:val="none"/>
        </w:rPr>
      </w:pPr>
    </w:p>
    <w:p>
      <w:pPr>
        <w:pStyle w:val="25"/>
        <w:tabs>
          <w:tab w:val="left" w:pos="9030"/>
        </w:tabs>
        <w:spacing w:line="400" w:lineRule="exact"/>
        <w:rPr>
          <w:rFonts w:ascii="宋体" w:cs="宋体"/>
          <w:color w:val="auto"/>
          <w:highlight w:val="none"/>
        </w:rPr>
      </w:pPr>
      <w:r>
        <w:rPr>
          <w:rFonts w:hint="eastAsia" w:ascii="宋体" w:hAnsi="宋体" w:cs="宋体"/>
          <w:color w:val="auto"/>
          <w:highlight w:val="none"/>
        </w:rPr>
        <w:t>第二章</w:t>
      </w:r>
      <w:r>
        <w:rPr>
          <w:rFonts w:ascii="宋体" w:hAnsi="宋体" w:cs="宋体"/>
          <w:color w:val="auto"/>
          <w:highlight w:val="none"/>
        </w:rPr>
        <w:t xml:space="preserve"> </w:t>
      </w:r>
      <w:r>
        <w:rPr>
          <w:rFonts w:hint="eastAsia" w:ascii="宋体" w:hAnsi="宋体" w:cs="宋体"/>
          <w:color w:val="auto"/>
          <w:highlight w:val="none"/>
        </w:rPr>
        <w:t>供应商须知</w:t>
      </w:r>
      <w:bookmarkEnd w:id="1"/>
    </w:p>
    <w:p>
      <w:pPr>
        <w:pStyle w:val="25"/>
        <w:spacing w:line="400" w:lineRule="exact"/>
        <w:rPr>
          <w:rFonts w:ascii="宋体" w:cs="宋体"/>
          <w:color w:val="auto"/>
          <w:highlight w:val="none"/>
        </w:rPr>
      </w:pPr>
      <w:bookmarkStart w:id="2" w:name="_Toc247513951"/>
      <w:bookmarkStart w:id="3" w:name="_Toc152045528"/>
      <w:bookmarkStart w:id="4" w:name="_Toc144974496"/>
      <w:bookmarkStart w:id="5" w:name="_Toc152042304"/>
      <w:bookmarkStart w:id="6" w:name="_Toc421284738"/>
      <w:bookmarkStart w:id="7" w:name="_Toc5221"/>
      <w:bookmarkStart w:id="8" w:name="_Toc247527552"/>
      <w:bookmarkStart w:id="9" w:name="_Toc28988"/>
      <w:r>
        <w:rPr>
          <w:rFonts w:hint="eastAsia" w:ascii="宋体" w:hAnsi="宋体" w:cs="宋体"/>
          <w:color w:val="auto"/>
          <w:highlight w:val="none"/>
        </w:rPr>
        <w:t>供应商须知前附表</w:t>
      </w:r>
      <w:bookmarkEnd w:id="2"/>
      <w:bookmarkEnd w:id="3"/>
      <w:bookmarkEnd w:id="4"/>
      <w:bookmarkEnd w:id="5"/>
      <w:bookmarkEnd w:id="6"/>
      <w:bookmarkEnd w:id="7"/>
      <w:bookmarkEnd w:id="8"/>
      <w:bookmarkEnd w:id="9"/>
    </w:p>
    <w:tbl>
      <w:tblPr>
        <w:tblStyle w:val="29"/>
        <w:tblW w:w="8778" w:type="dxa"/>
        <w:jc w:val="center"/>
        <w:tblLayout w:type="fixed"/>
        <w:tblCellMar>
          <w:top w:w="0" w:type="dxa"/>
          <w:left w:w="108" w:type="dxa"/>
          <w:bottom w:w="0" w:type="dxa"/>
          <w:right w:w="108" w:type="dxa"/>
        </w:tblCellMar>
      </w:tblPr>
      <w:tblGrid>
        <w:gridCol w:w="830"/>
        <w:gridCol w:w="1861"/>
        <w:gridCol w:w="6087"/>
      </w:tblGrid>
      <w:tr>
        <w:tblPrEx>
          <w:tblCellMar>
            <w:top w:w="0" w:type="dxa"/>
            <w:left w:w="108" w:type="dxa"/>
            <w:bottom w:w="0" w:type="dxa"/>
            <w:right w:w="108" w:type="dxa"/>
          </w:tblCellMar>
        </w:tblPrEx>
        <w:trPr>
          <w:trHeight w:val="81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60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tblPrEx>
          <w:tblCellMar>
            <w:top w:w="0" w:type="dxa"/>
            <w:left w:w="108" w:type="dxa"/>
            <w:bottom w:w="0" w:type="dxa"/>
            <w:right w:w="108" w:type="dxa"/>
          </w:tblCellMar>
        </w:tblPrEx>
        <w:trPr>
          <w:trHeight w:val="189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1.1.2</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采购人</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eastAsia="zh-CN"/>
              </w:rPr>
            </w:pPr>
            <w:r>
              <w:t>名    称：</w:t>
            </w:r>
            <w:r>
              <w:rPr>
                <w:rFonts w:hint="eastAsia"/>
                <w:lang w:val="en-US" w:eastAsia="zh-CN"/>
              </w:rPr>
              <w:t>温县陈家沟景区发展中心</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eastAsia="zh-CN"/>
              </w:rPr>
            </w:pPr>
            <w:r>
              <w:t>地    址：</w:t>
            </w:r>
            <w:r>
              <w:rPr>
                <w:rFonts w:hint="eastAsia"/>
                <w:lang w:eastAsia="zh-CN"/>
              </w:rPr>
              <w:t>温县</w:t>
            </w:r>
            <w:r>
              <w:rPr>
                <w:rFonts w:hint="eastAsia"/>
                <w:lang w:val="en-US" w:eastAsia="zh-CN"/>
              </w:rPr>
              <w:t xml:space="preserve">陈家沟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eastAsia="zh-CN"/>
              </w:rPr>
            </w:pPr>
            <w:r>
              <w:t>联 系</w:t>
            </w:r>
            <w:r>
              <w:rPr>
                <w:rFonts w:hint="eastAsia"/>
                <w:lang w:val="en-US" w:eastAsia="zh-CN"/>
              </w:rPr>
              <w:t xml:space="preserve"> </w:t>
            </w:r>
            <w:r>
              <w:t>人：</w:t>
            </w:r>
            <w:r>
              <w:rPr>
                <w:rFonts w:hint="eastAsia"/>
                <w:lang w:val="en-US" w:eastAsia="zh-CN"/>
              </w:rPr>
              <w:t>毛先生</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eastAsia="zh-CN"/>
              </w:rPr>
            </w:pPr>
            <w:r>
              <w:t>联系方式：</w:t>
            </w:r>
            <w:r>
              <w:rPr>
                <w:rFonts w:hint="eastAsia"/>
                <w:lang w:val="en-US" w:eastAsia="zh-CN"/>
              </w:rPr>
              <w:t xml:space="preserve">18639156719 </w:t>
            </w:r>
          </w:p>
        </w:tc>
      </w:tr>
      <w:tr>
        <w:tblPrEx>
          <w:tblCellMar>
            <w:top w:w="0" w:type="dxa"/>
            <w:left w:w="108" w:type="dxa"/>
            <w:bottom w:w="0" w:type="dxa"/>
            <w:right w:w="108" w:type="dxa"/>
          </w:tblCellMar>
        </w:tblPrEx>
        <w:trPr>
          <w:trHeight w:val="2031"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1.1.3</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采购代理机构</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t>名    称：</w:t>
            </w:r>
            <w:r>
              <w:rPr>
                <w:rFonts w:hint="eastAsia"/>
                <w:lang w:val="en-US" w:eastAsia="zh-CN"/>
              </w:rPr>
              <w:t>中昕国际项目管理有限公司</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lang w:val="en-US" w:eastAsia="zh-CN"/>
              </w:rPr>
            </w:pPr>
            <w:r>
              <w:t>地    址：</w:t>
            </w:r>
            <w:r>
              <w:rPr>
                <w:rFonts w:hint="eastAsia"/>
                <w:lang w:val="en-US" w:eastAsia="zh-CN"/>
              </w:rPr>
              <w:t>温县振兴路昊天花苑</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t>联 系 人：</w:t>
            </w:r>
            <w:r>
              <w:rPr>
                <w:rFonts w:hint="eastAsia"/>
                <w:lang w:val="en-US" w:eastAsia="zh-CN"/>
              </w:rPr>
              <w:t>崔女士</w:t>
            </w:r>
            <w:r>
              <w:t xml:space="preserve">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t>联系方式：</w:t>
            </w:r>
            <w:r>
              <w:rPr>
                <w:rFonts w:hint="eastAsia"/>
                <w:lang w:val="en-US" w:eastAsia="zh-CN"/>
              </w:rPr>
              <w:t>15893039297</w:t>
            </w:r>
            <w:r>
              <w:t xml:space="preserve"> </w:t>
            </w:r>
            <w:r>
              <w:rPr>
                <w:rFonts w:hint="eastAsia"/>
                <w:lang w:val="en-US" w:eastAsia="zh-CN"/>
              </w:rPr>
              <w:t xml:space="preserve"> </w:t>
            </w:r>
          </w:p>
        </w:tc>
      </w:tr>
      <w:tr>
        <w:tblPrEx>
          <w:tblCellMar>
            <w:top w:w="0" w:type="dxa"/>
            <w:left w:w="108" w:type="dxa"/>
            <w:bottom w:w="0" w:type="dxa"/>
            <w:right w:w="108" w:type="dxa"/>
          </w:tblCellMar>
        </w:tblPrEx>
        <w:trPr>
          <w:trHeight w:val="951" w:hRule="exact"/>
          <w:jc w:val="center"/>
        </w:trPr>
        <w:tc>
          <w:tcPr>
            <w:tcW w:w="830"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1.1.4</w:t>
            </w:r>
          </w:p>
        </w:tc>
        <w:tc>
          <w:tcPr>
            <w:tcW w:w="1861" w:type="dxa"/>
            <w:vMerge w:val="restart"/>
            <w:tcBorders>
              <w:top w:val="single" w:color="auto" w:sz="4" w:space="0"/>
              <w:left w:val="single" w:color="auto" w:sz="4" w:space="0"/>
              <w:bottom w:val="single" w:color="auto" w:sz="4" w:space="0"/>
              <w:right w:val="single" w:color="auto" w:sz="4" w:space="0"/>
            </w:tcBorders>
            <w:vAlign w:val="center"/>
          </w:tcPr>
          <w:p>
            <w:pPr>
              <w:jc w:val="both"/>
              <w:rPr>
                <w:rFonts w:hint="eastAsia"/>
              </w:rPr>
            </w:pPr>
            <w:r>
              <w:rPr>
                <w:rFonts w:hint="eastAsia"/>
              </w:rPr>
              <w:t>项目名称及</w:t>
            </w:r>
          </w:p>
          <w:p>
            <w:pPr>
              <w:jc w:val="both"/>
            </w:pPr>
            <w:r>
              <w:rPr>
                <w:rFonts w:hint="eastAsia"/>
              </w:rPr>
              <w:t>项目编号</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lang w:val="en-US" w:eastAsia="zh-CN"/>
              </w:rPr>
              <w:t>温县陈家沟景区亮化项目</w:t>
            </w:r>
          </w:p>
        </w:tc>
      </w:tr>
      <w:tr>
        <w:tblPrEx>
          <w:tblCellMar>
            <w:top w:w="0" w:type="dxa"/>
            <w:left w:w="108" w:type="dxa"/>
            <w:bottom w:w="0" w:type="dxa"/>
            <w:right w:w="108" w:type="dxa"/>
          </w:tblCellMar>
        </w:tblPrEx>
        <w:trPr>
          <w:trHeight w:val="1036" w:hRule="exact"/>
          <w:jc w:val="center"/>
        </w:trPr>
        <w:tc>
          <w:tcPr>
            <w:tcW w:w="830"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61"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eastAsia="zh-CN"/>
              </w:rPr>
            </w:pPr>
            <w:r>
              <w:rPr>
                <w:rFonts w:hint="eastAsia"/>
                <w:lang w:eastAsia="zh-CN"/>
              </w:rPr>
              <w:t>项目编号：温交易</w:t>
            </w:r>
            <w:r>
              <w:rPr>
                <w:rFonts w:hint="eastAsia"/>
                <w:lang w:val="en-US" w:eastAsia="zh-CN"/>
              </w:rPr>
              <w:t xml:space="preserve">【2023】 100  </w:t>
            </w:r>
            <w:r>
              <w:rPr>
                <w:rFonts w:hint="eastAsia"/>
                <w:lang w:eastAsia="zh-CN"/>
              </w:rPr>
              <w:t>号</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eastAsia="zh-CN"/>
              </w:rPr>
            </w:pPr>
            <w:r>
              <w:rPr>
                <w:rFonts w:hint="eastAsia"/>
                <w:lang w:eastAsia="zh-CN"/>
              </w:rPr>
              <w:t>采购编号：温政采【</w:t>
            </w:r>
            <w:r>
              <w:rPr>
                <w:rFonts w:hint="eastAsia"/>
                <w:lang w:val="en-US" w:eastAsia="zh-CN"/>
              </w:rPr>
              <w:t xml:space="preserve">2023】11-41 </w:t>
            </w:r>
            <w:r>
              <w:rPr>
                <w:rFonts w:hint="eastAsia"/>
                <w:lang w:eastAsia="zh-CN"/>
              </w:rPr>
              <w:t>号</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eastAsia="zh-CN"/>
              </w:rPr>
            </w:pPr>
          </w:p>
        </w:tc>
      </w:tr>
      <w:tr>
        <w:tblPrEx>
          <w:tblCellMar>
            <w:top w:w="0" w:type="dxa"/>
            <w:left w:w="108" w:type="dxa"/>
            <w:bottom w:w="0" w:type="dxa"/>
            <w:right w:w="108" w:type="dxa"/>
          </w:tblCellMar>
        </w:tblPrEx>
        <w:trPr>
          <w:trHeight w:val="759"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1.2.1</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预算金额</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lang w:val="en-US" w:eastAsia="zh-CN"/>
              </w:rPr>
              <w:t>132.82万元</w:t>
            </w:r>
          </w:p>
        </w:tc>
      </w:tr>
      <w:tr>
        <w:tblPrEx>
          <w:tblCellMar>
            <w:top w:w="0" w:type="dxa"/>
            <w:left w:w="108" w:type="dxa"/>
            <w:bottom w:w="0" w:type="dxa"/>
            <w:right w:w="108" w:type="dxa"/>
          </w:tblCellMar>
        </w:tblPrEx>
        <w:trPr>
          <w:trHeight w:val="744"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1.2.2</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资金来源</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lang w:val="en-US" w:eastAsia="zh-CN"/>
              </w:rPr>
              <w:t>县财政</w:t>
            </w:r>
          </w:p>
        </w:tc>
      </w:tr>
      <w:tr>
        <w:tblPrEx>
          <w:tblCellMar>
            <w:top w:w="0" w:type="dxa"/>
            <w:left w:w="108" w:type="dxa"/>
            <w:bottom w:w="0" w:type="dxa"/>
            <w:right w:w="108" w:type="dxa"/>
          </w:tblCellMar>
        </w:tblPrEx>
        <w:trPr>
          <w:trHeight w:val="1518"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1.3.1</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采购（服务）范围</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lang w:val="en-US" w:eastAsia="zh-CN"/>
              </w:rPr>
              <w:t>更换LED染色灯、灯笼墙灯笼、制定氛围投影灯、国潮灯笼+投影灯、互动投影一体机，加装草坪、电缆、萤火灯等。具体内容详见清单</w:t>
            </w:r>
          </w:p>
        </w:tc>
      </w:tr>
      <w:tr>
        <w:tblPrEx>
          <w:tblCellMar>
            <w:top w:w="0" w:type="dxa"/>
            <w:left w:w="108" w:type="dxa"/>
            <w:bottom w:w="0" w:type="dxa"/>
            <w:right w:w="108" w:type="dxa"/>
          </w:tblCellMar>
        </w:tblPrEx>
        <w:trPr>
          <w:trHeight w:val="864"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1.3.2</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合同履行期限</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lang w:val="en-US" w:eastAsia="zh-CN"/>
              </w:rPr>
              <w:t>自合同签订生效之日起 15 天内完工</w:t>
            </w:r>
          </w:p>
        </w:tc>
      </w:tr>
      <w:tr>
        <w:tblPrEx>
          <w:tblCellMar>
            <w:top w:w="0" w:type="dxa"/>
            <w:left w:w="108" w:type="dxa"/>
            <w:bottom w:w="0" w:type="dxa"/>
            <w:right w:w="108" w:type="dxa"/>
          </w:tblCellMar>
        </w:tblPrEx>
        <w:trPr>
          <w:trHeight w:val="13638"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1.3.4</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供应商资格条件</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（一）具有独立承担民事责任的能力；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（二）具有良好的商业信誉和健全的</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"https://www.baidu.com/s?wd=%E8%B4%A2%E5%8A%A1%E4%BC%9A%E8%AE%A1%E5%88%B6%E5%BA%A6&amp;tn=44039180_cpr&amp;fenlei=mv6quAkxTZn0IZRqIHckPjm4nH00T1Y3ujD1PW0LuhDdmHm4Py7B0ZwV5Hcvrjm3rH6sPfKWUMw85HfYnjn4nH6sgvPsT6KdThsqpZwYTjCEQLGCpyw9Uz4Bmy-bIi4WUvYETgN-TLwGUv3EnWT3nHn3rjD4" \t "https://zhidao.baidu.com/question/_blank" </w:instrText>
            </w:r>
            <w:r>
              <w:rPr>
                <w:rFonts w:hint="eastAsia" w:ascii="宋体" w:hAnsi="宋体" w:eastAsia="宋体" w:cs="宋体"/>
                <w:sz w:val="21"/>
                <w:szCs w:val="21"/>
              </w:rPr>
              <w:fldChar w:fldCharType="separate"/>
            </w:r>
            <w:r>
              <w:rPr>
                <w:rFonts w:hint="eastAsia" w:ascii="宋体" w:hAnsi="宋体" w:eastAsia="宋体" w:cs="宋体"/>
                <w:sz w:val="21"/>
                <w:szCs w:val="21"/>
              </w:rPr>
              <w:t>财务会计制度</w:t>
            </w:r>
            <w:r>
              <w:rPr>
                <w:rFonts w:hint="eastAsia" w:ascii="宋体" w:hAnsi="宋体" w:eastAsia="宋体" w:cs="宋体"/>
                <w:sz w:val="21"/>
                <w:szCs w:val="21"/>
              </w:rPr>
              <w:fldChar w:fldCharType="end"/>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（四）有依法缴纳税收和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"https://www.baidu.com/s?wd=%E7%A4%BE%E4%BC%9A%E4%BF%9D%E9%9A%9C%E8%B5%84%E9%87%91&amp;tn=44039180_cpr&amp;fenlei=mv6quAkxTZn0IZRqIHckPjm4nH00T1Y3ujD1PW0LuhDdmHm4Py7B0ZwV5Hcvrjm3rH6sPfKWUMw85HfYnjn4nH6sgvPsT6KdThsqpZwYTjCEQLGCpyw9Uz4Bmy-bIi4WUvYETgN-TLwGUv3EnWT3nHn3rjD4" \t "https://zhidao.baidu.com/question/_blank" </w:instrText>
            </w:r>
            <w:r>
              <w:rPr>
                <w:rFonts w:hint="eastAsia" w:ascii="宋体" w:hAnsi="宋体" w:eastAsia="宋体" w:cs="宋体"/>
                <w:sz w:val="21"/>
                <w:szCs w:val="21"/>
              </w:rPr>
              <w:fldChar w:fldCharType="separate"/>
            </w:r>
            <w:r>
              <w:rPr>
                <w:rFonts w:hint="eastAsia" w:ascii="宋体" w:hAnsi="宋体" w:eastAsia="宋体" w:cs="宋体"/>
                <w:sz w:val="21"/>
                <w:szCs w:val="21"/>
              </w:rPr>
              <w:t>社会保障资金</w:t>
            </w:r>
            <w:r>
              <w:rPr>
                <w:rFonts w:hint="eastAsia" w:ascii="宋体" w:hAnsi="宋体" w:eastAsia="宋体" w:cs="宋体"/>
                <w:sz w:val="21"/>
                <w:szCs w:val="21"/>
              </w:rPr>
              <w:fldChar w:fldCharType="end"/>
            </w:r>
            <w:r>
              <w:rPr>
                <w:rFonts w:hint="eastAsia" w:ascii="宋体" w:hAnsi="宋体" w:eastAsia="宋体" w:cs="宋体"/>
                <w:sz w:val="21"/>
                <w:szCs w:val="21"/>
              </w:rPr>
              <w:t>的良好记录；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（六）法律、行政法规规定的其他条件。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备注：</w:t>
            </w:r>
            <w:r>
              <w:rPr>
                <w:rFonts w:hint="eastAsia" w:ascii="宋体" w:hAnsi="宋体" w:cs="宋体"/>
                <w:sz w:val="21"/>
                <w:szCs w:val="21"/>
                <w:lang w:val="en-US" w:eastAsia="zh-CN"/>
              </w:rPr>
              <w:t>1.</w:t>
            </w:r>
            <w:r>
              <w:rPr>
                <w:rFonts w:hint="eastAsia" w:ascii="宋体" w:hAnsi="宋体" w:eastAsia="宋体" w:cs="宋体"/>
                <w:sz w:val="21"/>
                <w:szCs w:val="21"/>
              </w:rPr>
              <w:t>供应商在投标（响应）时，按照规定提供相关承诺函，无需再提交上述（一）到（五）证明材料。</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2.落实政府采购政策需满足的资格要求：本项目落实节能环保、中小微企业扶持、促进残疾人就业等相关政府采购政策。</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3.本项目的特定资格要求：</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3.1供应商须具有有效的营业执照（副本）、税务登记证（副本）、组织机构代码证（副本）（或三证合一营业执照）；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3.2</w:t>
            </w:r>
            <w:r>
              <w:rPr>
                <w:rFonts w:hint="eastAsia" w:ascii="宋体" w:hAnsi="宋体" w:eastAsia="宋体" w:cs="宋体"/>
                <w:sz w:val="21"/>
                <w:szCs w:val="21"/>
              </w:rPr>
              <w:t>根据《关于在政府采购活动中查询及使用信用记录有关问题的通知》</w:t>
            </w:r>
            <w:r>
              <w:rPr>
                <w:rFonts w:hint="eastAsia" w:ascii="宋体" w:hAnsi="宋体" w:eastAsia="宋体" w:cs="宋体"/>
                <w:sz w:val="21"/>
                <w:szCs w:val="21"/>
                <w:lang w:eastAsia="zh-CN"/>
              </w:rPr>
              <w:t>（</w:t>
            </w:r>
            <w:r>
              <w:rPr>
                <w:rFonts w:hint="eastAsia" w:ascii="宋体" w:hAnsi="宋体" w:eastAsia="宋体" w:cs="宋体"/>
                <w:sz w:val="21"/>
                <w:szCs w:val="21"/>
              </w:rPr>
              <w:t>财库[2016]125号</w:t>
            </w:r>
            <w:r>
              <w:rPr>
                <w:rFonts w:hint="eastAsia" w:ascii="宋体" w:hAnsi="宋体" w:eastAsia="宋体" w:cs="宋体"/>
                <w:sz w:val="21"/>
                <w:szCs w:val="21"/>
                <w:lang w:eastAsia="zh-CN"/>
              </w:rPr>
              <w:t>）</w:t>
            </w:r>
            <w:r>
              <w:rPr>
                <w:rFonts w:hint="eastAsia" w:ascii="宋体" w:hAnsi="宋体" w:eastAsia="宋体" w:cs="宋体"/>
                <w:sz w:val="21"/>
                <w:szCs w:val="21"/>
              </w:rPr>
              <w:t>的规定，采购代理机构将通过“信用中国”网（www.creditchina.gov.cn）、中国政府采购网（www.ccgp.gov.cn）等渠道在资格审查环节查询投标人信用记录，被列入失信被执行人、重大税收违法失信主体、政府采购严重违法失信行为记录名单的单位将被拒绝参与本项目政府采购活动；信用信息查询记录和证据将同采购文件等资料一同归档保存。（供应商需提供网站查询截图，加盖企业公章，查询时间为</w:t>
            </w:r>
            <w:r>
              <w:rPr>
                <w:rFonts w:hint="eastAsia" w:ascii="宋体" w:hAnsi="宋体" w:eastAsia="宋体" w:cs="宋体"/>
                <w:sz w:val="21"/>
                <w:szCs w:val="21"/>
                <w:lang w:eastAsia="zh-CN"/>
              </w:rPr>
              <w:t>磋商</w:t>
            </w:r>
            <w:r>
              <w:rPr>
                <w:rFonts w:hint="eastAsia" w:ascii="宋体" w:hAnsi="宋体" w:eastAsia="宋体" w:cs="宋体"/>
                <w:sz w:val="21"/>
                <w:szCs w:val="21"/>
              </w:rPr>
              <w:t>公告发布之后。）</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供应商必须提供无行贿犯罪记录承诺书</w:t>
            </w:r>
            <w:r>
              <w:rPr>
                <w:rFonts w:hint="eastAsia" w:ascii="宋体" w:hAnsi="宋体" w:eastAsia="宋体" w:cs="宋体"/>
                <w:sz w:val="21"/>
                <w:szCs w:val="21"/>
                <w:lang w:eastAsia="zh-CN"/>
              </w:rPr>
              <w:t>（</w:t>
            </w:r>
            <w:r>
              <w:rPr>
                <w:rFonts w:hint="eastAsia" w:ascii="宋体" w:hAnsi="宋体" w:eastAsia="宋体" w:cs="宋体"/>
                <w:sz w:val="21"/>
                <w:szCs w:val="21"/>
              </w:rPr>
              <w:t>并出具由“中国裁判文书网”网站查询近三年来法人、法定代表人（负责人）、法定代表人（负责人）委托人无行贿犯罪记录网页截图加盖企业公章证明</w:t>
            </w:r>
            <w:r>
              <w:rPr>
                <w:rFonts w:hint="eastAsia" w:ascii="宋体" w:hAnsi="宋体" w:eastAsia="宋体" w:cs="宋体"/>
                <w:sz w:val="21"/>
                <w:szCs w:val="21"/>
                <w:lang w:eastAsia="zh-CN"/>
              </w:rPr>
              <w:t>）</w:t>
            </w:r>
            <w:r>
              <w:rPr>
                <w:rFonts w:hint="eastAsia" w:ascii="宋体" w:hAnsi="宋体" w:eastAsia="宋体" w:cs="宋体"/>
                <w:sz w:val="21"/>
                <w:szCs w:val="21"/>
              </w:rPr>
              <w:t>；若有行贿犯罪记录则取消其投标资格；</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4</w:t>
            </w:r>
            <w:r>
              <w:rPr>
                <w:rFonts w:hint="eastAsia" w:ascii="宋体" w:hAnsi="宋体" w:eastAsia="宋体" w:cs="宋体"/>
                <w:sz w:val="21"/>
                <w:szCs w:val="21"/>
              </w:rPr>
              <w:t>本项目不接受联合体投标。</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ascii="宋体" w:hAnsi="宋体" w:eastAsia="宋体" w:cs="宋体"/>
                <w:sz w:val="21"/>
                <w:szCs w:val="21"/>
              </w:rPr>
              <w:t>备注：由于本项目为不见面开标，</w:t>
            </w:r>
            <w:r>
              <w:rPr>
                <w:rFonts w:hint="eastAsia" w:ascii="宋体" w:hAnsi="宋体" w:eastAsia="宋体" w:cs="宋体"/>
                <w:sz w:val="21"/>
                <w:szCs w:val="21"/>
                <w:lang w:eastAsia="zh-CN"/>
              </w:rPr>
              <w:t>供应商</w:t>
            </w:r>
            <w:r>
              <w:rPr>
                <w:rFonts w:hint="eastAsia" w:ascii="宋体" w:hAnsi="宋体" w:eastAsia="宋体" w:cs="宋体"/>
                <w:sz w:val="21"/>
                <w:szCs w:val="21"/>
              </w:rPr>
              <w:t>无需到开标现场参与投标签到，无需递交任何纸质资料或证明，无需交纳原件（</w:t>
            </w:r>
            <w:r>
              <w:rPr>
                <w:rFonts w:hint="eastAsia" w:ascii="宋体" w:hAnsi="宋体" w:eastAsia="宋体" w:cs="宋体"/>
                <w:sz w:val="21"/>
                <w:szCs w:val="21"/>
                <w:lang w:eastAsia="zh-CN"/>
              </w:rPr>
              <w:t>响应</w:t>
            </w:r>
            <w:r>
              <w:rPr>
                <w:rFonts w:hint="eastAsia" w:ascii="宋体" w:hAnsi="宋体" w:eastAsia="宋体" w:cs="宋体"/>
                <w:sz w:val="21"/>
                <w:szCs w:val="21"/>
              </w:rPr>
              <w:t>文件中应附清晰的复印件或扫描件，由于模糊不清导致评标委员会无法辨别的，后果由</w:t>
            </w:r>
            <w:r>
              <w:rPr>
                <w:rFonts w:hint="eastAsia" w:ascii="宋体" w:hAnsi="宋体" w:eastAsia="宋体" w:cs="宋体"/>
                <w:sz w:val="21"/>
                <w:szCs w:val="21"/>
                <w:lang w:eastAsia="zh-CN"/>
              </w:rPr>
              <w:t>供应商</w:t>
            </w:r>
            <w:r>
              <w:rPr>
                <w:rFonts w:hint="eastAsia" w:ascii="宋体" w:hAnsi="宋体" w:eastAsia="宋体" w:cs="宋体"/>
                <w:sz w:val="21"/>
                <w:szCs w:val="21"/>
              </w:rPr>
              <w:t>自行承担）。</w:t>
            </w:r>
          </w:p>
        </w:tc>
      </w:tr>
      <w:tr>
        <w:tblPrEx>
          <w:tblCellMar>
            <w:top w:w="0" w:type="dxa"/>
            <w:left w:w="108" w:type="dxa"/>
            <w:bottom w:w="0" w:type="dxa"/>
            <w:right w:w="108" w:type="dxa"/>
          </w:tblCellMar>
        </w:tblPrEx>
        <w:trPr>
          <w:trHeight w:val="899"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1.7.2</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采购人书面澄清的时间</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递交响应文件截止之日5天前</w:t>
            </w:r>
          </w:p>
        </w:tc>
      </w:tr>
      <w:tr>
        <w:tblPrEx>
          <w:tblCellMar>
            <w:top w:w="0" w:type="dxa"/>
            <w:left w:w="108" w:type="dxa"/>
            <w:bottom w:w="0" w:type="dxa"/>
            <w:right w:w="108" w:type="dxa"/>
          </w:tblCellMar>
        </w:tblPrEx>
        <w:trPr>
          <w:trHeight w:val="117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3.2</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投标文件截止时间及地点</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rPr>
            </w:pPr>
            <w:r>
              <w:rPr>
                <w:rFonts w:hint="eastAsia"/>
                <w:color w:val="auto"/>
              </w:rPr>
              <w:t>北京时间：</w:t>
            </w:r>
            <w:r>
              <w:rPr>
                <w:rFonts w:hint="eastAsia"/>
                <w:color w:val="auto"/>
                <w:lang w:val="en-US" w:eastAsia="zh-CN"/>
              </w:rPr>
              <w:t xml:space="preserve">2023 </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28</w:t>
            </w:r>
            <w:r>
              <w:rPr>
                <w:rFonts w:hint="eastAsia"/>
                <w:color w:val="auto"/>
              </w:rPr>
              <w:t>日</w:t>
            </w:r>
            <w:r>
              <w:rPr>
                <w:rFonts w:hint="eastAsia"/>
                <w:color w:val="auto"/>
                <w:lang w:val="en-US" w:eastAsia="zh-CN"/>
              </w:rPr>
              <w:t xml:space="preserve"> 9 </w:t>
            </w:r>
            <w:r>
              <w:rPr>
                <w:rFonts w:hint="eastAsia"/>
                <w:color w:val="auto"/>
              </w:rPr>
              <w:t>时</w:t>
            </w:r>
            <w:r>
              <w:rPr>
                <w:rFonts w:hint="eastAsia"/>
                <w:color w:val="auto"/>
                <w:lang w:val="en-US" w:eastAsia="zh-CN"/>
              </w:rPr>
              <w:t xml:space="preserve"> 00</w:t>
            </w:r>
            <w:r>
              <w:rPr>
                <w:rFonts w:hint="eastAsia"/>
                <w:color w:val="auto"/>
              </w:rPr>
              <w:t>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地点：温县公共资源交易中心开标厅（详见当天公示牌）</w:t>
            </w:r>
          </w:p>
        </w:tc>
      </w:tr>
      <w:tr>
        <w:tblPrEx>
          <w:tblCellMar>
            <w:top w:w="0" w:type="dxa"/>
            <w:left w:w="108" w:type="dxa"/>
            <w:bottom w:w="0" w:type="dxa"/>
            <w:right w:w="108" w:type="dxa"/>
          </w:tblCellMar>
        </w:tblPrEx>
        <w:trPr>
          <w:trHeight w:val="667"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3.4.1</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磋商有效期</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响应文件递交截止日起60日历天</w:t>
            </w:r>
          </w:p>
        </w:tc>
      </w:tr>
      <w:tr>
        <w:tblPrEx>
          <w:tblCellMar>
            <w:top w:w="0" w:type="dxa"/>
            <w:left w:w="108" w:type="dxa"/>
            <w:bottom w:w="0" w:type="dxa"/>
            <w:right w:w="108" w:type="dxa"/>
          </w:tblCellMar>
        </w:tblPrEx>
        <w:trPr>
          <w:trHeight w:val="571"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3.5.1</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磋商保证金</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无</w:t>
            </w:r>
          </w:p>
        </w:tc>
      </w:tr>
      <w:tr>
        <w:tblPrEx>
          <w:tblCellMar>
            <w:top w:w="0" w:type="dxa"/>
            <w:left w:w="108" w:type="dxa"/>
            <w:bottom w:w="0" w:type="dxa"/>
            <w:right w:w="108" w:type="dxa"/>
          </w:tblCellMar>
        </w:tblPrEx>
        <w:trPr>
          <w:trHeight w:val="2585"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3.7.4</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响应文件份数</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加密的电子</w:t>
            </w:r>
            <w:r>
              <w:rPr>
                <w:rFonts w:hint="eastAsia"/>
                <w:lang w:eastAsia="zh-CN"/>
              </w:rPr>
              <w:t>响应</w:t>
            </w:r>
            <w:r>
              <w:rPr>
                <w:rFonts w:hint="eastAsia"/>
              </w:rPr>
              <w:t>文件壹份（.jztf 格式在会员系统指定位置上传）；自备非加密的电子</w:t>
            </w:r>
            <w:r>
              <w:rPr>
                <w:rFonts w:hint="eastAsia"/>
                <w:lang w:eastAsia="zh-CN"/>
              </w:rPr>
              <w:t>响应</w:t>
            </w:r>
            <w:r>
              <w:rPr>
                <w:rFonts w:hint="eastAsia"/>
              </w:rPr>
              <w:t>文件一份，如有紧急情况，在不见面开标按要求上传。注：本项目投标时不需要提供纸质</w:t>
            </w:r>
            <w:r>
              <w:rPr>
                <w:rFonts w:hint="eastAsia"/>
                <w:lang w:eastAsia="zh-CN"/>
              </w:rPr>
              <w:t>响应</w:t>
            </w:r>
            <w:r>
              <w:rPr>
                <w:rFonts w:hint="eastAsia"/>
              </w:rPr>
              <w:t>文件。中标单位在确定中标后，领取中标通知书时需提供柒份使用CA系统打印出来的完整的</w:t>
            </w:r>
            <w:r>
              <w:rPr>
                <w:rFonts w:hint="eastAsia"/>
                <w:lang w:eastAsia="zh-CN"/>
              </w:rPr>
              <w:t>响应</w:t>
            </w:r>
            <w:r>
              <w:rPr>
                <w:rFonts w:hint="eastAsia"/>
              </w:rPr>
              <w:t>文件交</w:t>
            </w:r>
            <w:r>
              <w:rPr>
                <w:rFonts w:hint="eastAsia"/>
                <w:lang w:eastAsia="zh-CN"/>
              </w:rPr>
              <w:t>采购</w:t>
            </w:r>
            <w:r>
              <w:rPr>
                <w:rFonts w:hint="eastAsia"/>
              </w:rPr>
              <w:t>人或</w:t>
            </w:r>
            <w:r>
              <w:rPr>
                <w:rFonts w:hint="eastAsia"/>
                <w:lang w:eastAsia="zh-CN"/>
              </w:rPr>
              <w:t>采购</w:t>
            </w:r>
            <w:r>
              <w:rPr>
                <w:rFonts w:hint="eastAsia"/>
              </w:rPr>
              <w:t>代理（其中，正本壹份，副本陆份）及不加密格式电子文件一份。</w:t>
            </w:r>
          </w:p>
        </w:tc>
      </w:tr>
      <w:tr>
        <w:tblPrEx>
          <w:tblCellMar>
            <w:top w:w="0" w:type="dxa"/>
            <w:left w:w="108" w:type="dxa"/>
            <w:bottom w:w="0" w:type="dxa"/>
            <w:right w:w="108" w:type="dxa"/>
          </w:tblCellMar>
        </w:tblPrEx>
        <w:trPr>
          <w:trHeight w:val="744"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3.1.0</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踏勘现场</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不组织，自行踏勘。</w:t>
            </w:r>
          </w:p>
        </w:tc>
      </w:tr>
      <w:tr>
        <w:tblPrEx>
          <w:tblCellMar>
            <w:top w:w="0" w:type="dxa"/>
            <w:left w:w="108" w:type="dxa"/>
            <w:bottom w:w="0" w:type="dxa"/>
            <w:right w:w="108" w:type="dxa"/>
          </w:tblCellMar>
        </w:tblPrEx>
        <w:trPr>
          <w:trHeight w:val="229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4.1.1</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签字或盖章要求</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（1）所有要求</w:t>
            </w:r>
            <w:r>
              <w:rPr>
                <w:rFonts w:hint="eastAsia"/>
                <w:lang w:eastAsia="zh-CN"/>
              </w:rPr>
              <w:t>供应商</w:t>
            </w:r>
            <w:r>
              <w:rPr>
                <w:rFonts w:hint="eastAsia"/>
              </w:rPr>
              <w:t>加盖公章的地方都须加盖</w:t>
            </w:r>
            <w:r>
              <w:rPr>
                <w:rFonts w:hint="eastAsia"/>
                <w:lang w:eastAsia="zh-CN"/>
              </w:rPr>
              <w:t>供应商</w:t>
            </w:r>
            <w:r>
              <w:rPr>
                <w:rFonts w:hint="eastAsia"/>
              </w:rPr>
              <w:t>的CA印章。</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（2）所有要求法定代表人签字的地方都须加盖法定代表人CA印章</w:t>
            </w:r>
            <w:r>
              <w:rPr>
                <w:rFonts w:hint="eastAsia"/>
                <w:lang w:eastAsia="zh-CN"/>
              </w:rPr>
              <w:t>或</w:t>
            </w:r>
            <w:r>
              <w:rPr>
                <w:rFonts w:hint="eastAsia"/>
                <w:lang w:val="en-US" w:eastAsia="zh-CN"/>
              </w:rPr>
              <w:t>CA签字</w:t>
            </w:r>
            <w:r>
              <w:rPr>
                <w:rFonts w:hint="eastAsia"/>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（3）所有要求其委托代理人签字的地方可以用授权委托人手写签字的扫描件。</w:t>
            </w:r>
          </w:p>
        </w:tc>
      </w:tr>
      <w:tr>
        <w:tblPrEx>
          <w:tblCellMar>
            <w:top w:w="0" w:type="dxa"/>
            <w:left w:w="108" w:type="dxa"/>
            <w:bottom w:w="0" w:type="dxa"/>
            <w:right w:w="108" w:type="dxa"/>
          </w:tblCellMar>
        </w:tblPrEx>
        <w:trPr>
          <w:trHeight w:val="2815"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4.2.2</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响应文件</w:t>
            </w:r>
            <w:r>
              <w:rPr>
                <w:rFonts w:hint="eastAsia"/>
                <w:lang w:eastAsia="zh-CN"/>
              </w:rPr>
              <w:t>的</w:t>
            </w:r>
            <w:r>
              <w:rPr>
                <w:rFonts w:hint="eastAsia"/>
              </w:rPr>
              <w:t>递交</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（1）各</w:t>
            </w:r>
            <w:r>
              <w:rPr>
                <w:rFonts w:hint="eastAsia"/>
                <w:lang w:eastAsia="zh-CN"/>
              </w:rPr>
              <w:t>供应商</w:t>
            </w:r>
            <w:r>
              <w:rPr>
                <w:rFonts w:hint="eastAsia"/>
              </w:rPr>
              <w:t>应在投标</w:t>
            </w:r>
            <w:r>
              <w:rPr>
                <w:rFonts w:hint="eastAsia"/>
                <w:lang w:eastAsia="zh-CN"/>
              </w:rPr>
              <w:t>截止时间</w:t>
            </w:r>
            <w:r>
              <w:rPr>
                <w:rFonts w:hint="eastAsia"/>
              </w:rPr>
              <w:t>前上传加密的电子</w:t>
            </w:r>
            <w:r>
              <w:rPr>
                <w:rFonts w:hint="eastAsia"/>
                <w:lang w:eastAsia="zh-CN"/>
              </w:rPr>
              <w:t>响应</w:t>
            </w:r>
            <w:r>
              <w:rPr>
                <w:rFonts w:hint="eastAsia"/>
              </w:rPr>
              <w:t>文件（.jztf 格式）到会员系统的指定位置。上传时必须得到电脑“上传成功”的确认回复。请</w:t>
            </w:r>
            <w:r>
              <w:rPr>
                <w:rFonts w:hint="eastAsia"/>
                <w:lang w:eastAsia="zh-CN"/>
              </w:rPr>
              <w:t>供应商</w:t>
            </w:r>
            <w:r>
              <w:rPr>
                <w:rFonts w:hint="eastAsia"/>
              </w:rPr>
              <w:t>在上传时认真检查上传</w:t>
            </w:r>
            <w:r>
              <w:rPr>
                <w:rFonts w:hint="eastAsia"/>
                <w:lang w:eastAsia="zh-CN"/>
              </w:rPr>
              <w:t>响应</w:t>
            </w:r>
            <w:r>
              <w:rPr>
                <w:rFonts w:hint="eastAsia"/>
              </w:rPr>
              <w:t>文件是否完整、正确。</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（2）如系统故障需上传非加密文件时，</w:t>
            </w:r>
            <w:r>
              <w:rPr>
                <w:rFonts w:hint="eastAsia"/>
                <w:lang w:eastAsia="zh-CN"/>
              </w:rPr>
              <w:t>供应商</w:t>
            </w:r>
            <w:r>
              <w:rPr>
                <w:rFonts w:hint="eastAsia"/>
              </w:rPr>
              <w:t>应按照</w:t>
            </w:r>
            <w:r>
              <w:rPr>
                <w:rFonts w:hint="eastAsia"/>
                <w:lang w:eastAsia="zh-CN"/>
              </w:rPr>
              <w:t>采购</w:t>
            </w:r>
            <w:r>
              <w:rPr>
                <w:rFonts w:hint="eastAsia"/>
              </w:rPr>
              <w:t>人指示将非加密文件递交给</w:t>
            </w:r>
            <w:r>
              <w:rPr>
                <w:rFonts w:hint="eastAsia"/>
                <w:lang w:eastAsia="zh-CN"/>
              </w:rPr>
              <w:t>采购</w:t>
            </w:r>
            <w:r>
              <w:rPr>
                <w:rFonts w:hint="eastAsia"/>
              </w:rPr>
              <w:t>人。</w:t>
            </w:r>
          </w:p>
        </w:tc>
      </w:tr>
      <w:tr>
        <w:tblPrEx>
          <w:tblCellMar>
            <w:top w:w="0" w:type="dxa"/>
            <w:left w:w="108" w:type="dxa"/>
            <w:bottom w:w="0" w:type="dxa"/>
            <w:right w:w="108" w:type="dxa"/>
          </w:tblCellMar>
        </w:tblPrEx>
        <w:trPr>
          <w:trHeight w:val="550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5.1.</w:t>
            </w:r>
          </w:p>
        </w:tc>
        <w:tc>
          <w:tcPr>
            <w:tcW w:w="1861" w:type="dxa"/>
            <w:tcBorders>
              <w:top w:val="single" w:color="auto" w:sz="4" w:space="0"/>
              <w:left w:val="single" w:color="auto" w:sz="4" w:space="0"/>
              <w:bottom w:val="single" w:color="auto" w:sz="4" w:space="0"/>
              <w:right w:val="single" w:color="auto" w:sz="4" w:space="0"/>
            </w:tcBorders>
            <w:vAlign w:val="center"/>
          </w:tcPr>
          <w:p>
            <w:pPr>
              <w:jc w:val="both"/>
              <w:rPr>
                <w:rFonts w:hint="eastAsia"/>
              </w:rPr>
            </w:pPr>
            <w:r>
              <w:rPr>
                <w:rFonts w:hint="eastAsia"/>
              </w:rPr>
              <w:t>递交</w:t>
            </w:r>
            <w:r>
              <w:rPr>
                <w:rFonts w:hint="eastAsia"/>
                <w:lang w:eastAsia="zh-CN"/>
              </w:rPr>
              <w:t>响应</w:t>
            </w:r>
            <w:r>
              <w:rPr>
                <w:rFonts w:hint="eastAsia"/>
              </w:rPr>
              <w:t>文件方式和地点</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1、加密的电子投标文件壹份（*.jztf 格式，在会员系统指定位置上传）</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2、本项目采用“远程不见面”的开标方式</w:t>
            </w:r>
            <w:r>
              <w:rPr>
                <w:rFonts w:hint="eastAsia"/>
                <w:lang w:eastAsia="zh-CN"/>
              </w:rPr>
              <w:t>，</w:t>
            </w:r>
            <w:r>
              <w:rPr>
                <w:rFonts w:hint="eastAsia"/>
              </w:rPr>
              <w:t>远程开标大厅网址（http://122.112.246.33/BidOpening/bidopeninghallaction/hall/login ）。特别提醒：本项目采用远程不见面开标和全程电子评标方式，潜在投标人可提前在焦作市交易中心官网首页---下载中心--下载</w:t>
            </w:r>
            <w:r>
              <w:rPr>
                <w:rFonts w:hint="eastAsia"/>
              </w:rPr>
              <w:fldChar w:fldCharType="begin"/>
            </w:r>
            <w:r>
              <w:rPr>
                <w:rFonts w:hint="eastAsia"/>
              </w:rPr>
              <w:instrText xml:space="preserve"> HYPERLINK "http://www.jzggzy.cn/TPFront/InfoDetail/Default.aspx?InfoID=b5d977f8-bf6f-4349-9275-63a47a0979b9&amp;CategoryNum=069006002" </w:instrText>
            </w:r>
            <w:r>
              <w:rPr>
                <w:rFonts w:hint="eastAsia"/>
              </w:rPr>
              <w:fldChar w:fldCharType="separate"/>
            </w:r>
            <w:r>
              <w:rPr>
                <w:rFonts w:hint="eastAsia"/>
              </w:rPr>
              <w:t>《焦作市电子招投标系统操作手册》</w:t>
            </w:r>
            <w:r>
              <w:rPr>
                <w:rFonts w:hint="eastAsia"/>
              </w:rPr>
              <w:fldChar w:fldCharType="end"/>
            </w:r>
            <w:r>
              <w:rPr>
                <w:rFonts w:hint="eastAsia"/>
              </w:rPr>
              <w:t>和</w:t>
            </w:r>
            <w:r>
              <w:rPr>
                <w:rFonts w:hint="eastAsia"/>
                <w:color w:val="000000" w:themeColor="text1"/>
                <w:sz w:val="21"/>
                <w:szCs w:val="21"/>
                <w14:textFill>
                  <w14:solidFill>
                    <w14:schemeClr w14:val="tx1"/>
                  </w14:solidFill>
                </w14:textFill>
              </w:rPr>
              <w:t>《焦作市公共资源交易平台不见面开标操作手册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投标文件制作工作工具》</w:t>
            </w:r>
            <w:r>
              <w:rPr>
                <w:rFonts w:hint="eastAsia"/>
              </w:rPr>
              <w:t>等，查看操作说明，按要求进行投标文件制作和上传等。为避免网络拥堵等不可控因素影响投标文件的上传，请提前上传投标文件，并在开标截止时间前登录不见面开标大厅进行签到，逾期或未按规定时间进行签到的，投标文件不予受理；并按要求解密投标文件</w:t>
            </w:r>
            <w:r>
              <w:rPr>
                <w:rFonts w:hint="eastAsia"/>
                <w:lang w:eastAsia="zh-CN"/>
              </w:rPr>
              <w:t>，</w:t>
            </w:r>
            <w:r>
              <w:rPr>
                <w:rFonts w:hint="eastAsia"/>
              </w:rPr>
              <w:t>解密时间为</w:t>
            </w:r>
            <w:r>
              <w:rPr>
                <w:rFonts w:hint="eastAsia"/>
                <w:lang w:eastAsia="zh-CN"/>
              </w:rPr>
              <w:t>响应文件提交</w:t>
            </w:r>
            <w:r>
              <w:rPr>
                <w:rFonts w:hint="eastAsia"/>
              </w:rPr>
              <w:t>截止时后30分钟内。因文件未及时上传导致投标失败的责任由投标人自行承担。</w:t>
            </w:r>
          </w:p>
        </w:tc>
      </w:tr>
      <w:tr>
        <w:tblPrEx>
          <w:tblCellMar>
            <w:top w:w="0" w:type="dxa"/>
            <w:left w:w="108" w:type="dxa"/>
            <w:bottom w:w="0" w:type="dxa"/>
            <w:right w:w="108" w:type="dxa"/>
          </w:tblCellMar>
        </w:tblPrEx>
        <w:trPr>
          <w:trHeight w:val="608"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6.1</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磋商小组的组建</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由采购人代表1人，技术、经济等专家2人，共3人组成。</w:t>
            </w:r>
          </w:p>
        </w:tc>
      </w:tr>
      <w:tr>
        <w:tblPrEx>
          <w:tblCellMar>
            <w:top w:w="0" w:type="dxa"/>
            <w:left w:w="108" w:type="dxa"/>
            <w:bottom w:w="0" w:type="dxa"/>
            <w:right w:w="108" w:type="dxa"/>
          </w:tblCellMar>
        </w:tblPrEx>
        <w:trPr>
          <w:trHeight w:val="568"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6.3</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评标办法</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综合评标法</w:t>
            </w:r>
          </w:p>
        </w:tc>
      </w:tr>
      <w:tr>
        <w:tblPrEx>
          <w:tblCellMar>
            <w:top w:w="0" w:type="dxa"/>
            <w:left w:w="108" w:type="dxa"/>
            <w:bottom w:w="0" w:type="dxa"/>
            <w:right w:w="108" w:type="dxa"/>
          </w:tblCellMar>
        </w:tblPrEx>
        <w:trPr>
          <w:trHeight w:val="6868"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需要落实的政策</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本项目执行促进中小型企业发展政策（监狱企业、残疾人</w:t>
            </w:r>
            <w:r>
              <w:rPr>
                <w:rFonts w:hint="eastAsia"/>
                <w:lang w:eastAsia="zh-CN"/>
              </w:rPr>
              <w:t>福利型</w:t>
            </w:r>
            <w:r>
              <w:rPr>
                <w:rFonts w:hint="eastAsia"/>
              </w:rPr>
              <w:t>企业视同小微企业）、强制采购节能产品、优先采购节能环保产品等政府采购政策。对小微企业的产品给予价格扣除（监狱企业、残疾人福利性单位视同小微企业；残疾人福利性单位属于小型、微型企业的，不重复享受政策）；监狱企业、残疾人福利性企业、小型和微型企业的价格给予扣除标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rPr>
            </w:pPr>
            <w:r>
              <w:rPr>
                <w:rFonts w:hint="eastAsia"/>
                <w:color w:val="auto"/>
              </w:rPr>
              <w:t>根据促进中小型企业发展，必须执行财政部、工信部印发的《政府采购促进中小型企业发展暂行办法》，根据焦财采购【2022】5号关于转发《河南省财政厅关于进一步做好政府采购支持中小企业发展有关事项的通知》</w:t>
            </w:r>
            <w:r>
              <w:rPr>
                <w:rFonts w:hint="eastAsia"/>
                <w:color w:val="auto"/>
                <w:lang w:eastAsia="zh-CN"/>
              </w:rPr>
              <w:t>（</w:t>
            </w:r>
            <w:r>
              <w:rPr>
                <w:rFonts w:hint="eastAsia"/>
                <w:color w:val="auto"/>
              </w:rPr>
              <w:t>豫财购【2022】5号）的通知，对非专门面向中小企业采购的项目，实施评审价格扣除政策支持小微企业。按照《通知》 要求，货物服务类项目的价格扣除提高至</w:t>
            </w:r>
            <w:r>
              <w:rPr>
                <w:rFonts w:hint="eastAsia"/>
                <w:color w:val="auto"/>
                <w:lang w:val="en-US" w:eastAsia="zh-CN"/>
              </w:rPr>
              <w:t>1</w:t>
            </w:r>
            <w:r>
              <w:rPr>
                <w:rFonts w:hint="eastAsia"/>
                <w:color w:val="auto"/>
              </w:rPr>
              <w:t>0%，用扣除后的价格参加评审。对于中型企业的价格不予扣除。</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rPr>
              <w:t>监狱企业、残疾人福利性单位视同小微企业，享受预留份额、评审中价格分加分等政府采购政策。</w:t>
            </w:r>
          </w:p>
        </w:tc>
      </w:tr>
      <w:tr>
        <w:tblPrEx>
          <w:tblCellMar>
            <w:top w:w="0" w:type="dxa"/>
            <w:left w:w="108" w:type="dxa"/>
            <w:bottom w:w="0" w:type="dxa"/>
            <w:right w:w="108" w:type="dxa"/>
          </w:tblCellMar>
        </w:tblPrEx>
        <w:trPr>
          <w:trHeight w:val="1853"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12</w:t>
            </w:r>
          </w:p>
        </w:tc>
        <w:tc>
          <w:tcPr>
            <w:tcW w:w="1861"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其他补充内容</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本项目招标活动中禁止关联企业同时投标，一经发现按无效标处理；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lang w:val="en-US" w:eastAsia="zh-CN"/>
              </w:rPr>
              <w:t>2.</w:t>
            </w:r>
            <w:r>
              <w:rPr>
                <w:rFonts w:hint="eastAsia"/>
              </w:rPr>
              <w:t>发现串标、围标行为的供应商，即纳入失信供应商名单，</w:t>
            </w:r>
            <w:r>
              <w:rPr>
                <w:rFonts w:hint="eastAsia"/>
                <w:lang w:eastAsia="zh-CN"/>
              </w:rPr>
              <w:t>并</w:t>
            </w:r>
            <w:r>
              <w:rPr>
                <w:rFonts w:hint="eastAsia"/>
              </w:rPr>
              <w:t>依法处理。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r>
      <w:tr>
        <w:tblPrEx>
          <w:tblCellMar>
            <w:top w:w="0" w:type="dxa"/>
            <w:left w:w="108" w:type="dxa"/>
            <w:bottom w:w="0" w:type="dxa"/>
            <w:right w:w="108" w:type="dxa"/>
          </w:tblCellMar>
        </w:tblPrEx>
        <w:trPr>
          <w:trHeight w:val="845"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13</w:t>
            </w:r>
          </w:p>
        </w:tc>
        <w:tc>
          <w:tcPr>
            <w:tcW w:w="1861" w:type="dxa"/>
            <w:tcBorders>
              <w:top w:val="single" w:color="auto" w:sz="4" w:space="0"/>
              <w:left w:val="single" w:color="auto" w:sz="4" w:space="0"/>
              <w:bottom w:val="single" w:color="auto" w:sz="4" w:space="0"/>
              <w:right w:val="single" w:color="auto" w:sz="4" w:space="0"/>
            </w:tcBorders>
            <w:vAlign w:val="center"/>
          </w:tcPr>
          <w:p>
            <w:pPr>
              <w:jc w:val="both"/>
              <w:rPr>
                <w:rFonts w:hint="eastAsia"/>
                <w:lang w:eastAsia="zh-CN"/>
              </w:rPr>
            </w:pPr>
            <w:r>
              <w:rPr>
                <w:rFonts w:hint="eastAsia"/>
                <w:lang w:eastAsia="zh-CN"/>
              </w:rPr>
              <w:t>履约保证金</w:t>
            </w:r>
          </w:p>
        </w:tc>
        <w:tc>
          <w:tcPr>
            <w:tcW w:w="6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eastAsia="zh-CN"/>
              </w:rPr>
            </w:pPr>
            <w:r>
              <w:rPr>
                <w:rFonts w:hint="eastAsia"/>
                <w:lang w:val="en-US" w:eastAsia="zh-CN"/>
              </w:rPr>
              <w:t>履约保证金免收</w:t>
            </w:r>
          </w:p>
        </w:tc>
      </w:tr>
      <w:tr>
        <w:tblPrEx>
          <w:tblCellMar>
            <w:top w:w="0" w:type="dxa"/>
            <w:left w:w="108" w:type="dxa"/>
            <w:bottom w:w="0" w:type="dxa"/>
            <w:right w:w="108" w:type="dxa"/>
          </w:tblCellMar>
        </w:tblPrEx>
        <w:trPr>
          <w:trHeight w:val="695" w:hRule="exact"/>
          <w:jc w:val="center"/>
        </w:trPr>
        <w:tc>
          <w:tcPr>
            <w:tcW w:w="8778" w:type="dxa"/>
            <w:gridSpan w:val="3"/>
            <w:tcBorders>
              <w:top w:val="single" w:color="auto" w:sz="4" w:space="0"/>
              <w:left w:val="single" w:color="auto" w:sz="4" w:space="0"/>
              <w:bottom w:val="single" w:color="auto" w:sz="4" w:space="0"/>
              <w:right w:val="single" w:color="auto" w:sz="4" w:space="0"/>
            </w:tcBorders>
            <w:vAlign w:val="center"/>
          </w:tcPr>
          <w:p>
            <w:pPr>
              <w:rPr>
                <w:rFonts w:hint="eastAsia"/>
                <w:lang w:val="en-US" w:eastAsia="zh-CN"/>
              </w:rPr>
            </w:pPr>
            <w:r>
              <w:rPr>
                <w:rFonts w:hint="eastAsia"/>
              </w:rPr>
              <w:t>需要补充的其他内容</w:t>
            </w:r>
          </w:p>
        </w:tc>
      </w:tr>
      <w:tr>
        <w:tblPrEx>
          <w:tblCellMar>
            <w:top w:w="0" w:type="dxa"/>
            <w:left w:w="108" w:type="dxa"/>
            <w:bottom w:w="0" w:type="dxa"/>
            <w:right w:w="108" w:type="dxa"/>
          </w:tblCellMar>
        </w:tblPrEx>
        <w:trPr>
          <w:trHeight w:val="3463" w:hRule="exact"/>
          <w:jc w:val="center"/>
        </w:trPr>
        <w:tc>
          <w:tcPr>
            <w:tcW w:w="8778" w:type="dxa"/>
            <w:gridSpan w:val="3"/>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 xml:space="preserve">1.招标代理服务费的收取标准：参照豫招协[2023]002号《河南省招标代理服务收费指导意见》，由成交人在领取成交通知书前支付招标代理服务费。 </w:t>
            </w:r>
          </w:p>
          <w:p>
            <w:pPr>
              <w:rPr>
                <w:rFonts w:hint="eastAsia"/>
              </w:rPr>
            </w:pPr>
            <w:r>
              <w:rPr>
                <w:rFonts w:hint="eastAsia"/>
                <w:lang w:val="en-US" w:eastAsia="zh-CN"/>
              </w:rPr>
              <w:t xml:space="preserve">2.中标（成交）结果公示结束后，政府采购代理机构应立即向中标供应商发放中标（成交）通知书。 </w:t>
            </w:r>
          </w:p>
          <w:p>
            <w:pPr>
              <w:rPr>
                <w:rFonts w:hint="eastAsia"/>
              </w:rPr>
            </w:pPr>
            <w:r>
              <w:rPr>
                <w:rFonts w:hint="eastAsia"/>
                <w:lang w:val="en-US" w:eastAsia="zh-CN"/>
              </w:rPr>
              <w:t xml:space="preserve">3.采购人应当在签订采购合同后 1 个工作日内，及时在“河南政府采购网”依法公开政府采购合同信息。 </w:t>
            </w:r>
          </w:p>
          <w:p>
            <w:pPr>
              <w:rPr>
                <w:rFonts w:hint="default"/>
                <w:lang w:val="en-US" w:eastAsia="zh-CN"/>
              </w:rPr>
            </w:pPr>
            <w:r>
              <w:rPr>
                <w:rFonts w:hint="eastAsia"/>
                <w:lang w:val="en-US" w:eastAsia="zh-CN"/>
              </w:rPr>
              <w:t>4.采购人或采购代理机构应当通过“信用中国”网站、“中国裁判文书网”或各级信用信息共享平台查询相关投标人是否被列入失信被执行人、是否有行贿犯罪记录。投标人如记录为失信被执行人、有行贿犯罪记录的将被取消其评标资格、中标资格）。信用信息查询记录和证据将同招标文件等资料一同归档保存。</w:t>
            </w:r>
          </w:p>
        </w:tc>
      </w:tr>
      <w:tr>
        <w:tblPrEx>
          <w:tblCellMar>
            <w:top w:w="0" w:type="dxa"/>
            <w:left w:w="108" w:type="dxa"/>
            <w:bottom w:w="0" w:type="dxa"/>
            <w:right w:w="108" w:type="dxa"/>
          </w:tblCellMar>
        </w:tblPrEx>
        <w:trPr>
          <w:trHeight w:val="2639" w:hRule="exact"/>
          <w:jc w:val="center"/>
        </w:trPr>
        <w:tc>
          <w:tcPr>
            <w:tcW w:w="8778" w:type="dxa"/>
            <w:gridSpan w:val="3"/>
            <w:tcBorders>
              <w:top w:val="single" w:color="auto" w:sz="4" w:space="0"/>
              <w:left w:val="single" w:color="auto" w:sz="4" w:space="0"/>
              <w:bottom w:val="single" w:color="auto" w:sz="4" w:space="0"/>
              <w:right w:val="single" w:color="auto" w:sz="4" w:space="0"/>
            </w:tcBorders>
            <w:vAlign w:val="bottom"/>
          </w:tcPr>
          <w:p>
            <w:pPr>
              <w:jc w:val="both"/>
              <w:rPr>
                <w:rFonts w:hint="eastAsia"/>
              </w:rPr>
            </w:pPr>
            <w:r>
              <w:rPr>
                <w:rFonts w:hint="eastAsia"/>
              </w:rPr>
              <w:t>本磋商文件未尽事宜，按《中华人民共和国政府采购法》等法律法规的有关规定执行。中小企业划分标准见工业和信息化部 国家统计局国家发展改革委 财政部 《关于印发中小企业划型标准规定的通知》工信部联企业 [2011]300号。</w:t>
            </w:r>
          </w:p>
          <w:p>
            <w:pPr>
              <w:jc w:val="both"/>
              <w:rPr>
                <w:rFonts w:hint="eastAsia"/>
              </w:rPr>
            </w:pPr>
            <w:r>
              <w:rPr>
                <w:rFonts w:hint="eastAsia"/>
              </w:rPr>
              <w:t>本项目标的物所属行业：</w:t>
            </w:r>
            <w:r>
              <w:rPr>
                <w:rFonts w:hint="eastAsia"/>
                <w:lang w:eastAsia="zh-CN"/>
              </w:rPr>
              <w:t>其他未列明行业</w:t>
            </w:r>
            <w:r>
              <w:rPr>
                <w:rFonts w:hint="eastAsia"/>
              </w:rPr>
              <w:t>。</w:t>
            </w:r>
            <w:r>
              <w:rPr>
                <w:rFonts w:hint="eastAsia"/>
                <w:lang w:val="en-US" w:eastAsia="zh-CN"/>
              </w:rPr>
              <w:t>本项目属于其他未列明行业（包括科学研究和技术服务业，水利、环境和公共设施管理业，居民服务、修理和其他服务业，社会工作，文化、体育和娱乐业等）。从业人员300人以下的为中小微型企业。其中，从业人员100人及以上的为中型企业；从业人员10人及以上的为小型企业；从业人员10人以下的为微型企业。</w:t>
            </w:r>
          </w:p>
          <w:p>
            <w:pPr>
              <w:jc w:val="both"/>
            </w:pPr>
          </w:p>
        </w:tc>
      </w:tr>
    </w:tbl>
    <w:p>
      <w:pPr>
        <w:pStyle w:val="39"/>
        <w:rPr>
          <w:color w:val="auto"/>
          <w:highlight w:val="none"/>
        </w:rPr>
      </w:pPr>
      <w:bookmarkStart w:id="10" w:name="_Toc12291"/>
      <w:bookmarkStart w:id="11" w:name="_Toc421284740"/>
      <w:bookmarkStart w:id="12" w:name="_Toc28006"/>
      <w:bookmarkStart w:id="13" w:name="_Toc175644026"/>
      <w:r>
        <w:rPr>
          <w:color w:val="auto"/>
          <w:highlight w:val="none"/>
        </w:rPr>
        <w:br w:type="page"/>
      </w:r>
    </w:p>
    <w:p>
      <w:pPr>
        <w:pStyle w:val="10"/>
        <w:pageBreakBefore w:val="0"/>
        <w:widowControl w:val="0"/>
        <w:numPr>
          <w:ilvl w:val="0"/>
          <w:numId w:val="0"/>
        </w:numPr>
        <w:kinsoku/>
        <w:wordWrap/>
        <w:overflowPunct/>
        <w:topLinePunct w:val="0"/>
        <w:bidi w:val="0"/>
        <w:spacing w:before="0" w:after="0" w:line="400" w:lineRule="exact"/>
        <w:ind w:firstLine="0" w:firstLineChars="0"/>
        <w:jc w:val="left"/>
        <w:textAlignment w:val="auto"/>
        <w:rPr>
          <w:rStyle w:val="46"/>
          <w:rFonts w:hint="eastAsia" w:ascii="宋体" w:hAnsi="宋体" w:eastAsia="宋体" w:cs="宋体"/>
          <w:b/>
          <w:bCs/>
          <w:color w:val="auto"/>
          <w:sz w:val="21"/>
          <w:szCs w:val="21"/>
          <w:highlight w:val="none"/>
        </w:rPr>
      </w:pPr>
      <w:bookmarkStart w:id="14" w:name="_Toc3661"/>
      <w:r>
        <w:rPr>
          <w:rStyle w:val="46"/>
          <w:rFonts w:hint="eastAsia" w:ascii="宋体" w:hAnsi="宋体" w:eastAsia="宋体" w:cs="宋体"/>
          <w:b/>
          <w:bCs/>
          <w:color w:val="auto"/>
          <w:sz w:val="21"/>
          <w:szCs w:val="21"/>
          <w:highlight w:val="none"/>
          <w:lang w:val="en-US" w:eastAsia="zh-CN"/>
        </w:rPr>
        <w:t>1.</w:t>
      </w:r>
      <w:r>
        <w:rPr>
          <w:rStyle w:val="46"/>
          <w:rFonts w:hint="eastAsia" w:ascii="宋体" w:hAnsi="宋体" w:eastAsia="宋体" w:cs="宋体"/>
          <w:b/>
          <w:bCs/>
          <w:color w:val="auto"/>
          <w:sz w:val="21"/>
          <w:szCs w:val="21"/>
          <w:highlight w:val="none"/>
        </w:rPr>
        <w:t>总则</w:t>
      </w:r>
      <w:bookmarkEnd w:id="10"/>
      <w:bookmarkEnd w:id="11"/>
      <w:bookmarkEnd w:id="14"/>
    </w:p>
    <w:p>
      <w:pPr>
        <w:keepNext w:val="0"/>
        <w:keepLines w:val="0"/>
        <w:pageBreakBefore w:val="0"/>
        <w:widowControl w:val="0"/>
        <w:numPr>
          <w:ilvl w:val="0"/>
          <w:numId w:val="0"/>
        </w:numPr>
        <w:tabs>
          <w:tab w:val="left" w:pos="0"/>
        </w:tabs>
        <w:kinsoku/>
        <w:wordWrap/>
        <w:overflowPunct/>
        <w:topLinePunct w:val="0"/>
        <w:autoSpaceDE/>
        <w:autoSpaceDN/>
        <w:bidi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适用范围</w:t>
      </w:r>
    </w:p>
    <w:p>
      <w:pPr>
        <w:keepNext w:val="0"/>
        <w:keepLines w:val="0"/>
        <w:pageBreakBefore w:val="0"/>
        <w:widowControl w:val="0"/>
        <w:tabs>
          <w:tab w:val="left" w:pos="0"/>
          <w:tab w:val="left" w:pos="7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1.1本范本是根据《中华人民共和国政府采购法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snapToGrid w:val="0"/>
          <w:color w:val="auto"/>
          <w:kern w:val="0"/>
          <w:sz w:val="21"/>
          <w:szCs w:val="21"/>
          <w:highlight w:val="none"/>
        </w:rPr>
        <w:t>政府采购竞争性磋商采购方式管理暂行办法</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color w:val="auto"/>
          <w:sz w:val="21"/>
          <w:szCs w:val="21"/>
          <w:highlight w:val="none"/>
          <w:shd w:val="clear" w:color="auto" w:fill="FFFFFF"/>
        </w:rPr>
        <w:t>政府采购非招标采购方式管理办法</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kern w:val="0"/>
          <w:sz w:val="21"/>
          <w:szCs w:val="21"/>
          <w:highlight w:val="none"/>
        </w:rPr>
        <w:t>政府采购货物和服务招标投标管理办法》</w:t>
      </w:r>
      <w:r>
        <w:rPr>
          <w:rFonts w:hint="eastAsia" w:ascii="宋体" w:hAnsi="宋体" w:eastAsia="宋体" w:cs="宋体"/>
          <w:color w:val="auto"/>
          <w:sz w:val="21"/>
          <w:szCs w:val="21"/>
          <w:highlight w:val="none"/>
        </w:rPr>
        <w:t>等相关法律法规、部门规章</w:t>
      </w:r>
      <w:r>
        <w:rPr>
          <w:rFonts w:hint="eastAsia" w:ascii="宋体" w:hAnsi="宋体" w:eastAsia="宋体" w:cs="宋体"/>
          <w:color w:val="auto"/>
          <w:sz w:val="21"/>
          <w:szCs w:val="21"/>
          <w:highlight w:val="none"/>
          <w:lang w:eastAsia="zh-CN"/>
        </w:rPr>
        <w:t>制定</w:t>
      </w:r>
      <w:r>
        <w:rPr>
          <w:rFonts w:hint="eastAsia" w:ascii="宋体" w:hAnsi="宋体" w:eastAsia="宋体" w:cs="宋体"/>
          <w:color w:val="auto"/>
          <w:sz w:val="21"/>
          <w:szCs w:val="21"/>
          <w:highlight w:val="none"/>
        </w:rPr>
        <w:t>。</w:t>
      </w:r>
    </w:p>
    <w:p>
      <w:pPr>
        <w:keepNext w:val="0"/>
        <w:keepLines w:val="0"/>
        <w:pageBreakBefore w:val="0"/>
        <w:widowControl w:val="0"/>
        <w:tabs>
          <w:tab w:val="left" w:pos="0"/>
          <w:tab w:val="left" w:pos="7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1.2本磋商文件仅适用于本次竞争性磋商采购所叙述的采购项目。</w:t>
      </w:r>
      <w:r>
        <w:rPr>
          <w:rFonts w:hint="eastAsia" w:ascii="宋体" w:hAnsi="宋体" w:eastAsia="宋体" w:cs="宋体"/>
          <w:color w:val="auto"/>
          <w:sz w:val="21"/>
          <w:szCs w:val="21"/>
          <w:highlight w:val="none"/>
          <w:shd w:val="clear" w:color="auto" w:fill="FFFFFF"/>
        </w:rPr>
        <w:t>供应商应当按照磋商文件的要求编制响应文件。</w:t>
      </w:r>
      <w:r>
        <w:rPr>
          <w:rFonts w:hint="eastAsia" w:ascii="宋体" w:hAnsi="宋体" w:eastAsia="宋体" w:cs="宋体"/>
          <w:color w:val="auto"/>
          <w:kern w:val="0"/>
          <w:sz w:val="21"/>
          <w:szCs w:val="21"/>
          <w:highlight w:val="none"/>
        </w:rPr>
        <w:t>供应商编制响应文件时，不得向采购人提出任何磋商文件要求（规定的条件）之外的附加条件，</w:t>
      </w:r>
      <w:r>
        <w:rPr>
          <w:rFonts w:hint="eastAsia" w:ascii="宋体" w:hAnsi="宋体" w:eastAsia="宋体" w:cs="宋体"/>
          <w:color w:val="auto"/>
          <w:sz w:val="21"/>
          <w:szCs w:val="21"/>
          <w:highlight w:val="none"/>
          <w:shd w:val="clear" w:color="auto" w:fill="FFFFFF"/>
        </w:rPr>
        <w:t>并对其提交的响应文件的真实性、合法性承担法律责任。</w:t>
      </w:r>
    </w:p>
    <w:p>
      <w:pPr>
        <w:keepNext w:val="0"/>
        <w:keepLines w:val="0"/>
        <w:pageBreakBefore w:val="0"/>
        <w:widowControl w:val="0"/>
        <w:numPr>
          <w:ilvl w:val="0"/>
          <w:numId w:val="0"/>
        </w:numPr>
        <w:tabs>
          <w:tab w:val="left" w:pos="0"/>
        </w:tabs>
        <w:kinsoku/>
        <w:wordWrap/>
        <w:overflowPunct/>
        <w:topLinePunct w:val="0"/>
        <w:autoSpaceDE/>
        <w:autoSpaceDN/>
        <w:bidi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定义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货物</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shd w:val="clear" w:color="auto" w:fill="FFFFFF"/>
        </w:rPr>
        <w:t>是指</w:t>
      </w:r>
      <w:r>
        <w:rPr>
          <w:rFonts w:hint="eastAsia" w:ascii="宋体" w:hAnsi="宋体" w:eastAsia="宋体" w:cs="宋体"/>
          <w:color w:val="auto"/>
          <w:kern w:val="0"/>
          <w:sz w:val="21"/>
          <w:szCs w:val="21"/>
          <w:highlight w:val="none"/>
          <w:shd w:val="clear" w:color="auto" w:fill="FFFFFF"/>
          <w:lang w:eastAsia="zh-CN"/>
        </w:rPr>
        <w:t>各种形态和种类的物品，包括原材料、燃料、设备、产品等。</w:t>
      </w:r>
    </w:p>
    <w:p>
      <w:pPr>
        <w:keepNext w:val="0"/>
        <w:keepLines w:val="0"/>
        <w:pageBreakBefore w:val="0"/>
        <w:widowControl w:val="0"/>
        <w:tabs>
          <w:tab w:val="left" w:pos="0"/>
          <w:tab w:val="left" w:pos="7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2.2采购代理机构：是指接受采购人委托，代理政府采购项目的集中采购机构、社会中介采购代理机构的总称。具体项目的采购代理机构，在供应商须知前附表序号1.1.3中规定。</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181" w:leftChars="8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2.3采购人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是指依法进行政府采购的国家机关、事业单位、团体组织。</w:t>
      </w:r>
      <w:r>
        <w:rPr>
          <w:rFonts w:hint="eastAsia" w:ascii="宋体" w:hAnsi="宋体" w:eastAsia="宋体" w:cs="宋体"/>
          <w:color w:val="auto"/>
          <w:sz w:val="21"/>
          <w:szCs w:val="21"/>
          <w:highlight w:val="none"/>
          <w:lang w:eastAsia="zh-CN"/>
        </w:rPr>
        <w:t>即</w:t>
      </w:r>
      <w:r>
        <w:rPr>
          <w:rFonts w:hint="eastAsia" w:ascii="宋体" w:hAnsi="宋体" w:eastAsia="宋体" w:cs="宋体"/>
          <w:color w:val="auto"/>
          <w:sz w:val="21"/>
          <w:szCs w:val="21"/>
          <w:highlight w:val="none"/>
        </w:rPr>
        <w:t>本次采购项目的业主方。</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178" w:leftChars="85"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2.4供应商：是指向采购人提供货物、工程或者服务的法人、其他组织或者自然人。即对“供应商须知前附表”1.1.4所指称项目表现出兴趣，并有可能实际参与该项目竞争的法人、其他组织或者自然人。</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178" w:leftChars="85"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2.5 磋商小组：是指</w:t>
      </w:r>
      <w:r>
        <w:rPr>
          <w:rFonts w:hint="eastAsia" w:ascii="宋体" w:hAnsi="宋体" w:eastAsia="宋体" w:cs="宋体"/>
          <w:color w:val="auto"/>
          <w:kern w:val="0"/>
          <w:sz w:val="21"/>
          <w:szCs w:val="21"/>
          <w:highlight w:val="none"/>
        </w:rPr>
        <w:t>依据《中华人民共和国政府采购法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kern w:val="0"/>
          <w:sz w:val="21"/>
          <w:szCs w:val="21"/>
          <w:highlight w:val="none"/>
        </w:rPr>
        <w:t>和财政部</w:t>
      </w:r>
      <w:r>
        <w:rPr>
          <w:rFonts w:hint="eastAsia" w:ascii="宋体" w:hAnsi="宋体" w:eastAsia="宋体" w:cs="宋体"/>
          <w:color w:val="auto"/>
          <w:sz w:val="21"/>
          <w:szCs w:val="21"/>
          <w:highlight w:val="none"/>
        </w:rPr>
        <w:t>《</w:t>
      </w:r>
      <w:r>
        <w:rPr>
          <w:rFonts w:hint="eastAsia" w:ascii="宋体" w:hAnsi="宋体" w:eastAsia="宋体" w:cs="宋体"/>
          <w:snapToGrid w:val="0"/>
          <w:color w:val="auto"/>
          <w:kern w:val="0"/>
          <w:sz w:val="21"/>
          <w:szCs w:val="21"/>
          <w:highlight w:val="none"/>
        </w:rPr>
        <w:t>政府采购竞争性磋商采购方式管理暂行办法</w:t>
      </w:r>
      <w:r>
        <w:rPr>
          <w:rFonts w:hint="eastAsia" w:ascii="宋体" w:hAnsi="宋体" w:eastAsia="宋体" w:cs="宋体"/>
          <w:color w:val="auto"/>
          <w:sz w:val="21"/>
          <w:szCs w:val="21"/>
          <w:highlight w:val="none"/>
        </w:rPr>
        <w:t>》</w:t>
      </w:r>
      <w:r>
        <w:rPr>
          <w:rFonts w:hint="eastAsia" w:ascii="宋体" w:hAnsi="宋体" w:eastAsia="宋体" w:cs="宋体"/>
          <w:bCs/>
          <w:color w:val="auto"/>
          <w:kern w:val="36"/>
          <w:sz w:val="21"/>
          <w:szCs w:val="21"/>
          <w:highlight w:val="none"/>
        </w:rPr>
        <w:t>有关规定组建，依法依规</w:t>
      </w:r>
      <w:r>
        <w:rPr>
          <w:rFonts w:hint="eastAsia" w:ascii="宋体" w:hAnsi="宋体" w:eastAsia="宋体" w:cs="宋体"/>
          <w:color w:val="auto"/>
          <w:kern w:val="0"/>
          <w:sz w:val="21"/>
          <w:szCs w:val="21"/>
          <w:highlight w:val="none"/>
        </w:rPr>
        <w:t>履行其职责和义务的机构。</w:t>
      </w:r>
    </w:p>
    <w:p>
      <w:pPr>
        <w:keepNext w:val="0"/>
        <w:keepLines w:val="0"/>
        <w:pageBreakBefore w:val="0"/>
        <w:widowControl w:val="0"/>
        <w:numPr>
          <w:ilvl w:val="0"/>
          <w:numId w:val="0"/>
        </w:numPr>
        <w:tabs>
          <w:tab w:val="left" w:pos="0"/>
        </w:tabs>
        <w:kinsoku/>
        <w:wordWrap/>
        <w:overflowPunct/>
        <w:topLinePunct w:val="0"/>
        <w:autoSpaceDE/>
        <w:autoSpaceDN/>
        <w:bidi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合格的供应商</w:t>
      </w:r>
    </w:p>
    <w:p>
      <w:pPr>
        <w:keepNext w:val="0"/>
        <w:keepLines w:val="0"/>
        <w:pageBreakBefore w:val="0"/>
        <w:widowControl w:val="0"/>
        <w:tabs>
          <w:tab w:val="left" w:pos="0"/>
          <w:tab w:val="left" w:pos="720"/>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3.1根据政府采购法的规定，参与政府采购活动的供应商必须是满足</w:t>
      </w:r>
      <w:r>
        <w:rPr>
          <w:rFonts w:hint="eastAsia" w:ascii="宋体" w:hAnsi="宋体" w:eastAsia="宋体" w:cs="宋体"/>
          <w:color w:val="auto"/>
          <w:kern w:val="0"/>
          <w:sz w:val="21"/>
          <w:szCs w:val="21"/>
          <w:highlight w:val="none"/>
        </w:rPr>
        <w:t>《政府采购法》第二十二条规定的全部条件</w:t>
      </w:r>
      <w:r>
        <w:rPr>
          <w:rFonts w:hint="eastAsia" w:ascii="宋体" w:hAnsi="宋体" w:eastAsia="宋体" w:cs="宋体"/>
          <w:color w:val="auto"/>
          <w:sz w:val="21"/>
          <w:szCs w:val="21"/>
          <w:highlight w:val="none"/>
        </w:rPr>
        <w:t>的法人、其他组织或者自然人：</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3.1.1供应商具备工商行政主管部门核发的有效法人营业执照或事业单位法人证书；</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供应商需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无行贿犯罪记录承诺书原件（内容包括：企业法人、法定代表人、法定代表授权委托人）</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3.1.3本项目不接受联合体投标。</w:t>
      </w:r>
    </w:p>
    <w:p>
      <w:pPr>
        <w:keepNext w:val="0"/>
        <w:keepLines w:val="0"/>
        <w:pageBreakBefore w:val="0"/>
        <w:widowControl w:val="0"/>
        <w:tabs>
          <w:tab w:val="left" w:pos="0"/>
          <w:tab w:val="left" w:pos="720"/>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3.2由于政府采购项目的差异性，供应商在参与具体政府采购项目活动时，还要仔细阅读该项目（或包）的资质及相关要求。</w:t>
      </w:r>
    </w:p>
    <w:p>
      <w:pPr>
        <w:keepNext w:val="0"/>
        <w:keepLines w:val="0"/>
        <w:pageBreakBefore w:val="0"/>
        <w:widowControl w:val="0"/>
        <w:tabs>
          <w:tab w:val="left" w:pos="0"/>
          <w:tab w:val="left" w:pos="720"/>
        </w:tabs>
        <w:kinsoku/>
        <w:wordWrap/>
        <w:overflowPunct/>
        <w:topLinePunct w:val="0"/>
        <w:autoSpaceDE/>
        <w:autoSpaceDN/>
        <w:bidi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4、供应商参与磋商活动的费用以及风险</w:t>
      </w:r>
    </w:p>
    <w:p>
      <w:pPr>
        <w:keepNext w:val="0"/>
        <w:keepLines w:val="0"/>
        <w:pageBreakBefore w:val="0"/>
        <w:widowControl w:val="0"/>
        <w:tabs>
          <w:tab w:val="left" w:pos="0"/>
          <w:tab w:val="left" w:pos="7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4.1供应商必须自行承担所有与参加政府采购活动的有关费用。不论结果如何，采购代理机构在任何情况下均无义务和责任承担这些费用。</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4.2供应商一旦购买了磋商文件并参加本次政府采购活动，即被认为接受了磋商文件中的所有条件和规定。</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4.3供应商应认真阅读磋商文件中所有的事项、格式、条款和规范等要求。如果没有按照磋商文件要求提交全部资料，或没有对磋商文件</w:t>
      </w:r>
      <w:r>
        <w:rPr>
          <w:rFonts w:hint="eastAsia" w:ascii="宋体" w:hAnsi="宋体" w:eastAsia="宋体" w:cs="宋体"/>
          <w:color w:val="auto"/>
          <w:sz w:val="21"/>
          <w:szCs w:val="21"/>
          <w:highlight w:val="none"/>
          <w:lang w:eastAsia="zh-CN"/>
        </w:rPr>
        <w:t>作出</w:t>
      </w:r>
      <w:r>
        <w:rPr>
          <w:rFonts w:hint="eastAsia" w:ascii="宋体" w:hAnsi="宋体" w:eastAsia="宋体" w:cs="宋体"/>
          <w:color w:val="auto"/>
          <w:sz w:val="21"/>
          <w:szCs w:val="21"/>
          <w:highlight w:val="none"/>
        </w:rPr>
        <w:t>实质性响应，其风险应由供应商自行承担。</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4.4供应商所提供的所有资料（包括</w:t>
      </w:r>
      <w:r>
        <w:rPr>
          <w:rFonts w:hint="eastAsia" w:ascii="宋体" w:hAnsi="宋体" w:eastAsia="宋体" w:cs="宋体"/>
          <w:bCs/>
          <w:color w:val="auto"/>
          <w:sz w:val="21"/>
          <w:szCs w:val="21"/>
          <w:highlight w:val="none"/>
        </w:rPr>
        <w:t>彩色扫描件、</w:t>
      </w:r>
      <w:r>
        <w:rPr>
          <w:rFonts w:hint="eastAsia" w:ascii="宋体" w:hAnsi="宋体" w:eastAsia="宋体" w:cs="宋体"/>
          <w:color w:val="auto"/>
          <w:sz w:val="21"/>
          <w:szCs w:val="21"/>
          <w:highlight w:val="none"/>
        </w:rPr>
        <w:t>复印件、影印打印件等）必须清晰，如因提供的资料难以辨认，其风险由供应商自行承担。</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供应商必须保证采购人使用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若因供应商提供的货物、资料、技术、服务或其任何一部分侵犯第三方的专利权、商标权或其它知识产权而引起的法律或经济纠纷，导致采购人损失，一切赔偿费用由供应商承担。</w:t>
      </w:r>
    </w:p>
    <w:bookmarkEnd w:id="12"/>
    <w:p>
      <w:pPr>
        <w:pStyle w:val="10"/>
        <w:pageBreakBefore w:val="0"/>
        <w:widowControl w:val="0"/>
        <w:kinsoku/>
        <w:wordWrap/>
        <w:overflowPunct/>
        <w:topLinePunct w:val="0"/>
        <w:bidi w:val="0"/>
        <w:spacing w:before="0" w:after="0" w:line="400" w:lineRule="exact"/>
        <w:ind w:left="0" w:leftChars="0" w:firstLine="0" w:firstLineChars="0"/>
        <w:jc w:val="left"/>
        <w:textAlignment w:val="auto"/>
        <w:rPr>
          <w:rStyle w:val="46"/>
          <w:rFonts w:hint="eastAsia" w:ascii="宋体" w:hAnsi="宋体" w:eastAsia="宋体" w:cs="宋体"/>
          <w:b/>
          <w:bCs/>
          <w:color w:val="auto"/>
          <w:sz w:val="21"/>
          <w:szCs w:val="21"/>
          <w:highlight w:val="none"/>
        </w:rPr>
      </w:pPr>
      <w:bookmarkStart w:id="15" w:name="_Toc5706"/>
      <w:bookmarkStart w:id="16" w:name="_Toc11914"/>
      <w:bookmarkStart w:id="17" w:name="_Toc5872"/>
      <w:bookmarkStart w:id="18" w:name="_Toc421284742"/>
      <w:r>
        <w:rPr>
          <w:rStyle w:val="46"/>
          <w:rFonts w:hint="eastAsia" w:ascii="宋体" w:hAnsi="宋体" w:eastAsia="宋体" w:cs="宋体"/>
          <w:b/>
          <w:bCs/>
          <w:color w:val="auto"/>
          <w:sz w:val="21"/>
          <w:szCs w:val="21"/>
          <w:highlight w:val="none"/>
        </w:rPr>
        <w:t>2.磋商文件</w:t>
      </w:r>
      <w:bookmarkEnd w:id="15"/>
      <w:bookmarkEnd w:id="16"/>
      <w:bookmarkEnd w:id="17"/>
      <w:bookmarkEnd w:id="18"/>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2.1 磋商文件的组成</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本磋商文件包括：</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（1）竞争性磋商公告；</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须知及供应商须知前附表；</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服务项目内容及要求</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合同条款及格式</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响应文件格式</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 他</w:t>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2.2 磋商文件的澄清</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否则由此引起的任何后果均由供应商自己承担，采购人与采购代理机构均不承担任何责任。</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磋商文件的澄清将在供应商须知前附表规定的磋商截止时间5天前以书面形式发给所有购买磋商文件的供应商，但不指明澄清问题的来源。如果澄清发出的时间距提交响应文件截止时间不足5天，相应延长提交响应文件截止时间。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2.2.3 供应商在收到澄清后，应在供应商须知前附表规定的时间内以书面形式通知采购人，确认已收到该澄清。</w:t>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2.3 磋商文件的修改</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在提交响应文件</w:t>
      </w:r>
      <w:r>
        <w:rPr>
          <w:rFonts w:hint="eastAsia" w:ascii="宋体" w:hAnsi="宋体" w:eastAsia="宋体" w:cs="宋体"/>
          <w:color w:val="auto"/>
          <w:sz w:val="21"/>
          <w:szCs w:val="21"/>
          <w:highlight w:val="none"/>
          <w:lang w:eastAsia="zh-CN"/>
        </w:rPr>
        <w:t>截止5</w:t>
      </w:r>
      <w:r>
        <w:rPr>
          <w:rFonts w:hint="eastAsia" w:ascii="宋体" w:hAnsi="宋体" w:eastAsia="宋体" w:cs="宋体"/>
          <w:color w:val="auto"/>
          <w:sz w:val="21"/>
          <w:szCs w:val="21"/>
          <w:highlight w:val="none"/>
        </w:rPr>
        <w:t>天前，采购人可以书面形式修改磋商文件，并通知所有已购买磋商文件的供应商。如果修改磋商文件的时间距提交响应文件截止时间不足5天，相应延长提交响应文件截止时间。</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2.3.2 供应商收到修改内容后，应在供应商须知前附表规定的时间内以书面形式通知采购人，确认已收到该修改。</w:t>
      </w:r>
    </w:p>
    <w:p>
      <w:pPr>
        <w:pStyle w:val="10"/>
        <w:pageBreakBefore w:val="0"/>
        <w:widowControl w:val="0"/>
        <w:kinsoku/>
        <w:wordWrap/>
        <w:overflowPunct/>
        <w:topLinePunct w:val="0"/>
        <w:bidi w:val="0"/>
        <w:spacing w:before="0" w:after="0" w:line="400" w:lineRule="exact"/>
        <w:ind w:left="0" w:leftChars="0" w:firstLine="0" w:firstLineChars="0"/>
        <w:jc w:val="left"/>
        <w:textAlignment w:val="auto"/>
        <w:rPr>
          <w:rStyle w:val="46"/>
          <w:rFonts w:hint="eastAsia" w:ascii="宋体" w:hAnsi="宋体" w:eastAsia="宋体" w:cs="宋体"/>
          <w:b/>
          <w:bCs/>
          <w:color w:val="auto"/>
          <w:sz w:val="21"/>
          <w:szCs w:val="21"/>
          <w:highlight w:val="none"/>
        </w:rPr>
      </w:pPr>
      <w:bookmarkStart w:id="19" w:name="_Toc24882"/>
      <w:bookmarkStart w:id="20" w:name="_Toc421284743"/>
      <w:bookmarkStart w:id="21" w:name="_Toc23887"/>
      <w:bookmarkStart w:id="22" w:name="_Toc4086"/>
      <w:r>
        <w:rPr>
          <w:rStyle w:val="46"/>
          <w:rFonts w:hint="eastAsia" w:ascii="宋体" w:hAnsi="宋体" w:eastAsia="宋体" w:cs="宋体"/>
          <w:b/>
          <w:bCs/>
          <w:color w:val="auto"/>
          <w:sz w:val="21"/>
          <w:szCs w:val="21"/>
          <w:highlight w:val="none"/>
        </w:rPr>
        <w:t>3.响应文件</w:t>
      </w:r>
      <w:bookmarkEnd w:id="19"/>
      <w:bookmarkEnd w:id="20"/>
      <w:bookmarkEnd w:id="21"/>
      <w:bookmarkEnd w:id="22"/>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3.1 响应文件的组成</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详见第六章“响应文件格式”</w:t>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3.2 磋商截止时间和地点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磋商截止时间和地点：见供应商须知前附表。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3.3 磋商报价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磋商报价由供应商根据市场行情结合本项目实际情况及本项目特殊性自行报价，一旦中标，不因任何原因的变化而调整。</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3.2.2供应商不得以任何理由对最后磋商报价予以修改，最后磋商报价在磋商有效期内是固定的，不因任何原因而改变。任何原因包含价格调整要求和条件的磋商，将被视为非实质性响应</w:t>
      </w:r>
      <w:r>
        <w:rPr>
          <w:rFonts w:hint="eastAsia" w:ascii="宋体" w:hAnsi="宋体" w:eastAsia="宋体" w:cs="宋体"/>
          <w:color w:val="auto"/>
          <w:kern w:val="0"/>
          <w:sz w:val="21"/>
          <w:szCs w:val="21"/>
          <w:highlight w:val="none"/>
          <w:lang w:eastAsia="zh-CN"/>
        </w:rPr>
        <w:t>而予以</w:t>
      </w:r>
      <w:r>
        <w:rPr>
          <w:rFonts w:hint="eastAsia" w:ascii="宋体" w:hAnsi="宋体" w:eastAsia="宋体" w:cs="宋体"/>
          <w:color w:val="auto"/>
          <w:kern w:val="0"/>
          <w:sz w:val="21"/>
          <w:szCs w:val="21"/>
          <w:highlight w:val="none"/>
        </w:rPr>
        <w:t>拒绝。</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3.2.3首次提交响应性文件上的报价为磋商时的参考价格，磋商小组以供应商</w:t>
      </w:r>
      <w:r>
        <w:rPr>
          <w:rFonts w:hint="eastAsia" w:ascii="宋体" w:hAnsi="宋体" w:eastAsia="宋体" w:cs="宋体"/>
          <w:color w:val="auto"/>
          <w:kern w:val="0"/>
          <w:sz w:val="21"/>
          <w:szCs w:val="21"/>
          <w:highlight w:val="none"/>
          <w:lang w:eastAsia="zh-CN"/>
        </w:rPr>
        <w:t>提交</w:t>
      </w:r>
      <w:r>
        <w:rPr>
          <w:rFonts w:hint="eastAsia" w:ascii="宋体" w:hAnsi="宋体" w:eastAsia="宋体" w:cs="宋体"/>
          <w:color w:val="auto"/>
          <w:kern w:val="0"/>
          <w:sz w:val="21"/>
          <w:szCs w:val="21"/>
          <w:highlight w:val="none"/>
        </w:rPr>
        <w:t>的最后报价确定成交供应商的成交价格。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 磋商有效期</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 磋商有效期见供应商须知前附表。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 在磋商有效期内，除磋商小组提出实质性变动采购需求中的技术、服务要求以及合同草案条款外，供应商不得要求撤销或修改其响应文件。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 出现特殊情况需要延长磋商有效期的，采购人以书面形式通知所有供应商延长磋商有效期。供应商同意延长的，应相应延长其磋商保证金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如有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的有效期，但不得要求或被允许修改或撤销其响应文件；供应商拒绝延长的，其响应性文件失效，但供应商有权无息收回其磋商保证金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如有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3.5 磋商保证金（无）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3.6 资格审查资料</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3.6.1“供应商基本情况表”应附供应商有效的营业执照（副本）等的复印件</w:t>
      </w:r>
      <w:r>
        <w:rPr>
          <w:rFonts w:hint="eastAsia" w:ascii="宋体" w:hAnsi="宋体" w:eastAsia="宋体" w:cs="宋体"/>
          <w:color w:val="auto"/>
          <w:kern w:val="0"/>
          <w:sz w:val="21"/>
          <w:szCs w:val="21"/>
          <w:highlight w:val="none"/>
          <w:lang w:eastAsia="zh-CN"/>
        </w:rPr>
        <w:t>或扫描件</w:t>
      </w:r>
      <w:r>
        <w:rPr>
          <w:rFonts w:hint="eastAsia" w:ascii="宋体" w:hAnsi="宋体" w:eastAsia="宋体" w:cs="宋体"/>
          <w:color w:val="auto"/>
          <w:kern w:val="0"/>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3.7 响应文件的编制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3.7.1 响应文件应按本磋商文件“响应文件格式”进行编写。</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3.7.2 响应文件应当对磋商文件规定的磋商有效期、合同履行期限（工期）、质量要求、服务项目内容及要求等实质性内容作出响应。</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3.7.3 </w:t>
      </w:r>
      <w:r>
        <w:rPr>
          <w:rFonts w:hint="eastAsia" w:ascii="宋体" w:hAnsi="宋体" w:eastAsia="宋体" w:cs="宋体"/>
          <w:color w:val="auto"/>
          <w:kern w:val="0"/>
          <w:sz w:val="21"/>
          <w:szCs w:val="21"/>
          <w:highlight w:val="none"/>
          <w:lang w:val="en-US" w:eastAsia="zh-CN"/>
        </w:rPr>
        <w:t xml:space="preserve">供应商凭CA 锁登录，并按网上提示自行下载磋商文件。使用“新点投标文件制作软件”按要求制作电子响应性文件。供应商在制作电子响应性文件时，应按要求进行电子签章。供应商编辑电子响应性文件时，根据磋商文件要求用法定代表人CA锁和企业CA锁进行签章制作；最后一步生成电子响应文件时，只能用本单位的企业CA 锁。 </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电子</w:t>
      </w:r>
      <w:r>
        <w:rPr>
          <w:rFonts w:hint="eastAsia" w:ascii="宋体" w:hAnsi="宋体" w:eastAsia="宋体" w:cs="宋体"/>
          <w:color w:val="auto"/>
          <w:kern w:val="0"/>
          <w:sz w:val="21"/>
          <w:szCs w:val="21"/>
          <w:highlight w:val="none"/>
        </w:rPr>
        <w:t>响应文件</w:t>
      </w:r>
      <w:r>
        <w:rPr>
          <w:rFonts w:hint="eastAsia" w:ascii="宋体" w:hAnsi="宋体" w:eastAsia="宋体" w:cs="宋体"/>
          <w:color w:val="auto"/>
          <w:sz w:val="21"/>
          <w:szCs w:val="21"/>
          <w:highlight w:val="none"/>
        </w:rPr>
        <w:t>上传件、自备非加密的电子</w:t>
      </w:r>
      <w:r>
        <w:rPr>
          <w:rFonts w:hint="eastAsia" w:ascii="宋体" w:hAnsi="宋体" w:eastAsia="宋体" w:cs="宋体"/>
          <w:color w:val="auto"/>
          <w:kern w:val="0"/>
          <w:sz w:val="21"/>
          <w:szCs w:val="21"/>
          <w:highlight w:val="none"/>
        </w:rPr>
        <w:t>响应文件</w:t>
      </w:r>
      <w:r>
        <w:rPr>
          <w:rFonts w:hint="eastAsia" w:ascii="宋体" w:hAnsi="宋体" w:eastAsia="宋体" w:cs="宋体"/>
          <w:color w:val="auto"/>
          <w:sz w:val="21"/>
          <w:szCs w:val="21"/>
          <w:highlight w:val="none"/>
        </w:rPr>
        <w:t>应一致，不一致时以电子</w:t>
      </w:r>
      <w:r>
        <w:rPr>
          <w:rFonts w:hint="eastAsia" w:ascii="宋体" w:hAnsi="宋体" w:eastAsia="宋体" w:cs="宋体"/>
          <w:color w:val="auto"/>
          <w:kern w:val="0"/>
          <w:sz w:val="21"/>
          <w:szCs w:val="21"/>
          <w:highlight w:val="none"/>
        </w:rPr>
        <w:t>响应文件</w:t>
      </w:r>
      <w:r>
        <w:rPr>
          <w:rFonts w:hint="eastAsia" w:ascii="宋体" w:hAnsi="宋体" w:eastAsia="宋体" w:cs="宋体"/>
          <w:color w:val="auto"/>
          <w:sz w:val="21"/>
          <w:szCs w:val="21"/>
          <w:highlight w:val="none"/>
        </w:rPr>
        <w:t>上传件为准。如电子</w:t>
      </w:r>
      <w:r>
        <w:rPr>
          <w:rFonts w:hint="eastAsia" w:ascii="宋体" w:hAnsi="宋体" w:eastAsia="宋体" w:cs="宋体"/>
          <w:color w:val="auto"/>
          <w:kern w:val="0"/>
          <w:sz w:val="21"/>
          <w:szCs w:val="21"/>
          <w:highlight w:val="none"/>
        </w:rPr>
        <w:t>响应文件</w:t>
      </w:r>
      <w:r>
        <w:rPr>
          <w:rFonts w:hint="eastAsia" w:ascii="宋体" w:hAnsi="宋体" w:eastAsia="宋体" w:cs="宋体"/>
          <w:color w:val="auto"/>
          <w:sz w:val="21"/>
          <w:szCs w:val="21"/>
          <w:highlight w:val="none"/>
        </w:rPr>
        <w:t>出现问题，以自备非加密的电子</w:t>
      </w:r>
      <w:r>
        <w:rPr>
          <w:rFonts w:hint="eastAsia" w:ascii="宋体" w:hAnsi="宋体" w:eastAsia="宋体" w:cs="宋体"/>
          <w:color w:val="auto"/>
          <w:kern w:val="0"/>
          <w:sz w:val="21"/>
          <w:szCs w:val="21"/>
          <w:highlight w:val="none"/>
        </w:rPr>
        <w:t>响应文件</w:t>
      </w:r>
      <w:r>
        <w:rPr>
          <w:rFonts w:hint="eastAsia" w:ascii="宋体" w:hAnsi="宋体" w:eastAsia="宋体" w:cs="宋体"/>
          <w:color w:val="auto"/>
          <w:sz w:val="21"/>
          <w:szCs w:val="21"/>
          <w:highlight w:val="none"/>
        </w:rPr>
        <w:t>为准。</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本项目采用电子开评标方式，潜在</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sz w:val="21"/>
          <w:szCs w:val="21"/>
          <w:highlight w:val="none"/>
        </w:rPr>
        <w:t>可提前在焦作市交易中心官网首页---下载中心--下载《焦作市电子招投标系统操作手册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焦作市公共资源交易平台不见面开标操作手册》和《投标文件制作工作工具》等查看操作说明，按要求进行</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文件制作和上传等。为避免网络拥堵等不可控因素影响</w:t>
      </w:r>
      <w:r>
        <w:rPr>
          <w:rFonts w:hint="eastAsia" w:ascii="宋体" w:hAnsi="宋体" w:eastAsia="宋体" w:cs="宋体"/>
          <w:color w:val="auto"/>
          <w:kern w:val="0"/>
          <w:sz w:val="21"/>
          <w:szCs w:val="21"/>
          <w:highlight w:val="none"/>
        </w:rPr>
        <w:t>响应</w:t>
      </w:r>
      <w:r>
        <w:rPr>
          <w:rFonts w:hint="eastAsia" w:ascii="宋体" w:hAnsi="宋体" w:eastAsia="宋体" w:cs="宋体"/>
          <w:color w:val="auto"/>
          <w:sz w:val="21"/>
          <w:szCs w:val="21"/>
          <w:highlight w:val="none"/>
        </w:rPr>
        <w:t>文件的上传，请提前上传</w:t>
      </w:r>
      <w:r>
        <w:rPr>
          <w:rFonts w:hint="eastAsia" w:ascii="宋体" w:hAnsi="宋体" w:eastAsia="宋体" w:cs="宋体"/>
          <w:color w:val="auto"/>
          <w:kern w:val="0"/>
          <w:sz w:val="21"/>
          <w:szCs w:val="21"/>
          <w:highlight w:val="none"/>
        </w:rPr>
        <w:t>响应</w:t>
      </w:r>
      <w:r>
        <w:rPr>
          <w:rFonts w:hint="eastAsia" w:ascii="宋体" w:hAnsi="宋体" w:eastAsia="宋体" w:cs="宋体"/>
          <w:color w:val="auto"/>
          <w:sz w:val="21"/>
          <w:szCs w:val="21"/>
          <w:highlight w:val="none"/>
        </w:rPr>
        <w:t>文件，并在开标截止时间前登录不见面开标大厅进行签到，按要求解密</w:t>
      </w:r>
      <w:r>
        <w:rPr>
          <w:rFonts w:hint="eastAsia" w:ascii="宋体" w:hAnsi="宋体" w:eastAsia="宋体" w:cs="宋体"/>
          <w:color w:val="auto"/>
          <w:kern w:val="0"/>
          <w:sz w:val="21"/>
          <w:szCs w:val="21"/>
          <w:highlight w:val="none"/>
        </w:rPr>
        <w:t>响应</w:t>
      </w:r>
      <w:r>
        <w:rPr>
          <w:rFonts w:hint="eastAsia" w:ascii="宋体" w:hAnsi="宋体" w:eastAsia="宋体" w:cs="宋体"/>
          <w:color w:val="auto"/>
          <w:sz w:val="21"/>
          <w:szCs w:val="21"/>
          <w:highlight w:val="none"/>
        </w:rPr>
        <w:t>文件。因文件未及时上传导致投标失败的责任由</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sz w:val="21"/>
          <w:szCs w:val="21"/>
          <w:highlight w:val="none"/>
        </w:rPr>
        <w:t>自行承担。</w:t>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3.8 语言文字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除专用术语外，与招标投标有关的语言均使用中文。必要时专业术语应附有中文注释。</w:t>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3.9 计量单位和货币</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所有计量单位均采用中华人民共和国法定计量单位。货币均采用人民币。</w:t>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3.10 踏勘现场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3.10.1 供应商须知前附表规定组织踏勘现场的，采购人按供应商须知前附表规定的时间、地点组织供应商踏勘项目现场。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3.10.2 供应商踏勘现场发生的费用自理。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3.10.3 采购人在踏勘现场中介绍的情况，供供应商在编制响应文件时参考，采购人不对供应商据此作出的判断和决策负责</w:t>
      </w:r>
      <w:r>
        <w:rPr>
          <w:rFonts w:hint="eastAsia" w:ascii="宋体" w:hAnsi="宋体" w:eastAsia="宋体" w:cs="宋体"/>
          <w:color w:val="auto"/>
          <w:kern w:val="0"/>
          <w:sz w:val="21"/>
          <w:szCs w:val="21"/>
          <w:highlight w:val="none"/>
        </w:rPr>
        <w:t>。</w:t>
      </w:r>
    </w:p>
    <w:p>
      <w:pPr>
        <w:pStyle w:val="10"/>
        <w:pageBreakBefore w:val="0"/>
        <w:widowControl w:val="0"/>
        <w:numPr>
          <w:ilvl w:val="0"/>
          <w:numId w:val="0"/>
        </w:numPr>
        <w:kinsoku/>
        <w:wordWrap/>
        <w:overflowPunct/>
        <w:topLinePunct w:val="0"/>
        <w:bidi w:val="0"/>
        <w:spacing w:before="0" w:after="0" w:line="400" w:lineRule="exact"/>
        <w:ind w:firstLine="0" w:firstLineChars="0"/>
        <w:jc w:val="left"/>
        <w:textAlignment w:val="auto"/>
        <w:rPr>
          <w:rStyle w:val="46"/>
          <w:rFonts w:hint="eastAsia" w:ascii="宋体" w:hAnsi="宋体" w:eastAsia="宋体" w:cs="宋体"/>
          <w:b/>
          <w:bCs/>
          <w:color w:val="auto"/>
          <w:sz w:val="21"/>
          <w:szCs w:val="21"/>
          <w:highlight w:val="none"/>
        </w:rPr>
      </w:pPr>
      <w:bookmarkStart w:id="23" w:name="_Toc27642"/>
      <w:r>
        <w:rPr>
          <w:rStyle w:val="46"/>
          <w:rFonts w:hint="eastAsia" w:ascii="宋体" w:hAnsi="宋体" w:eastAsia="宋体" w:cs="宋体"/>
          <w:b/>
          <w:bCs/>
          <w:color w:val="auto"/>
          <w:sz w:val="21"/>
          <w:szCs w:val="21"/>
          <w:highlight w:val="none"/>
          <w:lang w:val="en-US" w:eastAsia="zh-CN"/>
        </w:rPr>
        <w:t>4.</w:t>
      </w:r>
      <w:r>
        <w:rPr>
          <w:rStyle w:val="46"/>
          <w:rFonts w:hint="eastAsia" w:ascii="宋体" w:hAnsi="宋体" w:eastAsia="宋体" w:cs="宋体"/>
          <w:b/>
          <w:bCs/>
          <w:color w:val="auto"/>
          <w:sz w:val="21"/>
          <w:szCs w:val="21"/>
          <w:highlight w:val="none"/>
        </w:rPr>
        <w:t>响应</w:t>
      </w:r>
      <w:bookmarkEnd w:id="23"/>
    </w:p>
    <w:p>
      <w:pPr>
        <w:keepNext/>
        <w:keepLines/>
        <w:pageBreakBefore w:val="0"/>
        <w:widowControl w:val="0"/>
        <w:kinsoku/>
        <w:wordWrap/>
        <w:overflowPunct/>
        <w:topLinePunct w:val="0"/>
        <w:bidi w:val="0"/>
        <w:snapToGrid/>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 响应文件的密封和标记</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4.1.1</w:t>
      </w:r>
      <w:r>
        <w:rPr>
          <w:rFonts w:hint="eastAsia" w:ascii="宋体" w:hAnsi="宋体" w:eastAsia="宋体" w:cs="宋体"/>
          <w:color w:val="auto"/>
          <w:kern w:val="0"/>
          <w:sz w:val="21"/>
          <w:szCs w:val="21"/>
          <w:highlight w:val="none"/>
        </w:rPr>
        <w:t>本项目为不见面开标，加密电子</w:t>
      </w:r>
      <w:r>
        <w:rPr>
          <w:rFonts w:hint="eastAsia" w:ascii="宋体" w:hAnsi="宋体" w:eastAsia="宋体" w:cs="宋体"/>
          <w:color w:val="auto"/>
          <w:kern w:val="0"/>
          <w:sz w:val="21"/>
          <w:szCs w:val="21"/>
          <w:highlight w:val="none"/>
          <w:lang w:val="en-US" w:eastAsia="zh-CN"/>
        </w:rPr>
        <w:t>响应性</w:t>
      </w:r>
      <w:r>
        <w:rPr>
          <w:rFonts w:hint="eastAsia" w:ascii="宋体" w:hAnsi="宋体" w:eastAsia="宋体" w:cs="宋体"/>
          <w:color w:val="auto"/>
          <w:kern w:val="0"/>
          <w:sz w:val="21"/>
          <w:szCs w:val="21"/>
          <w:highlight w:val="none"/>
        </w:rPr>
        <w:t>文件须在</w:t>
      </w:r>
      <w:r>
        <w:rPr>
          <w:rFonts w:hint="eastAsia" w:ascii="宋体" w:hAnsi="宋体" w:eastAsia="宋体" w:cs="宋体"/>
          <w:color w:val="auto"/>
          <w:kern w:val="0"/>
          <w:sz w:val="21"/>
          <w:szCs w:val="21"/>
          <w:highlight w:val="none"/>
          <w:lang w:val="en-US" w:eastAsia="zh-CN"/>
        </w:rPr>
        <w:t>响应性文件提交</w:t>
      </w:r>
      <w:r>
        <w:rPr>
          <w:rFonts w:hint="eastAsia" w:ascii="宋体" w:hAnsi="宋体" w:eastAsia="宋体" w:cs="宋体"/>
          <w:color w:val="auto"/>
          <w:kern w:val="0"/>
          <w:sz w:val="21"/>
          <w:szCs w:val="21"/>
          <w:highlight w:val="none"/>
        </w:rPr>
        <w:t>截止时间前通过“焦作市公共资源交易中心（http://www.jzggzy.cn/）”网站</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交易平台加密上传。除电子</w:t>
      </w:r>
      <w:r>
        <w:rPr>
          <w:rFonts w:hint="eastAsia" w:ascii="宋体" w:hAnsi="宋体" w:eastAsia="宋体" w:cs="宋体"/>
          <w:color w:val="auto"/>
          <w:kern w:val="0"/>
          <w:sz w:val="21"/>
          <w:szCs w:val="21"/>
          <w:highlight w:val="none"/>
          <w:lang w:val="en-US" w:eastAsia="zh-CN"/>
        </w:rPr>
        <w:t>响应性</w:t>
      </w:r>
      <w:r>
        <w:rPr>
          <w:rFonts w:hint="eastAsia" w:ascii="宋体" w:hAnsi="宋体" w:eastAsia="宋体" w:cs="宋体"/>
          <w:color w:val="auto"/>
          <w:kern w:val="0"/>
          <w:sz w:val="21"/>
          <w:szCs w:val="21"/>
          <w:highlight w:val="none"/>
        </w:rPr>
        <w:t>文件外，</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时不再接受任何纸质文件、资料等。</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4.1.2</w:t>
      </w:r>
      <w:r>
        <w:rPr>
          <w:rFonts w:hint="eastAsia" w:ascii="宋体" w:hAnsi="宋体" w:eastAsia="宋体" w:cs="宋体"/>
          <w:color w:val="auto"/>
          <w:sz w:val="21"/>
          <w:szCs w:val="21"/>
          <w:highlight w:val="none"/>
        </w:rPr>
        <w:t>自备非加密的电子</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文件一份，如有紧急情况，在不见面开标按要求上传。</w:t>
      </w:r>
    </w:p>
    <w:p>
      <w:pPr>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4.2 响应文件的递交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所有</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文件必须在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文件中规定的投标截止时间之前请提前上传</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文件；并在开标截止时间前登录不见面开标大厅进行签到，按要求解密</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文件，不能按时上传、签到、解密者视为自动放弃投标。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采购人拒绝接收在</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文件递交截止时间后上传的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pPr>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4.3 响应文件的修改与撤回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4.3.1 </w:t>
      </w:r>
      <w:r>
        <w:rPr>
          <w:rFonts w:hint="eastAsia" w:ascii="宋体" w:hAnsi="宋体" w:eastAsia="宋体" w:cs="宋体"/>
          <w:color w:val="auto"/>
          <w:sz w:val="21"/>
          <w:szCs w:val="21"/>
          <w:highlight w:val="none"/>
          <w:lang w:val="en-US" w:eastAsia="zh-CN"/>
        </w:rPr>
        <w:t>供应商在提交响应性文件后可对其响应性文件进行修改、撤回，但需要在响应性文件接收截止时间前重新上传响应性文件。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供应商在响应性文件接收截止时间后不得修改、撤回响应性文件。供应商在响应性文件接收截止时间后修改响应性文件的，将被拒绝接受。</w:t>
      </w:r>
    </w:p>
    <w:p>
      <w:pPr>
        <w:pStyle w:val="10"/>
        <w:pageBreakBefore w:val="0"/>
        <w:widowControl w:val="0"/>
        <w:numPr>
          <w:ilvl w:val="0"/>
          <w:numId w:val="0"/>
        </w:numPr>
        <w:kinsoku/>
        <w:wordWrap/>
        <w:overflowPunct/>
        <w:topLinePunct w:val="0"/>
        <w:bidi w:val="0"/>
        <w:spacing w:before="0" w:after="0" w:line="400" w:lineRule="exact"/>
        <w:jc w:val="left"/>
        <w:textAlignment w:val="auto"/>
        <w:rPr>
          <w:rStyle w:val="46"/>
          <w:rFonts w:hint="eastAsia" w:ascii="宋体" w:hAnsi="宋体" w:eastAsia="宋体" w:cs="宋体"/>
          <w:b/>
          <w:bCs/>
          <w:color w:val="auto"/>
          <w:sz w:val="21"/>
          <w:szCs w:val="21"/>
          <w:highlight w:val="none"/>
        </w:rPr>
      </w:pPr>
      <w:bookmarkStart w:id="24" w:name="_Toc17151"/>
      <w:r>
        <w:rPr>
          <w:rStyle w:val="46"/>
          <w:rFonts w:hint="eastAsia" w:ascii="宋体" w:hAnsi="宋体" w:eastAsia="宋体" w:cs="宋体"/>
          <w:b/>
          <w:bCs/>
          <w:color w:val="auto"/>
          <w:sz w:val="21"/>
          <w:szCs w:val="21"/>
          <w:highlight w:val="none"/>
          <w:lang w:val="en-US" w:eastAsia="zh-CN"/>
        </w:rPr>
        <w:t>5.</w:t>
      </w:r>
      <w:r>
        <w:rPr>
          <w:rStyle w:val="46"/>
          <w:rFonts w:hint="eastAsia" w:ascii="宋体" w:hAnsi="宋体" w:eastAsia="宋体" w:cs="宋体"/>
          <w:b/>
          <w:bCs/>
          <w:color w:val="auto"/>
          <w:sz w:val="21"/>
          <w:szCs w:val="21"/>
          <w:highlight w:val="none"/>
        </w:rPr>
        <w:t>磋商开始</w:t>
      </w:r>
      <w:bookmarkEnd w:id="24"/>
    </w:p>
    <w:p>
      <w:pPr>
        <w:pageBreakBefore w:val="0"/>
        <w:widowControl w:val="0"/>
        <w:kinsoku/>
        <w:wordWrap/>
        <w:overflowPunct/>
        <w:topLinePunct w:val="0"/>
        <w:autoSpaceDE w:val="0"/>
        <w:autoSpaceDN w:val="0"/>
        <w:bidi w:val="0"/>
        <w:adjustRightInd w:val="0"/>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5.1 磋商时间、地点和方式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本项目采用远程不见面交易的模式。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文件中规定的时间和地点开标。</w:t>
      </w:r>
      <w:r>
        <w:rPr>
          <w:rFonts w:hint="eastAsia" w:ascii="宋体" w:hAnsi="宋体" w:eastAsia="宋体" w:cs="宋体"/>
          <w:color w:val="auto"/>
          <w:sz w:val="21"/>
          <w:szCs w:val="21"/>
          <w:highlight w:val="none"/>
          <w:lang w:val="en-US" w:eastAsia="zh-CN"/>
        </w:rPr>
        <w:t>不见面开标大厅网址 （http://www.jzggzy.cn/BidOpeningHall/bidhall/default/login）供应商无需到焦作市公共资源交易中心现场参加磋商会，无需到达现场提交原件资料。供应商应在响应性文件接收截止时间前，登录不见面开标大厅系统，在线准时参加磋商活动并进行文件解密，开标结束后，在焦作市公共资源交易平台进行交易主体登录，在线参加答疑澄清、二轮报价或最后报价等。在规定时间内响应性文件未解密的供应商，视为放弃投标。</w:t>
      </w:r>
    </w:p>
    <w:p>
      <w:pPr>
        <w:pageBreakBefore w:val="0"/>
        <w:widowControl w:val="0"/>
        <w:kinsoku/>
        <w:wordWrap/>
        <w:overflowPunct/>
        <w:topLinePunct w:val="0"/>
        <w:autoSpaceDE w:val="0"/>
        <w:autoSpaceDN w:val="0"/>
        <w:bidi w:val="0"/>
        <w:adjustRightInd w:val="0"/>
        <w:spacing w:line="400" w:lineRule="exact"/>
        <w:ind w:firstLine="0" w:firstLineChars="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w:t>
      </w:r>
      <w:r>
        <w:rPr>
          <w:rFonts w:hint="eastAsia" w:ascii="宋体" w:hAnsi="宋体" w:eastAsia="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rPr>
        <w:t>磋商会议程序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（1）公布在递交响应性文件截止时间前递交响应性文件的供应商名称；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（2）供应商在不见面开标大厅对已递交的电子响应性文件在规定时间内进行解密；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（3）批量导入文件；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（4）代理机构将通过不见面开标大厅公布磋商项目名称、供应商名称及其他内容，并记录在案；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（5）供应商对开标过程进行无异议确认；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（6）采购人代表、监督人等有关人员按具体现场系统情况在开标记录上签字确认；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（7）开标结束；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（8）磋商小组对已通过资格性、符合性审查的供应商发起二轮或最后报价邀请；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（9）供应商在规定时间内通过焦作市公共资源交易平台进行二轮或最后报价。</w:t>
      </w:r>
    </w:p>
    <w:p>
      <w:pPr>
        <w:keepNext w:val="0"/>
        <w:keepLines w:val="0"/>
        <w:pageBreakBefore w:val="0"/>
        <w:widowControl w:val="0"/>
        <w:kinsoku/>
        <w:wordWrap/>
        <w:overflowPunct/>
        <w:topLinePunct w:val="0"/>
        <w:bidi w:val="0"/>
        <w:snapToGrid/>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lang w:val="en-US" w:eastAsia="zh-CN"/>
        </w:rPr>
        <w:t>5.3</w:t>
      </w:r>
      <w:r>
        <w:rPr>
          <w:rFonts w:hint="eastAsia" w:ascii="宋体" w:hAnsi="宋体" w:eastAsia="宋体" w:cs="宋体"/>
          <w:color w:val="auto"/>
          <w:sz w:val="21"/>
          <w:szCs w:val="21"/>
          <w:highlight w:val="none"/>
          <w:lang w:val="en-US" w:eastAsia="zh-CN"/>
        </w:rPr>
        <w:t xml:space="preserve">供应商应认真学习《投标单位操作手册》，根据手册要求做好不见面磋商的准备工作，否则由此引起的未能解密、解密失败或解密超时的将被拒绝。 </w:t>
      </w:r>
    </w:p>
    <w:p>
      <w:pPr>
        <w:keepNext w:val="0"/>
        <w:keepLines w:val="0"/>
        <w:pageBreakBefore w:val="0"/>
        <w:widowControl w:val="0"/>
        <w:kinsoku/>
        <w:wordWrap/>
        <w:overflowPunct/>
        <w:topLinePunct w:val="0"/>
        <w:bidi w:val="0"/>
        <w:snapToGrid/>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lang w:val="en-US" w:eastAsia="zh-CN"/>
        </w:rPr>
        <w:t>5.4</w:t>
      </w:r>
      <w:r>
        <w:rPr>
          <w:rFonts w:hint="eastAsia" w:ascii="宋体" w:hAnsi="宋体" w:eastAsia="宋体" w:cs="宋体"/>
          <w:color w:val="auto"/>
          <w:sz w:val="21"/>
          <w:szCs w:val="21"/>
          <w:highlight w:val="none"/>
          <w:lang w:val="en-US" w:eastAsia="zh-CN"/>
        </w:rPr>
        <w:t xml:space="preserve">供应商应在解密时间内插入单位CA锁，输入密码，进行解密。 </w:t>
      </w:r>
    </w:p>
    <w:p>
      <w:pPr>
        <w:keepNext w:val="0"/>
        <w:keepLines w:val="0"/>
        <w:pageBreakBefore w:val="0"/>
        <w:widowControl w:val="0"/>
        <w:kinsoku/>
        <w:wordWrap/>
        <w:overflowPunct/>
        <w:topLinePunct w:val="0"/>
        <w:bidi w:val="0"/>
        <w:snapToGrid/>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lang w:val="en-US" w:eastAsia="zh-CN"/>
        </w:rPr>
        <w:t>5.5</w:t>
      </w:r>
      <w:r>
        <w:rPr>
          <w:rFonts w:hint="eastAsia" w:ascii="宋体" w:hAnsi="宋体" w:eastAsia="宋体" w:cs="宋体"/>
          <w:color w:val="auto"/>
          <w:sz w:val="21"/>
          <w:szCs w:val="21"/>
          <w:highlight w:val="none"/>
          <w:lang w:val="en-US" w:eastAsia="zh-CN"/>
        </w:rPr>
        <w:t>采购人及采购代理机构在磋商文件规定的时间及地点开标。供应商无需到达磋商会现场，但在开评标期间，供应商的法定代表人或其授权委托人应参与远程交互，中途不得更换，在解密文件、澄清、答疑、传送文件、最后报价等特殊情况下需要交互时，供应商一端参与交互的人员将均被视为是供应商的法定代表人或其授权委托人，供应商自行承担随意更换人员或未按要求参与交互所导致的一切后果。供应商超时交互，由此产生的不利于供应商的评审风险由供应商自行承担。</w:t>
      </w:r>
    </w:p>
    <w:p>
      <w:pPr>
        <w:keepNext w:val="0"/>
        <w:keepLines w:val="0"/>
        <w:pageBreakBefore w:val="0"/>
        <w:widowControl w:val="0"/>
        <w:kinsoku/>
        <w:wordWrap/>
        <w:overflowPunct/>
        <w:topLinePunct w:val="0"/>
        <w:bidi w:val="0"/>
        <w:snapToGrid/>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lang w:val="en-US" w:eastAsia="zh-CN"/>
        </w:rPr>
        <w:t>5.6</w:t>
      </w:r>
      <w:r>
        <w:rPr>
          <w:rFonts w:hint="eastAsia" w:ascii="宋体" w:hAnsi="宋体" w:eastAsia="宋体" w:cs="宋体"/>
          <w:color w:val="auto"/>
          <w:sz w:val="21"/>
          <w:szCs w:val="21"/>
          <w:highlight w:val="none"/>
          <w:lang w:val="en-US" w:eastAsia="zh-CN"/>
        </w:rPr>
        <w:t>供应商出现下列情况之一者为废标，取消参加磋商资格：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（1）未按规定在响应性文件接收截止时间前递交电子响应性文件（加密版）的；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（2）磋商会时，因供应商自身原因而导致电子响应性文件无法导入“全国公共资源交易平台 （河南省·焦作市）”（http://www.jzggzy.cn/）－“焦作市电子招投标交易平台”电子开标、评标系统的。</w:t>
      </w:r>
    </w:p>
    <w:p>
      <w:pPr>
        <w:keepNext w:val="0"/>
        <w:keepLines w:val="0"/>
        <w:pageBreakBefore w:val="0"/>
        <w:widowControl w:val="0"/>
        <w:kinsoku/>
        <w:wordWrap/>
        <w:overflowPunct/>
        <w:topLinePunct w:val="0"/>
        <w:bidi w:val="0"/>
        <w:snapToGrid/>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lang w:val="en-US" w:eastAsia="zh-CN"/>
        </w:rPr>
        <w:t>5.7</w:t>
      </w:r>
      <w:r>
        <w:rPr>
          <w:rFonts w:hint="eastAsia" w:ascii="宋体" w:hAnsi="宋体" w:eastAsia="宋体" w:cs="宋体"/>
          <w:color w:val="auto"/>
          <w:sz w:val="21"/>
          <w:szCs w:val="21"/>
          <w:highlight w:val="none"/>
          <w:lang w:val="en-US" w:eastAsia="zh-CN"/>
        </w:rPr>
        <w:t>开标异议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供应商对磋商会有异议的，应当在磋商会现场提出，采购人当场作出答复，并制作记录。</w:t>
      </w:r>
    </w:p>
    <w:p>
      <w:pPr>
        <w:keepNext w:val="0"/>
        <w:keepLines w:val="0"/>
        <w:pageBreakBefore w:val="0"/>
        <w:widowControl w:val="0"/>
        <w:kinsoku/>
        <w:wordWrap/>
        <w:overflowPunct/>
        <w:topLinePunct w:val="0"/>
        <w:bidi w:val="0"/>
        <w:snapToGrid/>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lang w:val="en-US" w:eastAsia="zh-CN"/>
        </w:rPr>
        <w:t>5.8</w:t>
      </w:r>
      <w:r>
        <w:rPr>
          <w:rFonts w:hint="eastAsia" w:ascii="宋体" w:hAnsi="宋体" w:eastAsia="宋体" w:cs="宋体"/>
          <w:color w:val="auto"/>
          <w:sz w:val="21"/>
          <w:szCs w:val="21"/>
          <w:highlight w:val="none"/>
          <w:lang w:val="en-US" w:eastAsia="zh-CN"/>
        </w:rPr>
        <w:t>本项目第二次报价即为最终磋商报价。</w:t>
      </w:r>
    </w:p>
    <w:p>
      <w:pPr>
        <w:pStyle w:val="10"/>
        <w:pageBreakBefore w:val="0"/>
        <w:widowControl w:val="0"/>
        <w:numPr>
          <w:ilvl w:val="0"/>
          <w:numId w:val="0"/>
        </w:numPr>
        <w:kinsoku/>
        <w:wordWrap/>
        <w:overflowPunct/>
        <w:topLinePunct w:val="0"/>
        <w:bidi w:val="0"/>
        <w:spacing w:before="0" w:after="0" w:line="400" w:lineRule="exact"/>
        <w:jc w:val="left"/>
        <w:textAlignment w:val="auto"/>
        <w:rPr>
          <w:rStyle w:val="46"/>
          <w:rFonts w:hint="eastAsia" w:ascii="宋体" w:hAnsi="宋体" w:eastAsia="宋体" w:cs="宋体"/>
          <w:b/>
          <w:bCs/>
          <w:color w:val="auto"/>
          <w:sz w:val="21"/>
          <w:szCs w:val="21"/>
          <w:highlight w:val="none"/>
        </w:rPr>
      </w:pPr>
      <w:bookmarkStart w:id="25" w:name="_Toc30957"/>
      <w:r>
        <w:rPr>
          <w:rStyle w:val="46"/>
          <w:rFonts w:hint="eastAsia" w:ascii="宋体" w:hAnsi="宋体" w:eastAsia="宋体" w:cs="宋体"/>
          <w:b/>
          <w:bCs/>
          <w:color w:val="auto"/>
          <w:sz w:val="21"/>
          <w:szCs w:val="21"/>
          <w:highlight w:val="none"/>
          <w:lang w:val="en-US" w:eastAsia="zh-CN"/>
        </w:rPr>
        <w:t>6.</w:t>
      </w:r>
      <w:r>
        <w:rPr>
          <w:rStyle w:val="46"/>
          <w:rFonts w:hint="eastAsia" w:ascii="宋体" w:hAnsi="宋体" w:eastAsia="宋体" w:cs="宋体"/>
          <w:b/>
          <w:bCs/>
          <w:color w:val="auto"/>
          <w:sz w:val="21"/>
          <w:szCs w:val="21"/>
          <w:highlight w:val="none"/>
        </w:rPr>
        <w:t>磋商</w:t>
      </w:r>
      <w:bookmarkEnd w:id="25"/>
    </w:p>
    <w:p>
      <w:pPr>
        <w:pageBreakBefore w:val="0"/>
        <w:widowControl w:val="0"/>
        <w:kinsoku/>
        <w:wordWrap/>
        <w:overflowPunct/>
        <w:topLinePunct w:val="0"/>
        <w:autoSpaceDE w:val="0"/>
        <w:autoSpaceDN w:val="0"/>
        <w:bidi w:val="0"/>
        <w:adjustRightInd w:val="0"/>
        <w:spacing w:line="400" w:lineRule="exact"/>
        <w:ind w:firstLine="0" w:firstLineChars="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6.1 磋商小组</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磋商由采购人依法组建的磋商小组负责。磋商小组由采购人代表以及有关技术、经济等方面的专家组成。磋商小组成员人数以及技术、经济等方面专家的确定方式见供应商须知前附表。</w:t>
      </w:r>
    </w:p>
    <w:p>
      <w:pPr>
        <w:pageBreakBefore w:val="0"/>
        <w:widowControl w:val="0"/>
        <w:kinsoku/>
        <w:wordWrap/>
        <w:overflowPunct/>
        <w:topLinePunct w:val="0"/>
        <w:autoSpaceDE w:val="0"/>
        <w:autoSpaceDN w:val="0"/>
        <w:bidi w:val="0"/>
        <w:adjustRightInd w:val="0"/>
        <w:spacing w:line="400" w:lineRule="exact"/>
        <w:ind w:firstLine="0" w:firstLineChars="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6.2 磋商原则</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磋商活动遵循公平、公正、科学和择优的原则。</w:t>
      </w:r>
    </w:p>
    <w:p>
      <w:pPr>
        <w:pageBreakBefore w:val="0"/>
        <w:widowControl w:val="0"/>
        <w:kinsoku/>
        <w:wordWrap/>
        <w:overflowPunct/>
        <w:topLinePunct w:val="0"/>
        <w:autoSpaceDE w:val="0"/>
        <w:autoSpaceDN w:val="0"/>
        <w:bidi w:val="0"/>
        <w:adjustRightInd w:val="0"/>
        <w:spacing w:line="400" w:lineRule="exact"/>
        <w:ind w:firstLine="0" w:firstLineChars="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6.3 磋商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磋商小组按照第三章“评标办法”规定的方法、评审因素、标准和程序对响应文件进行评审。第三章“评标办法”没有规定的方法、评审因素和标准，不作为评标依据。</w:t>
      </w:r>
    </w:p>
    <w:p>
      <w:pPr>
        <w:pStyle w:val="8"/>
        <w:pageBreakBefore w:val="0"/>
        <w:widowControl w:val="0"/>
        <w:kinsoku/>
        <w:wordWrap/>
        <w:overflowPunct/>
        <w:topLinePunct w:val="0"/>
        <w:bidi w:val="0"/>
        <w:spacing w:before="0" w:after="0" w:line="400" w:lineRule="exact"/>
        <w:ind w:left="0" w:firstLine="0" w:firstLineChars="0"/>
        <w:jc w:val="left"/>
        <w:textAlignment w:val="auto"/>
        <w:rPr>
          <w:rStyle w:val="46"/>
          <w:rFonts w:hint="eastAsia" w:ascii="宋体" w:hAnsi="宋体" w:eastAsia="宋体" w:cs="宋体"/>
          <w:b/>
          <w:bCs/>
          <w:color w:val="auto"/>
          <w:sz w:val="21"/>
          <w:szCs w:val="21"/>
          <w:highlight w:val="none"/>
        </w:rPr>
      </w:pPr>
      <w:bookmarkStart w:id="26" w:name="_Toc29089"/>
      <w:bookmarkStart w:id="27" w:name="_Toc23260"/>
      <w:bookmarkStart w:id="28" w:name="_Toc5803"/>
      <w:bookmarkStart w:id="29" w:name="_Toc421284747"/>
      <w:r>
        <w:rPr>
          <w:rStyle w:val="46"/>
          <w:rFonts w:hint="eastAsia" w:ascii="宋体" w:hAnsi="宋体" w:eastAsia="宋体" w:cs="宋体"/>
          <w:b/>
          <w:bCs/>
          <w:color w:val="auto"/>
          <w:sz w:val="21"/>
          <w:szCs w:val="21"/>
          <w:highlight w:val="none"/>
        </w:rPr>
        <w:t>7.合同授予</w:t>
      </w:r>
      <w:bookmarkEnd w:id="26"/>
      <w:bookmarkEnd w:id="27"/>
      <w:bookmarkEnd w:id="28"/>
      <w:bookmarkEnd w:id="29"/>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7.1定标方式</w:t>
      </w:r>
    </w:p>
    <w:p>
      <w:pPr>
        <w:keepNext w:val="0"/>
        <w:keepLines w:val="0"/>
        <w:pageBreakBefore w:val="0"/>
        <w:widowControl w:val="0"/>
        <w:kinsoku/>
        <w:wordWrap/>
        <w:overflowPunct/>
        <w:topLinePunct w:val="0"/>
        <w:autoSpaceDE w:val="0"/>
        <w:autoSpaceDN w:val="0"/>
        <w:bidi w:val="0"/>
        <w:adjustRightInd w:val="0"/>
        <w:snapToGrid/>
        <w:spacing w:line="400" w:lineRule="exact"/>
        <w:ind w:left="17" w:leftChars="8"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供应商须知前附表规定磋商小组直接确定成交人外，采购人依据磋商小组推荐的成交候选人确定成交人，磋商小组推荐成交候选人的人数见供应商须知前附表。采购人将依序确定排名靠前的供应商为成交单位，若排名在前的成交候选人放弃中标</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7.2 成交通知</w:t>
      </w:r>
    </w:p>
    <w:p>
      <w:pPr>
        <w:keepNext w:val="0"/>
        <w:keepLines w:val="0"/>
        <w:pageBreakBefore w:val="0"/>
        <w:widowControl w:val="0"/>
        <w:kinsoku/>
        <w:wordWrap/>
        <w:overflowPunct/>
        <w:topLinePunct w:val="0"/>
        <w:autoSpaceDE w:val="0"/>
        <w:autoSpaceDN w:val="0"/>
        <w:bidi w:val="0"/>
        <w:adjustRightInd w:val="0"/>
        <w:snapToGrid/>
        <w:spacing w:line="400" w:lineRule="exact"/>
        <w:ind w:left="17" w:leftChars="8"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w:t>
      </w:r>
      <w:r>
        <w:rPr>
          <w:rFonts w:hint="eastAsia" w:ascii="宋体" w:hAnsi="宋体" w:eastAsia="宋体" w:cs="宋体"/>
          <w:color w:val="auto"/>
          <w:sz w:val="21"/>
          <w:szCs w:val="21"/>
          <w:highlight w:val="none"/>
          <w:lang w:eastAsia="zh-CN"/>
        </w:rPr>
        <w:t>的规定</w:t>
      </w:r>
      <w:r>
        <w:rPr>
          <w:rFonts w:hint="eastAsia" w:ascii="宋体" w:hAnsi="宋体" w:eastAsia="宋体" w:cs="宋体"/>
          <w:color w:val="auto"/>
          <w:sz w:val="21"/>
          <w:szCs w:val="21"/>
          <w:highlight w:val="none"/>
        </w:rPr>
        <w:t>的磋商有效期内，采购人以书面形式向成交人发出成交通知书，同时将成交结果通知未成交的供应商。</w:t>
      </w:r>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签订合同</w:t>
      </w:r>
    </w:p>
    <w:p>
      <w:pPr>
        <w:keepNext w:val="0"/>
        <w:keepLines w:val="0"/>
        <w:pageBreakBefore w:val="0"/>
        <w:widowControl w:val="0"/>
        <w:kinsoku/>
        <w:wordWrap/>
        <w:overflowPunct/>
        <w:topLinePunct w:val="0"/>
        <w:autoSpaceDE w:val="0"/>
        <w:autoSpaceDN w:val="0"/>
        <w:bidi w:val="0"/>
        <w:adjustRightInd w:val="0"/>
        <w:snapToGrid/>
        <w:spacing w:line="400" w:lineRule="exact"/>
        <w:ind w:left="17" w:leftChars="8"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7.3.1采购人和成交人应当自成交通知书发出之日起</w:t>
      </w:r>
      <w:r>
        <w:rPr>
          <w:rFonts w:hint="eastAsia" w:ascii="宋体" w:hAnsi="宋体" w:eastAsia="宋体" w:cs="宋体"/>
          <w:color w:val="auto"/>
          <w:sz w:val="21"/>
          <w:szCs w:val="21"/>
          <w:highlight w:val="none"/>
          <w:lang w:val="en-US" w:eastAsia="zh-CN"/>
        </w:rPr>
        <w:t>1个工作日</w:t>
      </w:r>
      <w:r>
        <w:rPr>
          <w:rFonts w:hint="eastAsia" w:ascii="宋体" w:hAnsi="宋体" w:eastAsia="宋体" w:cs="宋体"/>
          <w:color w:val="auto"/>
          <w:sz w:val="21"/>
          <w:szCs w:val="21"/>
          <w:highlight w:val="none"/>
        </w:rPr>
        <w:t xml:space="preserve">内，根据磋商文件和成交人的响应文件订立书面合同。成交人无正当理由拒签合同的，采购人取消其成交资格，其磋商保证金不予退还；给采购人造成的损失超过磋商保证金数额的，成交人还应当对超过部分予以赔偿。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7.3.2 发出成交通知书后，采购人无正当理由拒签合同的，采购人向成交人退还磋商保证金；给成交人造成损失的，还应当赔偿损失。</w:t>
      </w:r>
    </w:p>
    <w:p>
      <w:pPr>
        <w:pStyle w:val="10"/>
        <w:pageBreakBefore w:val="0"/>
        <w:widowControl w:val="0"/>
        <w:kinsoku/>
        <w:wordWrap/>
        <w:overflowPunct/>
        <w:topLinePunct w:val="0"/>
        <w:bidi w:val="0"/>
        <w:spacing w:before="0" w:after="0" w:line="400" w:lineRule="exact"/>
        <w:ind w:left="0" w:leftChars="0" w:firstLine="0" w:firstLineChars="0"/>
        <w:jc w:val="left"/>
        <w:textAlignment w:val="auto"/>
        <w:rPr>
          <w:rStyle w:val="46"/>
          <w:rFonts w:hint="eastAsia" w:ascii="宋体" w:hAnsi="宋体" w:eastAsia="宋体" w:cs="宋体"/>
          <w:b/>
          <w:bCs/>
          <w:color w:val="auto"/>
          <w:sz w:val="21"/>
          <w:szCs w:val="21"/>
          <w:highlight w:val="none"/>
        </w:rPr>
      </w:pPr>
      <w:bookmarkStart w:id="30" w:name="_Toc17195"/>
      <w:bookmarkStart w:id="31" w:name="_Toc421284748"/>
      <w:bookmarkStart w:id="32" w:name="_Toc28607"/>
      <w:bookmarkStart w:id="33" w:name="_Toc5569"/>
      <w:r>
        <w:rPr>
          <w:rStyle w:val="46"/>
          <w:rFonts w:hint="eastAsia" w:ascii="宋体" w:hAnsi="宋体" w:eastAsia="宋体" w:cs="宋体"/>
          <w:b/>
          <w:bCs/>
          <w:color w:val="auto"/>
          <w:sz w:val="21"/>
          <w:szCs w:val="21"/>
          <w:highlight w:val="none"/>
        </w:rPr>
        <w:t>8.</w:t>
      </w:r>
      <w:bookmarkEnd w:id="30"/>
      <w:bookmarkEnd w:id="31"/>
      <w:bookmarkEnd w:id="32"/>
      <w:r>
        <w:rPr>
          <w:rStyle w:val="46"/>
          <w:rFonts w:hint="eastAsia" w:ascii="宋体" w:hAnsi="宋体" w:eastAsia="宋体" w:cs="宋体"/>
          <w:b/>
          <w:bCs/>
          <w:color w:val="auto"/>
          <w:sz w:val="21"/>
          <w:szCs w:val="21"/>
          <w:highlight w:val="none"/>
        </w:rPr>
        <w:t>重新招标</w:t>
      </w:r>
      <w:bookmarkEnd w:id="33"/>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Fonts w:hint="eastAsia" w:ascii="宋体" w:hAnsi="宋体" w:eastAsia="宋体" w:cs="宋体"/>
          <w:b/>
          <w:bCs/>
          <w:color w:val="auto"/>
          <w:sz w:val="21"/>
          <w:szCs w:val="21"/>
          <w:highlight w:val="none"/>
        </w:rPr>
      </w:pPr>
      <w:bookmarkStart w:id="34" w:name="_Toc16556"/>
      <w:r>
        <w:rPr>
          <w:rFonts w:hint="eastAsia" w:ascii="宋体" w:hAnsi="宋体" w:eastAsia="宋体" w:cs="宋体"/>
          <w:b/>
          <w:bCs/>
          <w:color w:val="auto"/>
          <w:sz w:val="21"/>
          <w:szCs w:val="21"/>
          <w:highlight w:val="none"/>
        </w:rPr>
        <w:t>8.1 重新招标</w:t>
      </w:r>
      <w:bookmarkEnd w:id="34"/>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Fonts w:hint="eastAsia" w:ascii="宋体" w:hAnsi="宋体" w:eastAsia="宋体" w:cs="宋体"/>
          <w:color w:val="auto"/>
          <w:sz w:val="21"/>
          <w:szCs w:val="21"/>
          <w:highlight w:val="none"/>
        </w:rPr>
      </w:pPr>
      <w:bookmarkStart w:id="35" w:name="_Toc9985"/>
      <w:r>
        <w:rPr>
          <w:rFonts w:hint="eastAsia" w:ascii="宋体" w:hAnsi="宋体" w:eastAsia="宋体" w:cs="宋体"/>
          <w:color w:val="auto"/>
          <w:sz w:val="21"/>
          <w:szCs w:val="21"/>
          <w:highlight w:val="none"/>
        </w:rPr>
        <w:t>有下列情形之一的，采购人将重新招标：</w:t>
      </w:r>
      <w:bookmarkEnd w:id="35"/>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Fonts w:hint="eastAsia" w:ascii="宋体" w:hAnsi="宋体" w:eastAsia="宋体" w:cs="宋体"/>
          <w:color w:val="auto"/>
          <w:sz w:val="21"/>
          <w:szCs w:val="21"/>
          <w:highlight w:val="none"/>
        </w:rPr>
      </w:pPr>
      <w:bookmarkStart w:id="36" w:name="_Toc25063"/>
      <w:r>
        <w:rPr>
          <w:rFonts w:hint="eastAsia" w:ascii="宋体" w:hAnsi="宋体" w:eastAsia="宋体" w:cs="宋体"/>
          <w:color w:val="auto"/>
          <w:sz w:val="21"/>
          <w:szCs w:val="21"/>
          <w:highlight w:val="none"/>
        </w:rPr>
        <w:t xml:space="preserve">   （1）首次提交响应文件截止时间止，供应商少于3个的；</w:t>
      </w:r>
      <w:bookmarkEnd w:id="36"/>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Fonts w:hint="eastAsia" w:ascii="宋体" w:hAnsi="宋体" w:eastAsia="宋体" w:cs="宋体"/>
          <w:color w:val="auto"/>
          <w:sz w:val="21"/>
          <w:szCs w:val="21"/>
          <w:highlight w:val="none"/>
        </w:rPr>
      </w:pPr>
      <w:bookmarkStart w:id="37" w:name="_Toc17911"/>
      <w:r>
        <w:rPr>
          <w:rFonts w:hint="eastAsia" w:ascii="宋体" w:hAnsi="宋体" w:eastAsia="宋体" w:cs="宋体"/>
          <w:color w:val="auto"/>
          <w:sz w:val="21"/>
          <w:szCs w:val="21"/>
          <w:highlight w:val="none"/>
        </w:rPr>
        <w:t xml:space="preserve">   （2）经磋商小组评审后否决所有响应性文件的。</w:t>
      </w:r>
      <w:bookmarkEnd w:id="37"/>
      <w:bookmarkStart w:id="38" w:name="_Toc9624"/>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Style w:val="46"/>
          <w:rFonts w:hint="eastAsia" w:ascii="宋体" w:hAnsi="宋体" w:eastAsia="宋体" w:cs="宋体"/>
          <w:b/>
          <w:bCs/>
          <w:color w:val="auto"/>
          <w:sz w:val="21"/>
          <w:szCs w:val="21"/>
          <w:highlight w:val="none"/>
        </w:rPr>
      </w:pPr>
      <w:r>
        <w:rPr>
          <w:rStyle w:val="46"/>
          <w:rFonts w:hint="eastAsia" w:ascii="宋体" w:hAnsi="宋体" w:eastAsia="宋体" w:cs="宋体"/>
          <w:b/>
          <w:bCs/>
          <w:color w:val="auto"/>
          <w:sz w:val="21"/>
          <w:szCs w:val="21"/>
          <w:highlight w:val="none"/>
        </w:rPr>
        <w:t>9.纪律和监督</w:t>
      </w:r>
      <w:bookmarkEnd w:id="38"/>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9.1 对采购人的纪律要求</w:t>
      </w:r>
    </w:p>
    <w:p>
      <w:pPr>
        <w:keepNext w:val="0"/>
        <w:keepLines w:val="0"/>
        <w:pageBreakBefore w:val="0"/>
        <w:widowControl w:val="0"/>
        <w:kinsoku/>
        <w:wordWrap/>
        <w:overflowPunct/>
        <w:topLinePunct w:val="0"/>
        <w:autoSpaceDE w:val="0"/>
        <w:autoSpaceDN w:val="0"/>
        <w:bidi w:val="0"/>
        <w:adjustRightInd w:val="0"/>
        <w:snapToGrid/>
        <w:spacing w:line="400" w:lineRule="exact"/>
        <w:ind w:left="17" w:leftChars="8"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采购人不得</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磋商活动中应当保密的情况和资料，不得与供应商串通损害国家利益、社会公共利益或者他人合法权益。</w:t>
      </w:r>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9.2 对供应商的纪律要求</w:t>
      </w:r>
    </w:p>
    <w:p>
      <w:pPr>
        <w:keepNext w:val="0"/>
        <w:keepLines w:val="0"/>
        <w:pageBreakBefore w:val="0"/>
        <w:widowControl w:val="0"/>
        <w:kinsoku/>
        <w:wordWrap/>
        <w:overflowPunct/>
        <w:topLinePunct w:val="0"/>
        <w:autoSpaceDE w:val="0"/>
        <w:autoSpaceDN w:val="0"/>
        <w:bidi w:val="0"/>
        <w:adjustRightInd w:val="0"/>
        <w:snapToGrid/>
        <w:spacing w:line="400" w:lineRule="exact"/>
        <w:ind w:left="17" w:leftChars="8"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供应商之间不得相互串通或者与采购人串通，不得向采购人或者</w:t>
      </w:r>
      <w:r>
        <w:rPr>
          <w:rFonts w:hint="eastAsia" w:ascii="宋体" w:hAnsi="宋体" w:cs="宋体"/>
          <w:color w:val="auto"/>
          <w:sz w:val="21"/>
          <w:szCs w:val="21"/>
          <w:highlight w:val="none"/>
          <w:lang w:eastAsia="zh-CN"/>
        </w:rPr>
        <w:t>磋商</w:t>
      </w:r>
      <w:r>
        <w:rPr>
          <w:rFonts w:hint="eastAsia" w:ascii="宋体" w:hAnsi="宋体" w:eastAsia="宋体" w:cs="宋体"/>
          <w:color w:val="auto"/>
          <w:sz w:val="21"/>
          <w:szCs w:val="21"/>
          <w:highlight w:val="none"/>
        </w:rPr>
        <w:t>小组行贿谋取中标，不得以他人名义响应或者以其他方式弄虚作假骗取中标；供应商不得以任何方式干扰、影响评标工作。</w:t>
      </w:r>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9.3 对磋商小组成员的纪律要求</w:t>
      </w:r>
    </w:p>
    <w:p>
      <w:pPr>
        <w:keepNext w:val="0"/>
        <w:keepLines w:val="0"/>
        <w:pageBreakBefore w:val="0"/>
        <w:widowControl w:val="0"/>
        <w:kinsoku/>
        <w:wordWrap/>
        <w:overflowPunct/>
        <w:topLinePunct w:val="0"/>
        <w:autoSpaceDE w:val="0"/>
        <w:autoSpaceDN w:val="0"/>
        <w:bidi w:val="0"/>
        <w:adjustRightInd w:val="0"/>
        <w:snapToGrid/>
        <w:spacing w:line="400" w:lineRule="exact"/>
        <w:ind w:left="17" w:leftChars="8"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磋商小组成员不得收受供应商及他人的财物或者其他好处，不得向供应商及他人</w:t>
      </w:r>
      <w:r>
        <w:rPr>
          <w:rFonts w:hint="eastAsia" w:ascii="宋体" w:hAnsi="宋体" w:eastAsia="宋体" w:cs="宋体"/>
          <w:color w:val="auto"/>
          <w:sz w:val="21"/>
          <w:szCs w:val="21"/>
          <w:highlight w:val="none"/>
          <w:lang w:eastAsia="zh-CN"/>
        </w:rPr>
        <w:t>透露</w:t>
      </w:r>
      <w:r>
        <w:rPr>
          <w:rFonts w:hint="eastAsia" w:ascii="宋体" w:hAnsi="宋体" w:eastAsia="宋体" w:cs="宋体"/>
          <w:color w:val="auto"/>
          <w:sz w:val="21"/>
          <w:szCs w:val="21"/>
          <w:highlight w:val="none"/>
        </w:rPr>
        <w:t>对响应文件的评审和比较、成交候选人的推荐情况以及评标有关的其他情况。在磋商活动中，磋商小组成员不得擅离职守，影响评标程序正常进行，不得使用第三章“评标办法”没有规定的评审因素和标准进行评标。</w:t>
      </w:r>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9.4 对与评标活动有关的工作人员的纪律要求</w:t>
      </w:r>
    </w:p>
    <w:p>
      <w:pPr>
        <w:keepNext w:val="0"/>
        <w:keepLines w:val="0"/>
        <w:pageBreakBefore w:val="0"/>
        <w:widowControl w:val="0"/>
        <w:kinsoku/>
        <w:wordWrap/>
        <w:overflowPunct/>
        <w:topLinePunct w:val="0"/>
        <w:autoSpaceDE w:val="0"/>
        <w:autoSpaceDN w:val="0"/>
        <w:bidi w:val="0"/>
        <w:adjustRightInd w:val="0"/>
        <w:snapToGrid/>
        <w:spacing w:line="400" w:lineRule="exact"/>
        <w:ind w:left="17" w:leftChars="8"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与评标活动有关的工作人员不得收受供应商及他人的财物或者其他好处，不得向供应商及他人</w:t>
      </w:r>
      <w:r>
        <w:rPr>
          <w:rFonts w:hint="eastAsia" w:ascii="宋体" w:hAnsi="宋体" w:eastAsia="宋体" w:cs="宋体"/>
          <w:color w:val="auto"/>
          <w:sz w:val="21"/>
          <w:szCs w:val="21"/>
          <w:highlight w:val="none"/>
          <w:lang w:eastAsia="zh-CN"/>
        </w:rPr>
        <w:t>透露</w:t>
      </w:r>
      <w:r>
        <w:rPr>
          <w:rFonts w:hint="eastAsia" w:ascii="宋体" w:hAnsi="宋体" w:eastAsia="宋体" w:cs="宋体"/>
          <w:color w:val="auto"/>
          <w:sz w:val="21"/>
          <w:szCs w:val="21"/>
          <w:highlight w:val="none"/>
        </w:rPr>
        <w:t>对响应文件的评审和比较、成交候选人的推荐情况以及评标有关的其他情况。在评标活动中，与评标活动有关的工作人员不得擅离职守，影响评标程序正常进行。</w:t>
      </w:r>
    </w:p>
    <w:p>
      <w:pPr>
        <w:pageBreakBefore w:val="0"/>
        <w:widowControl w:val="0"/>
        <w:kinsoku/>
        <w:wordWrap/>
        <w:overflowPunct/>
        <w:topLinePunct w:val="0"/>
        <w:autoSpaceDE w:val="0"/>
        <w:autoSpaceDN w:val="0"/>
        <w:bidi w:val="0"/>
        <w:adjustRightInd w:val="0"/>
        <w:spacing w:line="400" w:lineRule="exact"/>
        <w:ind w:left="17" w:leftChars="8"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9.5 投诉</w:t>
      </w:r>
    </w:p>
    <w:p>
      <w:pPr>
        <w:keepNext w:val="0"/>
        <w:keepLines w:val="0"/>
        <w:pageBreakBefore w:val="0"/>
        <w:widowControl w:val="0"/>
        <w:kinsoku/>
        <w:wordWrap/>
        <w:overflowPunct/>
        <w:topLinePunct w:val="0"/>
        <w:autoSpaceDE w:val="0"/>
        <w:autoSpaceDN w:val="0"/>
        <w:bidi w:val="0"/>
        <w:adjustRightInd w:val="0"/>
        <w:snapToGrid/>
        <w:spacing w:line="400" w:lineRule="exact"/>
        <w:ind w:left="17" w:leftChars="8"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供应商和其他利害关系人认为本次磋商活动违反</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和规章规定的，有权向有关行政监督部门投诉。</w:t>
      </w:r>
      <w:bookmarkStart w:id="39" w:name="_Toc19609"/>
      <w:bookmarkStart w:id="40" w:name="_Toc9750"/>
      <w:bookmarkStart w:id="41" w:name="_Toc421284749"/>
      <w:bookmarkStart w:id="42" w:name="_Toc12542"/>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Style w:val="46"/>
          <w:rFonts w:hint="eastAsia" w:ascii="宋体" w:hAnsi="宋体" w:eastAsia="宋体" w:cs="宋体"/>
          <w:b/>
          <w:color w:val="auto"/>
          <w:sz w:val="21"/>
          <w:szCs w:val="21"/>
          <w:highlight w:val="none"/>
        </w:rPr>
      </w:pPr>
      <w:r>
        <w:rPr>
          <w:rStyle w:val="46"/>
          <w:rFonts w:hint="eastAsia" w:ascii="宋体" w:hAnsi="宋体" w:eastAsia="宋体" w:cs="宋体"/>
          <w:b/>
          <w:color w:val="auto"/>
          <w:sz w:val="21"/>
          <w:szCs w:val="21"/>
          <w:highlight w:val="none"/>
        </w:rPr>
        <w:t>10.需要补充的其他内容</w:t>
      </w:r>
      <w:bookmarkEnd w:id="39"/>
      <w:bookmarkEnd w:id="40"/>
      <w:bookmarkEnd w:id="41"/>
      <w:bookmarkEnd w:id="42"/>
    </w:p>
    <w:p>
      <w:pPr>
        <w:pageBreakBefore w:val="0"/>
        <w:widowControl w:val="0"/>
        <w:kinsoku/>
        <w:wordWrap/>
        <w:overflowPunct/>
        <w:topLinePunct w:val="0"/>
        <w:autoSpaceDE w:val="0"/>
        <w:autoSpaceDN w:val="0"/>
        <w:bidi w:val="0"/>
        <w:adjustRightInd w:val="0"/>
        <w:spacing w:line="40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10.1 费用承担</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（1）无论投标过程中</w:t>
      </w:r>
      <w:r>
        <w:rPr>
          <w:rFonts w:hint="eastAsia" w:ascii="宋体" w:hAnsi="宋体" w:eastAsia="宋体" w:cs="宋体"/>
          <w:color w:val="auto"/>
          <w:sz w:val="21"/>
          <w:szCs w:val="21"/>
          <w:highlight w:val="none"/>
          <w:lang w:eastAsia="zh-CN"/>
        </w:rPr>
        <w:t>的做法</w:t>
      </w:r>
      <w:r>
        <w:rPr>
          <w:rFonts w:hint="eastAsia" w:ascii="宋体" w:hAnsi="宋体" w:eastAsia="宋体" w:cs="宋体"/>
          <w:color w:val="auto"/>
          <w:sz w:val="21"/>
          <w:szCs w:val="21"/>
          <w:highlight w:val="none"/>
        </w:rPr>
        <w:t>和结果如何，供应商应自行承担所有</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rPr>
        <w:t>磋商有关的全部费用，采购人和采购代理机构在任何情况下均无义务和责任承担上述费用。</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（2）代理服务费由成交人支付。</w:t>
      </w:r>
    </w:p>
    <w:p>
      <w:pPr>
        <w:pageBreakBefore w:val="0"/>
        <w:widowControl w:val="0"/>
        <w:kinsoku/>
        <w:wordWrap/>
        <w:overflowPunct/>
        <w:topLinePunct w:val="0"/>
        <w:bidi w:val="0"/>
        <w:spacing w:line="400" w:lineRule="exact"/>
        <w:ind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10.2 解释权</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构成本磋商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pPr>
        <w:pageBreakBefore w:val="0"/>
        <w:widowControl w:val="0"/>
        <w:kinsoku/>
        <w:wordWrap/>
        <w:overflowPunct/>
        <w:topLinePunct w:val="0"/>
        <w:autoSpaceDE w:val="0"/>
        <w:autoSpaceDN w:val="0"/>
        <w:bidi w:val="0"/>
        <w:adjustRightInd w:val="0"/>
        <w:spacing w:line="400" w:lineRule="exact"/>
        <w:ind w:left="15" w:leftChars="7"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10.3 </w:t>
      </w:r>
      <w:r>
        <w:rPr>
          <w:rFonts w:hint="eastAsia" w:ascii="宋体" w:hAnsi="宋体" w:eastAsia="宋体" w:cs="宋体"/>
          <w:color w:val="auto"/>
          <w:sz w:val="21"/>
          <w:szCs w:val="21"/>
          <w:highlight w:val="none"/>
        </w:rPr>
        <w:t>本磋商文件未尽事宜，按《中华人民共和国政府采购法》等法律法规的有关规定执行。</w:t>
      </w:r>
    </w:p>
    <w:p>
      <w:pPr>
        <w:pStyle w:val="8"/>
        <w:pageBreakBefore w:val="0"/>
        <w:widowControl w:val="0"/>
        <w:kinsoku/>
        <w:wordWrap/>
        <w:overflowPunct/>
        <w:topLinePunct w:val="0"/>
        <w:bidi w:val="0"/>
        <w:spacing w:before="0" w:after="0" w:line="400" w:lineRule="exact"/>
        <w:ind w:left="0" w:firstLine="0" w:firstLineChars="0"/>
        <w:jc w:val="left"/>
        <w:textAlignment w:val="auto"/>
        <w:rPr>
          <w:rStyle w:val="46"/>
          <w:rFonts w:hint="eastAsia" w:ascii="宋体" w:hAnsi="宋体" w:eastAsia="宋体" w:cs="宋体"/>
          <w:b/>
          <w:color w:val="auto"/>
          <w:sz w:val="21"/>
          <w:szCs w:val="21"/>
          <w:highlight w:val="none"/>
        </w:rPr>
      </w:pPr>
      <w:bookmarkStart w:id="43" w:name="_Toc12921"/>
      <w:r>
        <w:rPr>
          <w:rStyle w:val="46"/>
          <w:rFonts w:hint="eastAsia" w:ascii="宋体" w:hAnsi="宋体" w:eastAsia="宋体" w:cs="宋体"/>
          <w:b/>
          <w:color w:val="auto"/>
          <w:sz w:val="21"/>
          <w:szCs w:val="21"/>
          <w:highlight w:val="none"/>
        </w:rPr>
        <w:t>11.政策功能</w:t>
      </w:r>
      <w:bookmarkEnd w:id="43"/>
    </w:p>
    <w:p>
      <w:pPr>
        <w:pageBreakBefore w:val="0"/>
        <w:widowControl w:val="0"/>
        <w:kinsoku/>
        <w:wordWrap/>
        <w:overflowPunct/>
        <w:topLinePunct w:val="0"/>
        <w:autoSpaceDE w:val="0"/>
        <w:autoSpaceDN w:val="0"/>
        <w:bidi w:val="0"/>
        <w:adjustRightInd w:val="0"/>
        <w:spacing w:line="400" w:lineRule="exact"/>
        <w:ind w:left="15" w:leftChars="7"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11.1.关于《政府采购促进中小企业发展暂行办法》相关说明</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促进中小型企业发展，必须执行财政部、工信部印发的《政府采购促进中小型企业发展暂行办法》，根据焦财采购【2022】5号关于转发《河南省财政厅关于进一步做好政府采购支持中小企业发展有关事项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豫财购【2022】5号）的通知，对非专门面向中小企业采购的项目，实施评审价格扣除政策支持小微企业。按照《通知》 要求，货物服务类项目的价格扣除提高至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0%，用扣除后的价格参加评审。对于中型企业的价格不予扣除。</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微企业产品应当列明本项目中所投的“小型和微型企业产品的清单”并提供企业声明函（统一格式）且同时提供全国企业信用信息公示系统内小微企业库截图或由企业所在地的县级以上中小企业主管部门出具的中小企业认定证书等有效证明材料，否则不予认可。</w:t>
      </w:r>
    </w:p>
    <w:p>
      <w:pPr>
        <w:pageBreakBefore w:val="0"/>
        <w:widowControl w:val="0"/>
        <w:kinsoku/>
        <w:wordWrap/>
        <w:overflowPunct/>
        <w:topLinePunct w:val="0"/>
        <w:autoSpaceDE w:val="0"/>
        <w:autoSpaceDN w:val="0"/>
        <w:bidi w:val="0"/>
        <w:adjustRightInd w:val="0"/>
        <w:spacing w:line="400" w:lineRule="exact"/>
        <w:ind w:left="15" w:leftChars="7"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关于小微企业：</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关于印发《政府采购促进中小企业发展暂行办法》的通知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（财库〔2011〕181号）之规定，中小企业的标准为：</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11.1.1.1提供本企业制造的货物、承担的工程或者服务，或者提供其他中小企业制造的货物，不包括提供或使用大型企业注册商标的货物。</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11.1.1.2本规定所称中小企业划分标准，是指国务院有关部门根据企业从业人员、营业收入、资产总额等指标制定的中小企业划型标准（工信部联企业〔2011〕300号）。</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11.1.1.3小型、微型企业提供有中型企业制造的货物的，视同为中型企业；小型、微型、中型企业提供有大型企业制造的货物的，视同为大型企业。</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11.1.2依照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财政部、司法部关于政府采购支持监狱企业发展有关问题的通知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（财库〔2014〕68号）之规定，监狱企业应当符合以下条件：</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11.1.2.2监狱企业参加政府采购活动时，视同小型、微型企业，应当提供由省级以上监狱管理局、戒毒管理局（含新疆生产建设兵团）出具的属于监狱企业的证明文件。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val="0"/>
        <w:autoSpaceDN w:val="0"/>
        <w:bidi w:val="0"/>
        <w:adjustRightInd w:val="0"/>
        <w:snapToGrid/>
        <w:spacing w:line="400" w:lineRule="exact"/>
        <w:ind w:left="15" w:leftChars="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未尽事宜，按国家有关</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执行。</w:t>
      </w:r>
    </w:p>
    <w:p>
      <w:pPr>
        <w:spacing w:line="440" w:lineRule="exact"/>
        <w:ind w:firstLine="420" w:firstLineChars="200"/>
        <w:jc w:val="center"/>
        <w:outlineLvl w:val="1"/>
        <w:rPr>
          <w:rFonts w:asciiTheme="majorEastAsia" w:hAnsiTheme="majorEastAsia" w:eastAsiaTheme="majorEastAsia"/>
          <w:b/>
          <w:color w:val="auto"/>
          <w:sz w:val="24"/>
          <w:szCs w:val="24"/>
          <w:highlight w:val="none"/>
        </w:rPr>
      </w:pPr>
      <w:r>
        <w:rPr>
          <w:rFonts w:ascii="宋体" w:cs="宋体"/>
          <w:color w:val="auto"/>
          <w:highlight w:val="none"/>
        </w:rPr>
        <w:br w:type="page"/>
      </w:r>
      <w:r>
        <w:rPr>
          <w:rFonts w:ascii="宋体" w:hAnsi="宋体" w:cs="宋体"/>
          <w:color w:val="auto"/>
          <w:highlight w:val="none"/>
        </w:rPr>
        <w:t xml:space="preserve"> </w:t>
      </w:r>
      <w:bookmarkEnd w:id="13"/>
      <w:bookmarkStart w:id="44" w:name="_Toc19848"/>
      <w:bookmarkStart w:id="45" w:name="_Toc5632"/>
      <w:bookmarkStart w:id="46" w:name="_Toc5349"/>
      <w:r>
        <w:rPr>
          <w:rFonts w:hint="eastAsia" w:asciiTheme="majorEastAsia" w:hAnsiTheme="majorEastAsia" w:eastAsiaTheme="majorEastAsia"/>
          <w:b/>
          <w:color w:val="auto"/>
          <w:sz w:val="28"/>
          <w:szCs w:val="28"/>
          <w:highlight w:val="none"/>
        </w:rPr>
        <w:t>第三章  评标标准和评标方法</w:t>
      </w:r>
      <w:bookmarkEnd w:id="44"/>
      <w:bookmarkEnd w:id="45"/>
      <w:bookmarkEnd w:id="46"/>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
          <w:color w:val="auto"/>
          <w:szCs w:val="21"/>
          <w:highlight w:val="none"/>
        </w:rPr>
      </w:pPr>
      <w:bookmarkStart w:id="47" w:name="_Toc27148130"/>
      <w:bookmarkStart w:id="48" w:name="_Toc421284751"/>
      <w:bookmarkStart w:id="49" w:name="_Toc8539"/>
      <w:bookmarkStart w:id="50" w:name="_Toc388541206"/>
      <w:bookmarkStart w:id="51" w:name="_Toc7610"/>
      <w:bookmarkStart w:id="52" w:name="_Toc6110"/>
      <w:bookmarkStart w:id="53" w:name="_Toc21327"/>
      <w:r>
        <w:rPr>
          <w:rFonts w:hint="eastAsia" w:ascii="宋体" w:hAnsi="宋体" w:cs="宋体"/>
          <w:b/>
          <w:color w:val="auto"/>
          <w:szCs w:val="21"/>
          <w:highlight w:val="none"/>
        </w:rPr>
        <w:t>1.评标准则和评标方法</w:t>
      </w:r>
      <w:bookmarkEnd w:id="47"/>
      <w:bookmarkEnd w:id="48"/>
      <w:bookmarkEnd w:id="49"/>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1.1评标过程将遵循“公平、公正、科学、择优”的原则进行。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bookmarkStart w:id="54" w:name="_Toc371423272"/>
      <w:bookmarkStart w:id="55" w:name="_Toc27273"/>
      <w:bookmarkStart w:id="56" w:name="_Toc9035"/>
      <w:bookmarkStart w:id="57" w:name="_Toc4231"/>
      <w:bookmarkStart w:id="58" w:name="_Toc371425843"/>
      <w:r>
        <w:rPr>
          <w:rFonts w:hint="eastAsia" w:ascii="宋体" w:hAnsi="宋体" w:cs="宋体"/>
          <w:color w:val="auto"/>
          <w:szCs w:val="21"/>
          <w:highlight w:val="none"/>
        </w:rPr>
        <w:t>1.2评标将严格按照招标文件的要求和条件进行。对所有供应商的投标评定都采用相同的程序和标准。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1.3反对不正当竞争，投标人不得串通投标，如有违反者按《中华人民共和国政府采购法》有关规定处理。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
          <w:color w:val="auto"/>
          <w:szCs w:val="21"/>
          <w:highlight w:val="none"/>
        </w:rPr>
      </w:pPr>
      <w:bookmarkStart w:id="59" w:name="_Toc421284752"/>
      <w:bookmarkStart w:id="60" w:name="_Toc21051"/>
      <w:bookmarkStart w:id="61" w:name="_Toc9507"/>
      <w:bookmarkStart w:id="62" w:name="_Toc14776"/>
      <w:bookmarkStart w:id="63" w:name="_Toc12985"/>
      <w:bookmarkStart w:id="64" w:name="_Toc380581853"/>
      <w:bookmarkStart w:id="65" w:name="_Toc388541207"/>
      <w:bookmarkStart w:id="66" w:name="_Toc27148131"/>
      <w:r>
        <w:rPr>
          <w:rFonts w:hint="eastAsia" w:ascii="宋体" w:hAnsi="宋体" w:cs="宋体"/>
          <w:b/>
          <w:color w:val="auto"/>
          <w:szCs w:val="21"/>
          <w:highlight w:val="none"/>
        </w:rPr>
        <w:t>2.评审标准</w:t>
      </w:r>
      <w:bookmarkEnd w:id="54"/>
      <w:bookmarkEnd w:id="55"/>
      <w:bookmarkEnd w:id="56"/>
      <w:bookmarkEnd w:id="57"/>
      <w:bookmarkEnd w:id="58"/>
      <w:bookmarkEnd w:id="59"/>
      <w:bookmarkEnd w:id="60"/>
      <w:bookmarkEnd w:id="61"/>
      <w:bookmarkEnd w:id="62"/>
      <w:bookmarkEnd w:id="63"/>
      <w:bookmarkEnd w:id="64"/>
      <w:bookmarkEnd w:id="65"/>
      <w:bookmarkEnd w:id="66"/>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bookmarkStart w:id="67" w:name="_Toc1062"/>
      <w:bookmarkStart w:id="68" w:name="_Toc23807"/>
      <w:bookmarkStart w:id="69" w:name="_Toc421284753"/>
      <w:r>
        <w:rPr>
          <w:rFonts w:hint="eastAsia" w:ascii="宋体" w:hAnsi="宋体" w:cs="宋体"/>
          <w:color w:val="auto"/>
          <w:szCs w:val="21"/>
          <w:highlight w:val="none"/>
        </w:rPr>
        <w:t>2.1 初步评审标准</w:t>
      </w:r>
      <w:bookmarkEnd w:id="67"/>
      <w:bookmarkEnd w:id="68"/>
      <w:bookmarkEnd w:id="69"/>
    </w:p>
    <w:tbl>
      <w:tblPr>
        <w:tblStyle w:val="2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410"/>
        <w:gridCol w:w="2569"/>
        <w:gridCol w:w="5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754" w:type="dxa"/>
            <w:vAlign w:val="center"/>
          </w:tcPr>
          <w:p>
            <w:pPr>
              <w:jc w:val="center"/>
              <w:rPr>
                <w:rFonts w:hint="eastAsia"/>
                <w:b/>
                <w:bCs/>
                <w:lang w:val="en-US" w:eastAsia="zh-CN"/>
              </w:rPr>
            </w:pPr>
            <w:r>
              <w:rPr>
                <w:rFonts w:hint="eastAsia"/>
                <w:b/>
                <w:bCs/>
                <w:lang w:val="en-US" w:eastAsia="zh-CN"/>
              </w:rPr>
              <w:t>评审</w:t>
            </w:r>
          </w:p>
          <w:p>
            <w:pPr>
              <w:jc w:val="center"/>
              <w:rPr>
                <w:rFonts w:hint="default" w:eastAsia="宋体"/>
                <w:b/>
                <w:bCs/>
                <w:lang w:val="en-US" w:eastAsia="zh-CN"/>
              </w:rPr>
            </w:pPr>
            <w:r>
              <w:rPr>
                <w:rFonts w:hint="eastAsia"/>
                <w:b/>
                <w:bCs/>
                <w:lang w:val="en-US" w:eastAsia="zh-CN"/>
              </w:rPr>
              <w:t>主体</w:t>
            </w:r>
          </w:p>
        </w:tc>
        <w:tc>
          <w:tcPr>
            <w:tcW w:w="2979" w:type="dxa"/>
            <w:gridSpan w:val="2"/>
            <w:vAlign w:val="center"/>
          </w:tcPr>
          <w:p>
            <w:pPr>
              <w:jc w:val="center"/>
              <w:rPr>
                <w:rFonts w:hint="eastAsia"/>
                <w:b/>
                <w:bCs/>
              </w:rPr>
            </w:pPr>
            <w:r>
              <w:rPr>
                <w:rFonts w:hint="eastAsia"/>
                <w:b/>
                <w:bCs/>
              </w:rPr>
              <w:t>评审因素</w:t>
            </w:r>
          </w:p>
        </w:tc>
        <w:tc>
          <w:tcPr>
            <w:tcW w:w="5046" w:type="dxa"/>
            <w:vAlign w:val="center"/>
          </w:tcPr>
          <w:p>
            <w:pPr>
              <w:jc w:val="center"/>
              <w:rPr>
                <w:b/>
                <w:bCs/>
              </w:rPr>
            </w:pPr>
            <w:r>
              <w:rPr>
                <w:rFonts w:hint="eastAsia"/>
                <w:b/>
                <w:bCs/>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54" w:type="dxa"/>
            <w:vMerge w:val="restart"/>
            <w:vAlign w:val="center"/>
          </w:tcPr>
          <w:p>
            <w:pPr>
              <w:jc w:val="center"/>
            </w:pPr>
            <w:r>
              <w:rPr>
                <w:rFonts w:hint="eastAsia"/>
              </w:rPr>
              <w:t>评</w:t>
            </w:r>
          </w:p>
          <w:p>
            <w:pPr>
              <w:jc w:val="center"/>
            </w:pPr>
            <w:r>
              <w:rPr>
                <w:rFonts w:hint="eastAsia"/>
              </w:rPr>
              <w:t>标</w:t>
            </w:r>
          </w:p>
          <w:p>
            <w:pPr>
              <w:jc w:val="center"/>
            </w:pPr>
            <w:r>
              <w:rPr>
                <w:rFonts w:hint="eastAsia"/>
              </w:rPr>
              <w:t>委</w:t>
            </w:r>
          </w:p>
          <w:p>
            <w:pPr>
              <w:jc w:val="center"/>
            </w:pPr>
            <w:r>
              <w:rPr>
                <w:rFonts w:hint="eastAsia"/>
              </w:rPr>
              <w:t>员</w:t>
            </w:r>
          </w:p>
          <w:p>
            <w:pPr>
              <w:jc w:val="center"/>
            </w:pPr>
            <w:r>
              <w:rPr>
                <w:rFonts w:hint="eastAsia"/>
              </w:rPr>
              <w:t>会</w:t>
            </w:r>
          </w:p>
        </w:tc>
        <w:tc>
          <w:tcPr>
            <w:tcW w:w="410" w:type="dxa"/>
            <w:vMerge w:val="restart"/>
            <w:vAlign w:val="center"/>
          </w:tcPr>
          <w:p>
            <w:pPr>
              <w:jc w:val="center"/>
            </w:pPr>
            <w:r>
              <w:rPr>
                <w:rFonts w:hint="eastAsia"/>
              </w:rPr>
              <w:t>资</w:t>
            </w:r>
          </w:p>
          <w:p>
            <w:pPr>
              <w:jc w:val="center"/>
            </w:pPr>
            <w:r>
              <w:rPr>
                <w:rFonts w:hint="eastAsia"/>
              </w:rPr>
              <w:t>格</w:t>
            </w:r>
          </w:p>
          <w:p>
            <w:pPr>
              <w:jc w:val="center"/>
            </w:pPr>
            <w:r>
              <w:rPr>
                <w:rFonts w:hint="eastAsia"/>
              </w:rPr>
              <w:t>评</w:t>
            </w:r>
          </w:p>
          <w:p>
            <w:pPr>
              <w:jc w:val="center"/>
            </w:pPr>
            <w:r>
              <w:rPr>
                <w:rFonts w:hint="eastAsia"/>
              </w:rPr>
              <w:t>审</w:t>
            </w:r>
          </w:p>
          <w:p>
            <w:pPr>
              <w:jc w:val="center"/>
            </w:pPr>
            <w:r>
              <w:rPr>
                <w:rFonts w:hint="eastAsia"/>
              </w:rPr>
              <w:t>标</w:t>
            </w:r>
          </w:p>
          <w:p>
            <w:pPr>
              <w:jc w:val="center"/>
            </w:pPr>
            <w:r>
              <w:rPr>
                <w:rFonts w:hint="eastAsia"/>
              </w:rPr>
              <w:t>准</w:t>
            </w:r>
          </w:p>
          <w:p>
            <w:pPr>
              <w:jc w:val="center"/>
            </w:pPr>
          </w:p>
        </w:tc>
        <w:tc>
          <w:tcPr>
            <w:tcW w:w="2569" w:type="dxa"/>
            <w:vAlign w:val="center"/>
          </w:tcPr>
          <w:p>
            <w:r>
              <w:rPr>
                <w:rFonts w:hint="eastAsia"/>
              </w:rPr>
              <w:t>温县政府采购供应商资格信用承诺函</w:t>
            </w:r>
          </w:p>
        </w:tc>
        <w:tc>
          <w:tcPr>
            <w:tcW w:w="5046" w:type="dxa"/>
            <w:vAlign w:val="center"/>
          </w:tcPr>
          <w:p>
            <w:pPr>
              <w:rPr>
                <w:rFonts w:hint="eastAsia"/>
                <w:lang w:eastAsia="zh-CN"/>
              </w:rPr>
            </w:pPr>
            <w:r>
              <w:rPr>
                <w:rFonts w:hint="eastAsia"/>
                <w:lang w:eastAsia="zh-CN"/>
              </w:rPr>
              <w:t>符合“</w:t>
            </w:r>
            <w:r>
              <w:rPr>
                <w:rFonts w:hint="eastAsia"/>
              </w:rPr>
              <w:t>温县政府采购供应商资格信用承诺函</w:t>
            </w:r>
            <w:r>
              <w:rPr>
                <w:rFonts w:hint="eastAsia"/>
                <w:lang w:eastAsia="zh-CN"/>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54" w:type="dxa"/>
            <w:vMerge w:val="continue"/>
            <w:vAlign w:val="center"/>
          </w:tcPr>
          <w:p/>
        </w:tc>
        <w:tc>
          <w:tcPr>
            <w:tcW w:w="410" w:type="dxa"/>
            <w:vMerge w:val="continue"/>
            <w:vAlign w:val="center"/>
          </w:tcPr>
          <w:p/>
        </w:tc>
        <w:tc>
          <w:tcPr>
            <w:tcW w:w="2569" w:type="dxa"/>
            <w:vAlign w:val="center"/>
          </w:tcPr>
          <w:p>
            <w:r>
              <w:rPr>
                <w:rFonts w:hint="eastAsia"/>
              </w:rPr>
              <w:t>法定代表人身份证明或授权委托书及被授权人本人身份证</w:t>
            </w:r>
          </w:p>
        </w:tc>
        <w:tc>
          <w:tcPr>
            <w:tcW w:w="5046" w:type="dxa"/>
            <w:vAlign w:val="center"/>
          </w:tcPr>
          <w:p>
            <w:r>
              <w:rPr>
                <w:rFonts w:hint="eastAsia"/>
              </w:rPr>
              <w:t>法定代表人身份证明或授权委托书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54" w:type="dxa"/>
            <w:vMerge w:val="continue"/>
            <w:vAlign w:val="center"/>
          </w:tcPr>
          <w:p/>
        </w:tc>
        <w:tc>
          <w:tcPr>
            <w:tcW w:w="410" w:type="dxa"/>
            <w:vMerge w:val="continue"/>
            <w:vAlign w:val="center"/>
          </w:tcPr>
          <w:p/>
        </w:tc>
        <w:tc>
          <w:tcPr>
            <w:tcW w:w="2569" w:type="dxa"/>
            <w:vAlign w:val="center"/>
          </w:tcPr>
          <w:p>
            <w:pPr>
              <w:rPr>
                <w:rFonts w:hint="eastAsia"/>
              </w:rPr>
            </w:pPr>
            <w:r>
              <w:rPr>
                <w:rFonts w:hint="eastAsia"/>
              </w:rPr>
              <w:t>供应商资格要求</w:t>
            </w:r>
          </w:p>
        </w:tc>
        <w:tc>
          <w:tcPr>
            <w:tcW w:w="5046" w:type="dxa"/>
            <w:vAlign w:val="center"/>
          </w:tcPr>
          <w:p>
            <w:pPr>
              <w:rPr>
                <w:rFonts w:hint="eastAsia"/>
              </w:rPr>
            </w:pPr>
            <w:r>
              <w:rPr>
                <w:rFonts w:hint="eastAsia"/>
              </w:rPr>
              <w:t>符合第二章投标人须知前附表1.3.4 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54" w:type="dxa"/>
            <w:vMerge w:val="continue"/>
            <w:vAlign w:val="center"/>
          </w:tcPr>
          <w:p/>
        </w:tc>
        <w:tc>
          <w:tcPr>
            <w:tcW w:w="410" w:type="dxa"/>
            <w:vMerge w:val="restart"/>
            <w:vAlign w:val="center"/>
          </w:tcPr>
          <w:p>
            <w:pPr>
              <w:jc w:val="center"/>
            </w:pPr>
            <w:r>
              <w:rPr>
                <w:rFonts w:hint="eastAsia"/>
              </w:rPr>
              <w:t>符</w:t>
            </w:r>
          </w:p>
          <w:p>
            <w:pPr>
              <w:jc w:val="center"/>
            </w:pPr>
            <w:r>
              <w:rPr>
                <w:rFonts w:hint="eastAsia"/>
              </w:rPr>
              <w:t>合</w:t>
            </w:r>
          </w:p>
          <w:p>
            <w:pPr>
              <w:jc w:val="center"/>
            </w:pPr>
            <w:r>
              <w:rPr>
                <w:rFonts w:hint="eastAsia"/>
              </w:rPr>
              <w:t>性</w:t>
            </w:r>
          </w:p>
          <w:p>
            <w:pPr>
              <w:jc w:val="center"/>
            </w:pPr>
            <w:r>
              <w:rPr>
                <w:rFonts w:hint="eastAsia"/>
              </w:rPr>
              <w:t>评</w:t>
            </w:r>
          </w:p>
          <w:p>
            <w:pPr>
              <w:jc w:val="center"/>
            </w:pPr>
            <w:r>
              <w:rPr>
                <w:rFonts w:hint="eastAsia"/>
              </w:rPr>
              <w:t>审</w:t>
            </w:r>
          </w:p>
          <w:p>
            <w:pPr>
              <w:jc w:val="center"/>
            </w:pPr>
            <w:r>
              <w:rPr>
                <w:rFonts w:hint="eastAsia"/>
              </w:rPr>
              <w:t>标</w:t>
            </w:r>
          </w:p>
          <w:p>
            <w:pPr>
              <w:jc w:val="center"/>
            </w:pPr>
            <w:r>
              <w:rPr>
                <w:rFonts w:hint="eastAsia"/>
              </w:rPr>
              <w:t>准</w:t>
            </w:r>
          </w:p>
          <w:p>
            <w:pPr>
              <w:jc w:val="center"/>
            </w:pPr>
          </w:p>
        </w:tc>
        <w:tc>
          <w:tcPr>
            <w:tcW w:w="2569" w:type="dxa"/>
            <w:vAlign w:val="center"/>
          </w:tcPr>
          <w:p>
            <w:r>
              <w:rPr>
                <w:rFonts w:hint="eastAsia"/>
              </w:rPr>
              <w:t>投标函签字盖章</w:t>
            </w:r>
          </w:p>
        </w:tc>
        <w:tc>
          <w:tcPr>
            <w:tcW w:w="5046" w:type="dxa"/>
            <w:vAlign w:val="center"/>
          </w:tcPr>
          <w:p>
            <w:r>
              <w:rPr>
                <w:rFonts w:hint="eastAsia"/>
              </w:rPr>
              <w:t>由法定代表人（负责人）或委托代理人签字并加盖单位公章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54" w:type="dxa"/>
            <w:vMerge w:val="continue"/>
            <w:vAlign w:val="center"/>
          </w:tcPr>
          <w:p/>
        </w:tc>
        <w:tc>
          <w:tcPr>
            <w:tcW w:w="410" w:type="dxa"/>
            <w:vMerge w:val="continue"/>
            <w:vAlign w:val="center"/>
          </w:tcPr>
          <w:p/>
        </w:tc>
        <w:tc>
          <w:tcPr>
            <w:tcW w:w="2569" w:type="dxa"/>
            <w:vAlign w:val="center"/>
          </w:tcPr>
          <w:p>
            <w:r>
              <w:rPr>
                <w:rFonts w:hint="eastAsia"/>
              </w:rPr>
              <w:t>投标文件格式</w:t>
            </w:r>
          </w:p>
        </w:tc>
        <w:tc>
          <w:tcPr>
            <w:tcW w:w="5046" w:type="dxa"/>
            <w:vAlign w:val="center"/>
          </w:tcPr>
          <w:p>
            <w:r>
              <w:rPr>
                <w:rFonts w:hint="eastAsia"/>
              </w:rPr>
              <w:t>符合磋商文件格式要求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54" w:type="dxa"/>
            <w:vMerge w:val="continue"/>
            <w:vAlign w:val="center"/>
          </w:tcPr>
          <w:p/>
        </w:tc>
        <w:tc>
          <w:tcPr>
            <w:tcW w:w="410" w:type="dxa"/>
            <w:vMerge w:val="continue"/>
            <w:vAlign w:val="center"/>
          </w:tcPr>
          <w:p/>
        </w:tc>
        <w:tc>
          <w:tcPr>
            <w:tcW w:w="2569" w:type="dxa"/>
            <w:vAlign w:val="center"/>
          </w:tcPr>
          <w:p>
            <w:r>
              <w:rPr>
                <w:rFonts w:hint="eastAsia"/>
              </w:rPr>
              <w:t>合同履行期限</w:t>
            </w:r>
          </w:p>
        </w:tc>
        <w:tc>
          <w:tcPr>
            <w:tcW w:w="5046" w:type="dxa"/>
            <w:vAlign w:val="center"/>
          </w:tcPr>
          <w:p>
            <w:r>
              <w:rPr>
                <w:rFonts w:hint="eastAsia"/>
              </w:rPr>
              <w:t>符合第二章供应商须知前附表1.3.2规定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54" w:type="dxa"/>
            <w:vMerge w:val="continue"/>
            <w:vAlign w:val="center"/>
          </w:tcPr>
          <w:p/>
        </w:tc>
        <w:tc>
          <w:tcPr>
            <w:tcW w:w="410" w:type="dxa"/>
            <w:vMerge w:val="continue"/>
            <w:vAlign w:val="center"/>
          </w:tcPr>
          <w:p/>
        </w:tc>
        <w:tc>
          <w:tcPr>
            <w:tcW w:w="2569" w:type="dxa"/>
            <w:vAlign w:val="center"/>
          </w:tcPr>
          <w:p>
            <w:r>
              <w:rPr>
                <w:rFonts w:hint="eastAsia"/>
              </w:rPr>
              <w:t>质量要求</w:t>
            </w:r>
          </w:p>
        </w:tc>
        <w:tc>
          <w:tcPr>
            <w:tcW w:w="5046" w:type="dxa"/>
            <w:vAlign w:val="center"/>
          </w:tcPr>
          <w:p>
            <w:pPr>
              <w:rPr>
                <w:rFonts w:hint="eastAsia"/>
                <w:lang w:eastAsia="zh-CN"/>
              </w:rPr>
            </w:pPr>
            <w:r>
              <w:rPr>
                <w:rFonts w:hint="eastAsia"/>
                <w:lang w:val="en-US" w:eastAsia="zh-CN"/>
              </w:rPr>
              <w:t>合格，符合国家、地方现行相关规范要求，通过相关部门审查。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4" w:type="dxa"/>
            <w:vMerge w:val="continue"/>
            <w:vAlign w:val="center"/>
          </w:tcPr>
          <w:p/>
        </w:tc>
        <w:tc>
          <w:tcPr>
            <w:tcW w:w="410" w:type="dxa"/>
            <w:vMerge w:val="continue"/>
            <w:vAlign w:val="center"/>
          </w:tcPr>
          <w:p/>
        </w:tc>
        <w:tc>
          <w:tcPr>
            <w:tcW w:w="2569" w:type="dxa"/>
            <w:vAlign w:val="center"/>
          </w:tcPr>
          <w:p>
            <w:r>
              <w:rPr>
                <w:rFonts w:hint="eastAsia"/>
              </w:rPr>
              <w:t>投标报价</w:t>
            </w:r>
          </w:p>
        </w:tc>
        <w:tc>
          <w:tcPr>
            <w:tcW w:w="5046" w:type="dxa"/>
            <w:vAlign w:val="center"/>
          </w:tcPr>
          <w:p>
            <w:r>
              <w:rPr>
                <w:rFonts w:hint="eastAsia"/>
              </w:rPr>
              <w:t>只能有一个有效报价，且不能超过预算价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54" w:type="dxa"/>
            <w:vMerge w:val="continue"/>
            <w:vAlign w:val="center"/>
          </w:tcPr>
          <w:p/>
        </w:tc>
        <w:tc>
          <w:tcPr>
            <w:tcW w:w="410" w:type="dxa"/>
            <w:vMerge w:val="continue"/>
            <w:vAlign w:val="center"/>
          </w:tcPr>
          <w:p/>
        </w:tc>
        <w:tc>
          <w:tcPr>
            <w:tcW w:w="2569" w:type="dxa"/>
            <w:vAlign w:val="center"/>
          </w:tcPr>
          <w:p>
            <w:r>
              <w:rPr>
                <w:rFonts w:hint="eastAsia"/>
              </w:rPr>
              <w:t>投标承诺函</w:t>
            </w:r>
          </w:p>
        </w:tc>
        <w:tc>
          <w:tcPr>
            <w:tcW w:w="5046" w:type="dxa"/>
            <w:vAlign w:val="center"/>
          </w:tcPr>
          <w:p>
            <w:r>
              <w:rPr>
                <w:rFonts w:hint="eastAsia"/>
              </w:rPr>
              <w:t>符合磋商文件格式要求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54" w:type="dxa"/>
            <w:vMerge w:val="continue"/>
            <w:vAlign w:val="center"/>
          </w:tcPr>
          <w:p/>
        </w:tc>
        <w:tc>
          <w:tcPr>
            <w:tcW w:w="410" w:type="dxa"/>
            <w:vMerge w:val="continue"/>
            <w:vAlign w:val="center"/>
          </w:tcPr>
          <w:p/>
        </w:tc>
        <w:tc>
          <w:tcPr>
            <w:tcW w:w="2569" w:type="dxa"/>
            <w:vAlign w:val="center"/>
          </w:tcPr>
          <w:p>
            <w:r>
              <w:rPr>
                <w:rFonts w:hint="eastAsia"/>
              </w:rPr>
              <w:t>磋商有效期</w:t>
            </w:r>
          </w:p>
        </w:tc>
        <w:tc>
          <w:tcPr>
            <w:tcW w:w="5046" w:type="dxa"/>
            <w:vAlign w:val="center"/>
          </w:tcPr>
          <w:p>
            <w:r>
              <w:rPr>
                <w:rFonts w:hint="eastAsia"/>
              </w:rPr>
              <w:t>响应文件递交截止日起60日历天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54" w:type="dxa"/>
            <w:vMerge w:val="continue"/>
            <w:vAlign w:val="center"/>
          </w:tcPr>
          <w:p/>
        </w:tc>
        <w:tc>
          <w:tcPr>
            <w:tcW w:w="410" w:type="dxa"/>
            <w:vMerge w:val="continue"/>
            <w:vAlign w:val="center"/>
          </w:tcPr>
          <w:p/>
        </w:tc>
        <w:tc>
          <w:tcPr>
            <w:tcW w:w="2569" w:type="dxa"/>
            <w:vAlign w:val="center"/>
          </w:tcPr>
          <w:p>
            <w:r>
              <w:rPr>
                <w:rFonts w:hint="eastAsia"/>
              </w:rPr>
              <w:t>其他要求</w:t>
            </w:r>
          </w:p>
        </w:tc>
        <w:tc>
          <w:tcPr>
            <w:tcW w:w="5046" w:type="dxa"/>
            <w:vAlign w:val="center"/>
          </w:tcPr>
          <w:p>
            <w:r>
              <w:rPr>
                <w:rFonts w:hint="eastAsia"/>
              </w:rPr>
              <w:t>符合</w:t>
            </w:r>
            <w:r>
              <w:rPr>
                <w:rFonts w:hint="eastAsia"/>
                <w:lang w:eastAsia="zh-CN"/>
              </w:rPr>
              <w:t>法律法规</w:t>
            </w:r>
            <w:r>
              <w:rPr>
                <w:rFonts w:hint="eastAsia"/>
              </w:rPr>
              <w:t>和磋商文件中规定的其他实质性要求的。</w:t>
            </w:r>
          </w:p>
        </w:tc>
      </w:tr>
    </w:tbl>
    <w:p>
      <w:pPr>
        <w:spacing w:line="260" w:lineRule="exact"/>
        <w:rPr>
          <w:rFonts w:hint="eastAsia" w:ascii="宋体" w:hAnsi="宋体" w:cs="宋体"/>
          <w:b/>
          <w:bCs/>
          <w:color w:val="auto"/>
          <w:kern w:val="0"/>
          <w:sz w:val="22"/>
          <w:szCs w:val="22"/>
          <w:highlight w:val="none"/>
        </w:rPr>
      </w:pPr>
      <w:bookmarkStart w:id="70" w:name="_Toc241"/>
      <w:bookmarkStart w:id="71" w:name="_Toc31363"/>
      <w:bookmarkStart w:id="72" w:name="_Toc388091815"/>
      <w:bookmarkStart w:id="73" w:name="_Toc388541209"/>
      <w:bookmarkStart w:id="74" w:name="_Toc371423273"/>
      <w:bookmarkStart w:id="75" w:name="_Toc18099"/>
      <w:bookmarkStart w:id="76" w:name="_Toc421284754"/>
      <w:bookmarkStart w:id="77" w:name="_Toc13205"/>
      <w:bookmarkStart w:id="78" w:name="_Toc380581854"/>
      <w:bookmarkStart w:id="79" w:name="_Toc17206"/>
      <w:bookmarkStart w:id="80" w:name="_Toc371425844"/>
      <w:bookmarkStart w:id="81" w:name="_Toc31569"/>
    </w:p>
    <w:p>
      <w:pPr>
        <w:spacing w:line="260" w:lineRule="exact"/>
        <w:rPr>
          <w:rFonts w:hint="eastAsia" w:ascii="宋体" w:hAnsi="宋体" w:cs="宋体"/>
          <w:b/>
          <w:bCs/>
          <w:color w:val="auto"/>
          <w:kern w:val="0"/>
          <w:sz w:val="22"/>
          <w:szCs w:val="22"/>
          <w:highlight w:val="none"/>
        </w:rPr>
      </w:pPr>
    </w:p>
    <w:p>
      <w:pPr>
        <w:spacing w:line="260" w:lineRule="exact"/>
        <w:rPr>
          <w:rFonts w:hint="eastAsia" w:ascii="宋体" w:hAnsi="宋体" w:cs="宋体"/>
          <w:b/>
          <w:bCs/>
          <w:color w:val="auto"/>
          <w:kern w:val="0"/>
          <w:sz w:val="22"/>
          <w:szCs w:val="22"/>
          <w:highlight w:val="none"/>
        </w:rPr>
      </w:pPr>
    </w:p>
    <w:p>
      <w:pPr>
        <w:spacing w:line="260" w:lineRule="exact"/>
        <w:rPr>
          <w:rFonts w:hint="eastAsia" w:ascii="宋体" w:hAnsi="宋体" w:cs="宋体"/>
          <w:b/>
          <w:bCs/>
          <w:color w:val="auto"/>
          <w:kern w:val="0"/>
          <w:sz w:val="22"/>
          <w:szCs w:val="22"/>
          <w:highlight w:val="none"/>
        </w:rPr>
      </w:pPr>
    </w:p>
    <w:p>
      <w:pPr>
        <w:spacing w:line="260" w:lineRule="exact"/>
        <w:rPr>
          <w:rFonts w:hint="eastAsia" w:ascii="宋体" w:hAnsi="宋体"/>
          <w:b/>
          <w:color w:val="auto"/>
          <w:sz w:val="22"/>
          <w:szCs w:val="22"/>
          <w:highlight w:val="none"/>
        </w:rPr>
      </w:pPr>
      <w:r>
        <w:rPr>
          <w:rFonts w:hint="eastAsia" w:ascii="宋体" w:hAnsi="宋体" w:cs="宋体"/>
          <w:b/>
          <w:bCs/>
          <w:color w:val="auto"/>
          <w:kern w:val="0"/>
          <w:sz w:val="22"/>
          <w:szCs w:val="22"/>
          <w:highlight w:val="none"/>
        </w:rPr>
        <w:t>2.2</w:t>
      </w:r>
      <w:r>
        <w:rPr>
          <w:rFonts w:hint="eastAsia" w:ascii="宋体" w:hAnsi="宋体"/>
          <w:b/>
          <w:color w:val="auto"/>
          <w:sz w:val="22"/>
          <w:szCs w:val="22"/>
          <w:highlight w:val="none"/>
        </w:rPr>
        <w:t>详细评标标准</w:t>
      </w:r>
    </w:p>
    <w:p>
      <w:pPr>
        <w:pStyle w:val="3"/>
        <w:spacing w:line="260" w:lineRule="exact"/>
        <w:ind w:firstLine="442" w:firstLineChars="200"/>
        <w:rPr>
          <w:rFonts w:hint="eastAsia" w:ascii="宋体" w:eastAsia="宋体" w:cs="宋体"/>
          <w:b/>
          <w:bCs/>
          <w:color w:val="auto"/>
          <w:kern w:val="0"/>
          <w:sz w:val="22"/>
          <w:szCs w:val="22"/>
          <w:highlight w:val="none"/>
          <w:lang w:bidi="ar"/>
        </w:rPr>
      </w:pPr>
      <w:r>
        <w:rPr>
          <w:rFonts w:hint="eastAsia" w:ascii="宋体" w:eastAsia="宋体" w:cs="宋体"/>
          <w:b/>
          <w:bCs/>
          <w:color w:val="auto"/>
          <w:kern w:val="0"/>
          <w:sz w:val="22"/>
          <w:szCs w:val="22"/>
          <w:highlight w:val="none"/>
          <w:lang w:bidi="ar"/>
        </w:rPr>
        <w:t xml:space="preserve">分值构成 </w:t>
      </w:r>
      <w:r>
        <w:rPr>
          <w:rFonts w:hint="eastAsia" w:ascii="宋体" w:cs="宋体"/>
          <w:b/>
          <w:bCs/>
          <w:color w:val="auto"/>
          <w:kern w:val="0"/>
          <w:sz w:val="22"/>
          <w:szCs w:val="22"/>
          <w:highlight w:val="none"/>
          <w:lang w:eastAsia="zh-CN" w:bidi="ar"/>
        </w:rPr>
        <w:t>（</w:t>
      </w:r>
      <w:r>
        <w:rPr>
          <w:rFonts w:hint="eastAsia" w:ascii="宋体" w:eastAsia="宋体" w:cs="宋体"/>
          <w:b/>
          <w:bCs/>
          <w:color w:val="auto"/>
          <w:kern w:val="0"/>
          <w:sz w:val="22"/>
          <w:szCs w:val="22"/>
          <w:highlight w:val="none"/>
          <w:lang w:bidi="ar"/>
        </w:rPr>
        <w:t>总分 100 分</w:t>
      </w:r>
      <w:r>
        <w:rPr>
          <w:rFonts w:hint="eastAsia" w:ascii="宋体" w:cs="宋体"/>
          <w:b/>
          <w:bCs/>
          <w:color w:val="auto"/>
          <w:kern w:val="0"/>
          <w:sz w:val="22"/>
          <w:szCs w:val="22"/>
          <w:highlight w:val="none"/>
          <w:lang w:eastAsia="zh-CN" w:bidi="ar"/>
        </w:rPr>
        <w:t>）</w:t>
      </w:r>
      <w:r>
        <w:rPr>
          <w:rFonts w:hint="eastAsia" w:ascii="宋体" w:eastAsia="宋体" w:cs="宋体"/>
          <w:b/>
          <w:bCs/>
          <w:color w:val="auto"/>
          <w:kern w:val="0"/>
          <w:sz w:val="22"/>
          <w:szCs w:val="22"/>
          <w:highlight w:val="none"/>
          <w:lang w:bidi="ar"/>
        </w:rPr>
        <w:t xml:space="preserve"> 报价部分：</w:t>
      </w:r>
      <w:r>
        <w:rPr>
          <w:rFonts w:hint="eastAsia" w:ascii="宋体" w:cs="宋体"/>
          <w:b/>
          <w:bCs/>
          <w:color w:val="auto"/>
          <w:kern w:val="0"/>
          <w:sz w:val="22"/>
          <w:szCs w:val="22"/>
          <w:highlight w:val="none"/>
          <w:lang w:val="en-US" w:eastAsia="zh-CN" w:bidi="ar"/>
        </w:rPr>
        <w:t>30</w:t>
      </w:r>
      <w:r>
        <w:rPr>
          <w:rFonts w:hint="eastAsia" w:ascii="宋体" w:eastAsia="宋体" w:cs="宋体"/>
          <w:b/>
          <w:bCs/>
          <w:color w:val="auto"/>
          <w:kern w:val="0"/>
          <w:sz w:val="22"/>
          <w:szCs w:val="22"/>
          <w:highlight w:val="none"/>
          <w:lang w:bidi="ar"/>
        </w:rPr>
        <w:t>分</w:t>
      </w:r>
      <w:r>
        <w:rPr>
          <w:rFonts w:hint="eastAsia" w:ascii="宋体" w:cs="宋体"/>
          <w:b/>
          <w:bCs/>
          <w:color w:val="auto"/>
          <w:kern w:val="0"/>
          <w:sz w:val="22"/>
          <w:szCs w:val="22"/>
          <w:highlight w:val="none"/>
          <w:lang w:eastAsia="zh-CN" w:bidi="ar"/>
        </w:rPr>
        <w:t>；</w:t>
      </w:r>
      <w:r>
        <w:rPr>
          <w:rFonts w:hint="eastAsia" w:ascii="宋体" w:eastAsia="宋体" w:cs="宋体"/>
          <w:b/>
          <w:bCs/>
          <w:color w:val="auto"/>
          <w:kern w:val="0"/>
          <w:sz w:val="22"/>
          <w:szCs w:val="22"/>
          <w:highlight w:val="none"/>
          <w:lang w:bidi="ar"/>
        </w:rPr>
        <w:t>技术部分：</w:t>
      </w:r>
      <w:r>
        <w:rPr>
          <w:rFonts w:hint="eastAsia" w:ascii="宋体" w:cs="宋体"/>
          <w:b/>
          <w:bCs/>
          <w:color w:val="auto"/>
          <w:kern w:val="0"/>
          <w:sz w:val="22"/>
          <w:szCs w:val="22"/>
          <w:highlight w:val="none"/>
          <w:lang w:val="en-US" w:eastAsia="zh-CN" w:bidi="ar"/>
        </w:rPr>
        <w:t>45</w:t>
      </w:r>
      <w:r>
        <w:rPr>
          <w:rFonts w:hint="eastAsia" w:ascii="宋体" w:eastAsia="宋体" w:cs="宋体"/>
          <w:b/>
          <w:bCs/>
          <w:color w:val="auto"/>
          <w:kern w:val="0"/>
          <w:sz w:val="22"/>
          <w:szCs w:val="22"/>
          <w:highlight w:val="none"/>
          <w:lang w:bidi="ar"/>
        </w:rPr>
        <w:t>分；</w:t>
      </w:r>
      <w:r>
        <w:rPr>
          <w:rFonts w:hint="eastAsia" w:ascii="宋体" w:eastAsia="宋体" w:cs="宋体"/>
          <w:b/>
          <w:bCs/>
          <w:color w:val="auto"/>
          <w:kern w:val="0"/>
          <w:sz w:val="22"/>
          <w:szCs w:val="22"/>
          <w:highlight w:val="none"/>
          <w:lang w:eastAsia="zh-CN" w:bidi="ar"/>
        </w:rPr>
        <w:t>综合</w:t>
      </w:r>
      <w:r>
        <w:rPr>
          <w:rFonts w:hint="eastAsia" w:ascii="宋体" w:eastAsia="宋体" w:cs="宋体"/>
          <w:b/>
          <w:bCs/>
          <w:color w:val="auto"/>
          <w:kern w:val="0"/>
          <w:sz w:val="22"/>
          <w:szCs w:val="22"/>
          <w:highlight w:val="none"/>
          <w:lang w:bidi="ar"/>
        </w:rPr>
        <w:t>部分：</w:t>
      </w:r>
      <w:r>
        <w:rPr>
          <w:rFonts w:hint="eastAsia" w:ascii="宋体" w:cs="宋体"/>
          <w:b/>
          <w:bCs/>
          <w:color w:val="auto"/>
          <w:kern w:val="0"/>
          <w:sz w:val="22"/>
          <w:szCs w:val="22"/>
          <w:highlight w:val="none"/>
          <w:lang w:val="en-US" w:eastAsia="zh-CN" w:bidi="ar"/>
        </w:rPr>
        <w:t>25</w:t>
      </w:r>
      <w:r>
        <w:rPr>
          <w:rFonts w:hint="eastAsia" w:ascii="宋体" w:eastAsia="宋体" w:cs="宋体"/>
          <w:b/>
          <w:bCs/>
          <w:color w:val="auto"/>
          <w:kern w:val="0"/>
          <w:sz w:val="22"/>
          <w:szCs w:val="22"/>
          <w:highlight w:val="none"/>
          <w:lang w:bidi="ar"/>
        </w:rPr>
        <w:t>分；</w:t>
      </w:r>
    </w:p>
    <w:tbl>
      <w:tblPr>
        <w:tblStyle w:val="30"/>
        <w:tblW w:w="871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85"/>
        <w:gridCol w:w="1815"/>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vertAlign w:val="baseline"/>
                <w:lang w:val="en-US" w:eastAsia="zh-CN"/>
              </w:rPr>
            </w:pPr>
            <w:r>
              <w:rPr>
                <w:rFonts w:hint="eastAsia"/>
                <w:b/>
                <w:bCs/>
                <w:vertAlign w:val="baseline"/>
                <w:lang w:val="en-US" w:eastAsia="zh-CN"/>
              </w:rPr>
              <w:t>序号</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vertAlign w:val="baseline"/>
                <w:lang w:val="en-US" w:eastAsia="zh-CN"/>
              </w:rPr>
            </w:pPr>
            <w:r>
              <w:rPr>
                <w:rFonts w:hint="eastAsia"/>
                <w:b/>
                <w:bCs/>
                <w:vertAlign w:val="baseline"/>
                <w:lang w:val="en-US" w:eastAsia="zh-CN"/>
              </w:rPr>
              <w:t>评审因素</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vertAlign w:val="baseline"/>
                <w:lang w:val="en-US" w:eastAsia="zh-CN"/>
              </w:rPr>
            </w:pPr>
            <w:r>
              <w:rPr>
                <w:rFonts w:hint="eastAsia"/>
                <w:b/>
                <w:bCs/>
                <w:vertAlign w:val="baseline"/>
                <w:lang w:val="en-US" w:eastAsia="zh-CN"/>
              </w:rPr>
              <w:t>分值</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vertAlign w:val="baseline"/>
                <w:lang w:val="en-US" w:eastAsia="zh-CN"/>
              </w:rPr>
            </w:pPr>
            <w:r>
              <w:rPr>
                <w:rFonts w:hint="eastAsia"/>
                <w:b/>
                <w:bCs/>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8"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1</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vertAlign w:val="baseline"/>
                <w:lang w:val="en-US" w:eastAsia="zh-CN"/>
              </w:rPr>
            </w:pPr>
            <w:r>
              <w:rPr>
                <w:rFonts w:hint="eastAsia"/>
                <w:vertAlign w:val="baseline"/>
                <w:lang w:val="en-US" w:eastAsia="zh-CN"/>
              </w:rPr>
              <w:t>报价部分30分</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报价（30分）</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vertAlign w:val="baseline"/>
                <w:lang w:val="en-US" w:eastAsia="zh-CN"/>
              </w:rPr>
            </w:pPr>
            <w:r>
              <w:rPr>
                <w:rFonts w:hint="eastAsia"/>
                <w:vertAlign w:val="baseline"/>
                <w:lang w:val="en-US" w:eastAsia="zh-CN"/>
              </w:rPr>
              <w:t>满足磋商文件要求且最后报价最低的供应商的价格为磋商基准价，其价格分为满分。其他供应商的价格统一按照下列公式计算：</w:t>
            </w:r>
          </w:p>
          <w:p>
            <w:pPr>
              <w:jc w:val="both"/>
              <w:rPr>
                <w:rFonts w:hint="eastAsia"/>
                <w:vertAlign w:val="baseline"/>
                <w:lang w:val="en-US" w:eastAsia="zh-CN"/>
              </w:rPr>
            </w:pPr>
            <w:r>
              <w:rPr>
                <w:rFonts w:hint="eastAsia"/>
                <w:vertAlign w:val="baseline"/>
                <w:lang w:val="en-US" w:eastAsia="zh-CN"/>
              </w:rPr>
              <w:t>磋商报价得分=（磋商基准价/最后磋商报价）</w:t>
            </w:r>
            <w:r>
              <w:rPr>
                <w:rFonts w:hint="default" w:ascii="Arial" w:hAnsi="Arial" w:cs="Arial"/>
                <w:vertAlign w:val="baseline"/>
                <w:lang w:val="en-US" w:eastAsia="zh-CN"/>
              </w:rPr>
              <w:t>×</w:t>
            </w:r>
            <w:r>
              <w:rPr>
                <w:rFonts w:hint="eastAsia"/>
                <w:vertAlign w:val="baseline"/>
                <w:lang w:val="en-US" w:eastAsia="zh-CN"/>
              </w:rPr>
              <w:t>价格权值（30分）</w:t>
            </w:r>
            <w:r>
              <w:rPr>
                <w:rFonts w:hint="default" w:ascii="Arial" w:hAnsi="Arial" w:cs="Arial"/>
                <w:vertAlign w:val="baseline"/>
                <w:lang w:val="en-US" w:eastAsia="zh-CN"/>
              </w:rPr>
              <w:t>×</w:t>
            </w:r>
            <w:r>
              <w:rPr>
                <w:rFonts w:hint="eastAsia"/>
                <w:vertAlign w:val="baseline"/>
                <w:lang w:val="en-US" w:eastAsia="zh-CN"/>
              </w:rPr>
              <w:t>100%</w:t>
            </w:r>
          </w:p>
          <w:p>
            <w:pPr>
              <w:jc w:val="both"/>
              <w:rPr>
                <w:rFonts w:hint="eastAsia"/>
                <w:vertAlign w:val="baseline"/>
                <w:lang w:val="en-US" w:eastAsia="zh-CN"/>
              </w:rPr>
            </w:pPr>
            <w:r>
              <w:rPr>
                <w:rFonts w:hint="eastAsia"/>
                <w:vertAlign w:val="baseline"/>
                <w:lang w:val="en-US" w:eastAsia="zh-CN"/>
              </w:rPr>
              <w:t>注：1、价格分计算保留小数点后两位。</w:t>
            </w:r>
          </w:p>
          <w:p>
            <w:pPr>
              <w:jc w:val="both"/>
              <w:rPr>
                <w:rFonts w:hint="default"/>
                <w:lang w:val="en-US" w:eastAsia="zh-CN"/>
              </w:rPr>
            </w:pPr>
            <w:r>
              <w:rPr>
                <w:rFonts w:hint="eastAsia"/>
                <w:vertAlign w:val="baseline"/>
                <w:lang w:val="en-US" w:eastAsia="zh-CN"/>
              </w:rPr>
              <w:t>评委委员会认为投标供应商的价格明显低于其他通过符合性审查投标供应商的报价，有可能影响产品/或者不能诚信履约的，应当要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2</w:t>
            </w:r>
          </w:p>
        </w:tc>
        <w:tc>
          <w:tcPr>
            <w:tcW w:w="118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技术部分（45分）</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vertAlign w:val="baseline"/>
                <w:lang w:val="en-US" w:eastAsia="zh-CN"/>
              </w:rPr>
            </w:pPr>
            <w:r>
              <w:rPr>
                <w:rFonts w:hint="eastAsia"/>
                <w:vertAlign w:val="baseline"/>
                <w:lang w:val="en-US" w:eastAsia="zh-CN"/>
              </w:rPr>
              <w:t>安全文明生产管理体系与措施（5分）</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vertAlign w:val="baseline"/>
                <w:lang w:val="en-US" w:eastAsia="zh-CN"/>
              </w:rPr>
            </w:pPr>
            <w:r>
              <w:rPr>
                <w:rFonts w:hint="eastAsia"/>
                <w:vertAlign w:val="baseline"/>
                <w:lang w:val="en-US" w:eastAsia="zh-CN"/>
              </w:rPr>
              <w:t>根据管理体系和措施的合理、科学性等方面完整详细得5分，</w:t>
            </w:r>
          </w:p>
          <w:p>
            <w:pPr>
              <w:jc w:val="both"/>
              <w:rPr>
                <w:rFonts w:hint="eastAsia"/>
                <w:vertAlign w:val="baseline"/>
                <w:lang w:val="en-US" w:eastAsia="zh-CN"/>
              </w:rPr>
            </w:pPr>
            <w:r>
              <w:rPr>
                <w:rFonts w:hint="eastAsia"/>
                <w:vertAlign w:val="baseline"/>
                <w:lang w:val="en-US" w:eastAsia="zh-CN"/>
              </w:rPr>
              <w:t>措施切合实际、合理得3分，</w:t>
            </w:r>
          </w:p>
          <w:p>
            <w:pPr>
              <w:jc w:val="both"/>
              <w:rPr>
                <w:rFonts w:hint="eastAsia"/>
                <w:vertAlign w:val="baseline"/>
                <w:lang w:val="en-US" w:eastAsia="zh-CN"/>
              </w:rPr>
            </w:pPr>
            <w:r>
              <w:rPr>
                <w:rFonts w:hint="eastAsia"/>
                <w:vertAlign w:val="baseline"/>
                <w:lang w:val="en-US" w:eastAsia="zh-CN"/>
              </w:rPr>
              <w:t>措施较明确，有待完善得1分，</w:t>
            </w:r>
          </w:p>
          <w:p>
            <w:pPr>
              <w:jc w:val="both"/>
              <w:rPr>
                <w:rFonts w:hint="default"/>
                <w:lang w:val="en-US" w:eastAsia="zh-CN"/>
              </w:rPr>
            </w:pPr>
            <w:r>
              <w:rPr>
                <w:rFonts w:hint="eastAsia"/>
                <w:vertAlign w:val="baseline"/>
                <w:lang w:val="en-US" w:eastAsia="zh-CN"/>
              </w:rPr>
              <w:t>未提供得不得分。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p>
        </w:tc>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环境保护管理体系与措施（5分）</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vertAlign w:val="baseline"/>
                <w:lang w:val="en-US" w:eastAsia="zh-CN"/>
              </w:rPr>
            </w:pPr>
            <w:r>
              <w:rPr>
                <w:rFonts w:hint="eastAsia"/>
                <w:vertAlign w:val="baseline"/>
                <w:lang w:val="en-US" w:eastAsia="zh-CN"/>
              </w:rPr>
              <w:t>环境保护管理体系与措施分析到位，思路清晰、全面合理得5分，</w:t>
            </w:r>
          </w:p>
          <w:p>
            <w:pPr>
              <w:jc w:val="both"/>
              <w:rPr>
                <w:rFonts w:hint="eastAsia"/>
                <w:vertAlign w:val="baseline"/>
                <w:lang w:val="en-US" w:eastAsia="zh-CN"/>
              </w:rPr>
            </w:pPr>
            <w:r>
              <w:rPr>
                <w:rFonts w:hint="eastAsia"/>
                <w:vertAlign w:val="baseline"/>
                <w:lang w:val="en-US" w:eastAsia="zh-CN"/>
              </w:rPr>
              <w:t>环境保护管理体系与措施分析到位，思路清晰得3分，</w:t>
            </w:r>
          </w:p>
          <w:p>
            <w:pPr>
              <w:jc w:val="both"/>
              <w:rPr>
                <w:rFonts w:hint="eastAsia"/>
                <w:vertAlign w:val="baseline"/>
                <w:lang w:val="en-US" w:eastAsia="zh-CN"/>
              </w:rPr>
            </w:pPr>
            <w:r>
              <w:rPr>
                <w:rFonts w:hint="eastAsia"/>
                <w:vertAlign w:val="baseline"/>
                <w:lang w:val="en-US" w:eastAsia="zh-CN"/>
              </w:rPr>
              <w:t>环境保护管理体系与措施思路基本到位得1分，</w:t>
            </w:r>
          </w:p>
          <w:p>
            <w:pPr>
              <w:jc w:val="both"/>
              <w:rPr>
                <w:rFonts w:hint="default"/>
                <w:lang w:val="en-US" w:eastAsia="zh-CN"/>
              </w:rPr>
            </w:pPr>
            <w:r>
              <w:rPr>
                <w:rFonts w:hint="eastAsia"/>
                <w:vertAlign w:val="baseline"/>
                <w:lang w:val="en-US" w:eastAsia="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p>
        </w:tc>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质量保证体系及控制措施（5分）</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vertAlign w:val="baseline"/>
                <w:lang w:val="en-US" w:eastAsia="zh-CN"/>
              </w:rPr>
            </w:pPr>
            <w:r>
              <w:rPr>
                <w:rFonts w:hint="eastAsia"/>
                <w:vertAlign w:val="baseline"/>
                <w:lang w:val="en-US" w:eastAsia="zh-CN"/>
              </w:rPr>
              <w:t>质量保证体系及控制措施分析到位，思路清晰、全面合理得5分，</w:t>
            </w:r>
          </w:p>
          <w:p>
            <w:pPr>
              <w:jc w:val="both"/>
              <w:rPr>
                <w:rFonts w:hint="eastAsia"/>
                <w:vertAlign w:val="baseline"/>
                <w:lang w:val="en-US" w:eastAsia="zh-CN"/>
              </w:rPr>
            </w:pPr>
            <w:r>
              <w:rPr>
                <w:rFonts w:hint="eastAsia"/>
                <w:vertAlign w:val="baseline"/>
                <w:lang w:val="en-US" w:eastAsia="zh-CN"/>
              </w:rPr>
              <w:t>质量保证体系及控制措施分析到位，思路清晰得3分，</w:t>
            </w:r>
          </w:p>
          <w:p>
            <w:pPr>
              <w:jc w:val="both"/>
              <w:rPr>
                <w:rFonts w:hint="eastAsia"/>
                <w:vertAlign w:val="baseline"/>
                <w:lang w:val="en-US" w:eastAsia="zh-CN"/>
              </w:rPr>
            </w:pPr>
            <w:r>
              <w:rPr>
                <w:rFonts w:hint="eastAsia"/>
                <w:vertAlign w:val="baseline"/>
                <w:lang w:val="en-US" w:eastAsia="zh-CN"/>
              </w:rPr>
              <w:t>质量保证体系及控制措施思路基本到位得1分，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eastAsia="宋体"/>
                <w:vertAlign w:val="baseline"/>
                <w:lang w:val="en-US" w:eastAsia="zh-CN"/>
              </w:rPr>
            </w:pPr>
            <w:r>
              <w:rPr>
                <w:rFonts w:hint="eastAsia"/>
                <w:vertAlign w:val="baseline"/>
                <w:lang w:val="en-US" w:eastAsia="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p>
        </w:tc>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资源配备计划（5分）</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vertAlign w:val="baseline"/>
                <w:lang w:val="en-US" w:eastAsia="zh-CN"/>
              </w:rPr>
            </w:pPr>
            <w:r>
              <w:rPr>
                <w:rFonts w:hint="eastAsia"/>
                <w:vertAlign w:val="baseline"/>
                <w:lang w:val="en-US" w:eastAsia="zh-CN"/>
              </w:rPr>
              <w:t>资源配备计划全面满足本项目需要，调配投入计划合理、准确得5分，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vertAlign w:val="baseline"/>
                <w:lang w:val="en-US" w:eastAsia="zh-CN"/>
              </w:rPr>
            </w:pPr>
            <w:r>
              <w:rPr>
                <w:rFonts w:hint="eastAsia"/>
                <w:vertAlign w:val="baseline"/>
                <w:lang w:val="en-US" w:eastAsia="zh-CN"/>
              </w:rPr>
              <w:t>资源配备计划基本满足本项目需要，调配投入计划合理、准确得3分，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lang w:val="en-US" w:eastAsia="zh-CN"/>
              </w:rPr>
            </w:pPr>
            <w:r>
              <w:rPr>
                <w:rFonts w:hint="eastAsia"/>
                <w:vertAlign w:val="baseline"/>
                <w:lang w:val="en-US" w:eastAsia="zh-CN"/>
              </w:rPr>
              <w:t>资源配备计划全面不满足本项目需要，得0分，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p>
        </w:tc>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供货期的进度安排及控制措施（5分）</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宋体"/>
                <w:vertAlign w:val="baseline"/>
                <w:lang w:val="en-US" w:eastAsia="zh-CN"/>
              </w:rPr>
            </w:pPr>
            <w:r>
              <w:rPr>
                <w:rFonts w:hint="eastAsia"/>
                <w:vertAlign w:val="baseline"/>
                <w:lang w:val="en-US" w:eastAsia="zh-CN"/>
              </w:rPr>
              <w:t>供货期的进度安排及控制措施切合实际、完整详细得5分，进度安排及控制措施切合实际，合理得2分，进度安排及控制措施较明确，有待完善得1分，未提供的不得分。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p>
        </w:tc>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vertAlign w:val="baseline"/>
                <w:lang w:val="en-US" w:eastAsia="zh-CN"/>
              </w:rPr>
            </w:pPr>
            <w:r>
              <w:rPr>
                <w:rFonts w:hint="eastAsia"/>
                <w:vertAlign w:val="baseline"/>
                <w:lang w:val="en-US" w:eastAsia="zh-CN"/>
              </w:rPr>
              <w:t>产品供货、安装、调试方案（5分）</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vertAlign w:val="baseline"/>
                <w:lang w:val="en-US" w:eastAsia="zh-CN"/>
              </w:rPr>
            </w:pPr>
            <w:r>
              <w:rPr>
                <w:rFonts w:hint="eastAsia"/>
                <w:vertAlign w:val="baseline"/>
                <w:lang w:val="en-US" w:eastAsia="zh-CN"/>
              </w:rPr>
              <w:t>供应商针对本项目应编制安装调试配合方案，根据实施方案得可行性、全面性、对本项目有采购需求的满足程度进行评审，全面合理、详细、切实可行，且完整的得5分；合理可行且完整的得3分；不够详细但合理，且完整的得1分，未提供项目实施方案的得0分。</w:t>
            </w:r>
          </w:p>
          <w:p>
            <w:pPr>
              <w:jc w:val="both"/>
              <w:rPr>
                <w:rFonts w:hint="default"/>
                <w:lang w:val="en-US" w:eastAsia="zh-CN"/>
              </w:rPr>
            </w:pPr>
            <w:r>
              <w:rPr>
                <w:rFonts w:hint="eastAsia"/>
                <w:vertAlign w:val="baseline"/>
                <w:lang w:val="en-US" w:eastAsia="zh-CN"/>
              </w:rPr>
              <w:t>注：项目实施方案中存在不适用项目情况的情形、凭空编造、逻辑漏洞、科学原理以及不可能实现的夸大情形等，不得分。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p>
        </w:tc>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规划重点难点分析（3分）</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宋体"/>
                <w:vertAlign w:val="baseline"/>
                <w:lang w:val="en-US" w:eastAsia="zh-CN"/>
              </w:rPr>
            </w:pPr>
            <w:r>
              <w:rPr>
                <w:rFonts w:hint="eastAsia"/>
                <w:vertAlign w:val="baseline"/>
                <w:lang w:val="en-US" w:eastAsia="zh-CN"/>
              </w:rPr>
              <w:t>对该项工作的重点、难点分析清晰明确，工作建议全面贴合项目实际的得3分；分析和建议合理的得2分；基本满足的得1分；未提供的不得分。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0"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p>
        </w:tc>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vertAlign w:val="baseline"/>
                <w:lang w:val="en-US" w:eastAsia="zh-CN"/>
              </w:rPr>
            </w:pPr>
            <w:r>
              <w:rPr>
                <w:rFonts w:hint="eastAsia"/>
                <w:vertAlign w:val="baseline"/>
                <w:lang w:val="en-US" w:eastAsia="zh-CN"/>
              </w:rPr>
              <w:t>人员培训计划安装服务承诺（6分）</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宋体"/>
                <w:vertAlign w:val="baseline"/>
                <w:lang w:val="en-US" w:eastAsia="zh-CN"/>
              </w:rPr>
            </w:pPr>
            <w:r>
              <w:rPr>
                <w:rFonts w:hint="eastAsia"/>
                <w:vertAlign w:val="baseline"/>
                <w:lang w:val="en-US" w:eastAsia="zh-CN"/>
              </w:rPr>
              <w:t>供应商提供的人员技术培训安装服务内容、培训方式、培训次数以及问题解答时间等内容全面、合理得6分，基本详细得3分，内容欠缺较差得1分，未提供的不得分。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8"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p>
        </w:tc>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质保期内和质保期外服务承诺（6分）</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vertAlign w:val="baseline"/>
                <w:lang w:val="en-US" w:eastAsia="zh-CN"/>
              </w:rPr>
            </w:pPr>
            <w:r>
              <w:rPr>
                <w:rFonts w:hint="eastAsia"/>
                <w:vertAlign w:val="baseline"/>
                <w:lang w:val="en-US" w:eastAsia="zh-CN"/>
              </w:rPr>
              <w:t>有完善的售后服务队伍，根据提供质保期内和质保期外服务方案内容详细、完善，有针对性，可执行性较强得4分；</w:t>
            </w:r>
          </w:p>
          <w:p>
            <w:pPr>
              <w:jc w:val="both"/>
              <w:rPr>
                <w:rFonts w:hint="eastAsia"/>
                <w:vertAlign w:val="baseline"/>
                <w:lang w:val="en-US" w:eastAsia="zh-CN"/>
              </w:rPr>
            </w:pPr>
            <w:r>
              <w:rPr>
                <w:rFonts w:hint="eastAsia"/>
                <w:vertAlign w:val="baseline"/>
                <w:lang w:val="en-US" w:eastAsia="zh-CN"/>
              </w:rPr>
              <w:t>质保期内和质保期外服务方案内容基本详细、完善，针对性一般，基本满足磋商文件及采购人的要求得2分；</w:t>
            </w:r>
          </w:p>
          <w:p>
            <w:pPr>
              <w:jc w:val="both"/>
              <w:rPr>
                <w:rFonts w:hint="eastAsia"/>
                <w:vertAlign w:val="baseline"/>
                <w:lang w:val="en-US" w:eastAsia="zh-CN"/>
              </w:rPr>
            </w:pPr>
            <w:r>
              <w:rPr>
                <w:rFonts w:hint="eastAsia"/>
                <w:vertAlign w:val="baseline"/>
                <w:lang w:val="en-US" w:eastAsia="zh-CN"/>
              </w:rPr>
              <w:t>服务内容不详细、不完善，针对性差的得1分；不提供不得分。</w:t>
            </w:r>
          </w:p>
          <w:p>
            <w:pPr>
              <w:jc w:val="both"/>
              <w:rPr>
                <w:rFonts w:hint="default"/>
                <w:lang w:val="en-US" w:eastAsia="zh-CN"/>
              </w:rPr>
            </w:pPr>
            <w:r>
              <w:rPr>
                <w:rFonts w:hint="eastAsia"/>
                <w:vertAlign w:val="baseline"/>
                <w:lang w:val="en-US" w:eastAsia="zh-CN"/>
              </w:rPr>
              <w:t>其他实质性优惠承诺：具有含免费保修期后长期保修，维护，服务以及今后技术支持的措施计划和承诺，收费维修维护的内容，费用及服务方式，范围（产品，技术）等的得2分，内容不完整的不得分。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3</w:t>
            </w:r>
          </w:p>
        </w:tc>
        <w:tc>
          <w:tcPr>
            <w:tcW w:w="118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vertAlign w:val="baseline"/>
                <w:lang w:val="en-US" w:eastAsia="zh-CN"/>
              </w:rPr>
            </w:pPr>
            <w:r>
              <w:rPr>
                <w:rFonts w:hint="eastAsia"/>
                <w:vertAlign w:val="baseline"/>
                <w:lang w:val="en-US" w:eastAsia="zh-CN"/>
              </w:rPr>
              <w:t>综合部分（25分）</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业绩（6分）</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宋体"/>
                <w:vertAlign w:val="baseline"/>
                <w:lang w:val="en-US" w:eastAsia="zh-CN"/>
              </w:rPr>
            </w:pPr>
            <w:r>
              <w:rPr>
                <w:rFonts w:hint="eastAsia"/>
                <w:vertAlign w:val="baseline"/>
                <w:lang w:val="en-US" w:eastAsia="zh-CN"/>
              </w:rPr>
              <w:t>供应商具有自2020年以来类似业绩的，每有一份得2分，最高得6分。（投标文件中附中标公示查询截图、中标通知书、合同协议书原件扫描件、否则不得分）。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p>
        </w:tc>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vertAlign w:val="baseline"/>
                <w:lang w:val="en-US" w:eastAsia="zh-CN"/>
              </w:rPr>
            </w:pPr>
            <w:r>
              <w:rPr>
                <w:rFonts w:hint="eastAsia"/>
                <w:vertAlign w:val="baseline"/>
                <w:lang w:val="en-US" w:eastAsia="zh-CN"/>
              </w:rPr>
              <w:t>体系认证（3分）</w:t>
            </w:r>
          </w:p>
        </w:tc>
        <w:tc>
          <w:tcPr>
            <w:tcW w:w="5040" w:type="dxa"/>
            <w:vAlign w:val="center"/>
          </w:tcPr>
          <w:p>
            <w:pPr>
              <w:jc w:val="both"/>
              <w:rPr>
                <w:rFonts w:hint="eastAsia"/>
                <w:lang w:val="en-US" w:eastAsia="zh-CN"/>
              </w:rPr>
            </w:pPr>
            <w:r>
              <w:rPr>
                <w:rFonts w:hint="eastAsia"/>
                <w:lang w:val="en-US" w:eastAsia="zh-CN"/>
              </w:rPr>
              <w:t>供应商具有在有效期内的质量管理体系认证、环境管理体系认证、职业健康安全管理体系认证，每个得1分，最高得3分。</w:t>
            </w:r>
          </w:p>
          <w:p>
            <w:pPr>
              <w:jc w:val="both"/>
              <w:rPr>
                <w:rFonts w:hint="eastAsia"/>
                <w:lang w:val="en-US" w:eastAsia="zh-CN"/>
              </w:rPr>
            </w:pPr>
            <w:r>
              <w:rPr>
                <w:rFonts w:hint="eastAsia"/>
                <w:lang w:val="en-US" w:eastAsia="zh-CN"/>
              </w:rPr>
              <w:t>注：须提供有效期内的相关证书扫描件。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p>
        </w:tc>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color w:val="auto"/>
                <w:vertAlign w:val="baseline"/>
                <w:lang w:val="en-US" w:eastAsia="zh-CN"/>
              </w:rPr>
              <w:t>企业荣誉（13分）</w:t>
            </w:r>
          </w:p>
        </w:tc>
        <w:tc>
          <w:tcPr>
            <w:tcW w:w="5040" w:type="dxa"/>
            <w:vAlign w:val="center"/>
          </w:tcPr>
          <w:p>
            <w:pPr>
              <w:numPr>
                <w:ilvl w:val="0"/>
                <w:numId w:val="3"/>
              </w:numPr>
              <w:ind w:left="0" w:leftChars="0" w:firstLine="0" w:firstLineChars="0"/>
              <w:jc w:val="both"/>
              <w:rPr>
                <w:rFonts w:hint="default"/>
                <w:lang w:val="en-US" w:eastAsia="zh-CN"/>
              </w:rPr>
            </w:pPr>
            <w:r>
              <w:rPr>
                <w:rFonts w:hint="eastAsia"/>
                <w:lang w:val="en-US" w:eastAsia="zh-CN"/>
              </w:rPr>
              <w:t>供应商具有中国质量认证中心颁发的节能产品认证证书的得3分，没有不得分；</w:t>
            </w:r>
          </w:p>
          <w:p>
            <w:pPr>
              <w:pStyle w:val="2"/>
              <w:numPr>
                <w:ilvl w:val="0"/>
                <w:numId w:val="3"/>
              </w:numPr>
              <w:ind w:left="0" w:leftChars="0" w:firstLine="0" w:firstLineChars="0"/>
              <w:jc w:val="both"/>
              <w:rPr>
                <w:rFonts w:hint="eastAsia"/>
                <w:lang w:val="en-US" w:eastAsia="zh-CN"/>
              </w:rPr>
            </w:pPr>
            <w:r>
              <w:rPr>
                <w:rFonts w:hint="eastAsia"/>
                <w:lang w:val="en-US" w:eastAsia="zh-CN"/>
              </w:rPr>
              <w:t>供应商具有AAA级信用企业证书的得5分，没有不得分；</w:t>
            </w:r>
          </w:p>
          <w:p>
            <w:pPr>
              <w:pStyle w:val="2"/>
              <w:numPr>
                <w:ilvl w:val="0"/>
                <w:numId w:val="3"/>
              </w:numPr>
              <w:ind w:left="0" w:leftChars="0" w:firstLine="0" w:firstLineChars="0"/>
              <w:jc w:val="both"/>
              <w:rPr>
                <w:rFonts w:hint="default"/>
                <w:lang w:val="en-US" w:eastAsia="zh-CN"/>
              </w:rPr>
            </w:pPr>
            <w:r>
              <w:rPr>
                <w:rFonts w:hint="eastAsia"/>
                <w:lang w:val="en-US" w:eastAsia="zh-CN"/>
              </w:rPr>
              <w:t>供应商具有高新技术企业证书的得5分，没有不得分；</w:t>
            </w:r>
          </w:p>
          <w:p>
            <w:pPr>
              <w:jc w:val="both"/>
              <w:rPr>
                <w:rFonts w:hint="default"/>
                <w:lang w:val="en-US" w:eastAsia="zh-CN"/>
              </w:rPr>
            </w:pPr>
            <w:r>
              <w:rPr>
                <w:rFonts w:hint="eastAsia"/>
                <w:lang w:val="en-US" w:eastAsia="zh-CN"/>
              </w:rPr>
              <w:t>以上证件需提供加盖制造商公章的复印件。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67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p>
        </w:tc>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vertAlign w:val="baseline"/>
              </w:rPr>
            </w:pP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vertAlign w:val="baseline"/>
                <w:lang w:val="en-US" w:eastAsia="zh-CN"/>
              </w:rPr>
            </w:pPr>
            <w:r>
              <w:rPr>
                <w:rFonts w:hint="eastAsia"/>
                <w:vertAlign w:val="baseline"/>
                <w:lang w:val="en-US" w:eastAsia="zh-CN"/>
              </w:rPr>
              <w:t>履职尽责承诺（3分）</w:t>
            </w:r>
          </w:p>
        </w:tc>
        <w:tc>
          <w:tcPr>
            <w:tcW w:w="50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宋体"/>
                <w:vertAlign w:val="baseline"/>
                <w:lang w:val="en-US" w:eastAsia="zh-CN"/>
              </w:rPr>
            </w:pPr>
            <w:r>
              <w:rPr>
                <w:rFonts w:hint="eastAsia"/>
                <w:vertAlign w:val="baseline"/>
                <w:lang w:val="en-US" w:eastAsia="zh-CN"/>
              </w:rPr>
              <w:t>具有全面、详实、可行、合法有效的书面保证技术措施落实到位的承诺和落实不到位的处理承诺，其中包括项目负责人的在岗、更换等履职尽责承诺，提供供应商履约保证。根据各供应商承诺内容综合评定，优得3分，良得2分，一般得1分，缺项不得分。</w:t>
            </w: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1.磋商小组根据磋商文件要求，在满足符合性审查的前提下，对技术标部分、综合部分、</w:t>
      </w:r>
      <w:r>
        <w:rPr>
          <w:rFonts w:hint="eastAsia"/>
          <w:lang w:eastAsia="zh-CN"/>
        </w:rPr>
        <w:t>报价</w:t>
      </w:r>
      <w:r>
        <w:rPr>
          <w:rFonts w:hint="eastAsia"/>
        </w:rPr>
        <w:t>部分的分值实行磋商小组署名评审打分，平均值为该项得分。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2.统分原则：供应商最终得分=报价分值得分+技术分值得分+</w:t>
      </w:r>
      <w:r>
        <w:rPr>
          <w:rFonts w:hint="eastAsia"/>
          <w:lang w:eastAsia="zh-CN"/>
        </w:rPr>
        <w:t>综合</w:t>
      </w:r>
      <w:r>
        <w:rPr>
          <w:rFonts w:hint="eastAsia"/>
        </w:rPr>
        <w:t>分值得分（所有得分四舍五入取小数点后两位）。</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3.磋商小组根据综合评分情况，按照评审得分由高到低顺序推荐</w:t>
      </w:r>
      <w:r>
        <w:rPr>
          <w:rFonts w:hint="eastAsia"/>
          <w:lang w:val="en-US" w:eastAsia="zh-CN"/>
        </w:rPr>
        <w:t>1</w:t>
      </w:r>
      <w:r>
        <w:rPr>
          <w:rFonts w:hint="eastAsia"/>
        </w:rPr>
        <w:t>名成交候选供应商，并编写评审报告。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4.最终得分一致时报价低的优先。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5.</w:t>
      </w:r>
      <w: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6.若供应商的最后报价高于项目预算，磋商小组有权拒绝该报价。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7. 在竞争性磋商期间，采购代理机构将有专门人员与供应商进行联络。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8.竞争性磋商终止</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8.1出现下列情形之一的，采购人或者采购代理机构应当终止竞争性磋商采购活动，发布项目终止公告并说明原因，重新开展采购活动：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　　 （一）因情况变化，不再符合规定的竞争性磋商采购方式适用情形的；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　　 （二）出现影响采购公正的违法、违规行为的；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　　 （三）除《政府采购竞争性磋商采购方式管理暂行办法》第二十一条第三款规定的情形外，在采购过程中符合要求的供应商或者报价未超过采购预算的供应商不足3家的。</w:t>
      </w:r>
      <w:bookmarkEnd w:id="70"/>
      <w:bookmarkEnd w:id="71"/>
      <w:bookmarkEnd w:id="72"/>
      <w:bookmarkEnd w:id="73"/>
      <w:bookmarkEnd w:id="74"/>
      <w:bookmarkEnd w:id="75"/>
      <w:bookmarkEnd w:id="76"/>
      <w:bookmarkEnd w:id="77"/>
      <w:bookmarkEnd w:id="78"/>
      <w:bookmarkEnd w:id="79"/>
      <w:bookmarkEnd w:id="80"/>
    </w:p>
    <w:p>
      <w:pPr>
        <w:pStyle w:val="14"/>
        <w:rPr>
          <w:color w:val="auto"/>
          <w:highlight w:val="none"/>
        </w:rPr>
      </w:pPr>
      <w:r>
        <w:rPr>
          <w:rFonts w:hint="eastAsia" w:ascii="宋体" w:cs="宋体"/>
          <w:color w:val="auto"/>
          <w:kern w:val="0"/>
          <w:szCs w:val="21"/>
          <w:highlight w:val="none"/>
        </w:rPr>
        <w:br w:type="page"/>
      </w:r>
    </w:p>
    <w:bookmarkEnd w:id="81"/>
    <w:p>
      <w:pPr>
        <w:pStyle w:val="9"/>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kern w:val="0"/>
          <w:sz w:val="32"/>
          <w:szCs w:val="32"/>
          <w:lang w:val="en-US" w:eastAsia="zh-CN" w:bidi="ar-SA"/>
        </w:rPr>
      </w:pPr>
      <w:bookmarkStart w:id="82" w:name="_Toc876"/>
      <w:r>
        <w:rPr>
          <w:rFonts w:hint="eastAsia" w:ascii="宋体" w:hAnsi="宋体" w:eastAsia="宋体" w:cs="宋体"/>
          <w:b/>
          <w:bCs/>
          <w:color w:val="000000"/>
          <w:kern w:val="0"/>
          <w:sz w:val="32"/>
          <w:szCs w:val="32"/>
          <w:lang w:val="en-US" w:eastAsia="zh-CN" w:bidi="ar-SA"/>
        </w:rPr>
        <w:t>采购需求及内容</w:t>
      </w:r>
      <w:bookmarkEnd w:id="82"/>
    </w:p>
    <w:p>
      <w:pPr>
        <w:spacing w:line="440" w:lineRule="exact"/>
        <w:ind w:firstLine="420" w:firstLineChars="200"/>
        <w:rPr>
          <w:rFonts w:hint="eastAsia" w:ascii="宋体" w:hAnsi="宋体" w:eastAsia="宋体" w:cs="宋体"/>
          <w:color w:val="auto"/>
          <w:szCs w:val="21"/>
          <w:highlight w:val="none"/>
          <w:lang w:val="en-US" w:eastAsia="zh-CN"/>
        </w:rPr>
      </w:pPr>
    </w:p>
    <w:p>
      <w:pPr>
        <w:spacing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一、项目名称：</w:t>
      </w:r>
      <w:r>
        <w:rPr>
          <w:rFonts w:hint="eastAsia" w:ascii="宋体" w:hAnsi="宋体" w:cs="宋体"/>
          <w:color w:val="000000" w:themeColor="text1"/>
          <w:sz w:val="22"/>
          <w:szCs w:val="22"/>
          <w:lang w:eastAsia="zh-CN"/>
          <w14:textFill>
            <w14:solidFill>
              <w14:schemeClr w14:val="tx1"/>
            </w14:solidFill>
          </w14:textFill>
        </w:rPr>
        <w:t>温县陈家沟景区亮化项目</w:t>
      </w:r>
    </w:p>
    <w:p>
      <w:pPr>
        <w:spacing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二、项目概况：</w:t>
      </w:r>
      <w:bookmarkStart w:id="83" w:name="_Toc11838"/>
      <w:r>
        <w:rPr>
          <w:rFonts w:hint="eastAsia" w:ascii="宋体" w:hAnsi="宋体" w:eastAsia="宋体" w:cs="宋体"/>
          <w:color w:val="auto"/>
          <w:sz w:val="22"/>
          <w:szCs w:val="22"/>
          <w:highlight w:val="none"/>
          <w:lang w:val="en-US" w:eastAsia="zh-CN"/>
        </w:rPr>
        <w:t>温县陈家沟景区亮化项目主要内容：更换LED染色灯、灯笼墙灯笼、制定氛围投影灯、国潮灯笼+投影灯、互动投影一体机，加装草坪、电缆、</w:t>
      </w:r>
      <w:r>
        <w:rPr>
          <w:rFonts w:hint="eastAsia" w:ascii="宋体" w:hAnsi="宋体" w:cs="宋体"/>
          <w:color w:val="auto"/>
          <w:sz w:val="22"/>
          <w:szCs w:val="22"/>
          <w:highlight w:val="none"/>
          <w:lang w:val="en-US" w:eastAsia="zh-CN"/>
        </w:rPr>
        <w:t>萤火</w:t>
      </w:r>
      <w:r>
        <w:rPr>
          <w:rFonts w:hint="eastAsia" w:ascii="宋体" w:hAnsi="宋体" w:eastAsia="宋体" w:cs="宋体"/>
          <w:color w:val="auto"/>
          <w:sz w:val="22"/>
          <w:szCs w:val="22"/>
          <w:highlight w:val="none"/>
          <w:lang w:val="en-US" w:eastAsia="zh-CN"/>
        </w:rPr>
        <w:t>灯等。具体内容详见清单。</w:t>
      </w:r>
    </w:p>
    <w:p>
      <w:pPr>
        <w:spacing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三、采购内容及参数要求</w:t>
      </w:r>
      <w:bookmarkEnd w:id="83"/>
    </w:p>
    <w:tbl>
      <w:tblPr>
        <w:tblStyle w:val="29"/>
        <w:tblW w:w="8798" w:type="dxa"/>
        <w:jc w:val="center"/>
        <w:tblLayout w:type="fixed"/>
        <w:tblCellMar>
          <w:top w:w="15" w:type="dxa"/>
          <w:left w:w="15" w:type="dxa"/>
          <w:bottom w:w="15" w:type="dxa"/>
          <w:right w:w="15" w:type="dxa"/>
        </w:tblCellMar>
      </w:tblPr>
      <w:tblGrid>
        <w:gridCol w:w="741"/>
        <w:gridCol w:w="2067"/>
        <w:gridCol w:w="753"/>
        <w:gridCol w:w="702"/>
        <w:gridCol w:w="4535"/>
      </w:tblGrid>
      <w:tr>
        <w:tblPrEx>
          <w:tblCellMar>
            <w:top w:w="15" w:type="dxa"/>
            <w:left w:w="15" w:type="dxa"/>
            <w:bottom w:w="15" w:type="dxa"/>
            <w:right w:w="15" w:type="dxa"/>
          </w:tblCellMar>
        </w:tblPrEx>
        <w:trPr>
          <w:trHeight w:val="543"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参数要求</w:t>
            </w:r>
          </w:p>
        </w:tc>
      </w:tr>
      <w:tr>
        <w:tblPrEx>
          <w:tblCellMar>
            <w:top w:w="15" w:type="dxa"/>
            <w:left w:w="15" w:type="dxa"/>
            <w:bottom w:w="15" w:type="dxa"/>
            <w:right w:w="15" w:type="dxa"/>
          </w:tblCellMar>
        </w:tblPrEx>
        <w:trPr>
          <w:trHeight w:val="2361"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LED染色灯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281</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电    压：AC220V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功    率：162W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灯体结构：压铸+光学透镜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表面处理：防紫外线静电喷塑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接    头：双头出线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防    水：IP65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颜    色：DMX512-RGBW</w:t>
            </w:r>
          </w:p>
        </w:tc>
      </w:tr>
      <w:tr>
        <w:tblPrEx>
          <w:tblCellMar>
            <w:top w:w="15" w:type="dxa"/>
            <w:left w:w="15" w:type="dxa"/>
            <w:bottom w:w="15" w:type="dxa"/>
            <w:right w:w="15" w:type="dxa"/>
          </w:tblCellMar>
        </w:tblPrEx>
        <w:trPr>
          <w:trHeight w:val="460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定制氛围投影灯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输入电压：AC110-240V ,50/60Hz</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额定功率：100W</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光源类型：LED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光源寿命：50000h</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电源类型：恒流恒压电源</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调焦方式：</w:t>
            </w:r>
            <w:r>
              <w:rPr>
                <w:rFonts w:hint="eastAsia" w:ascii="宋体" w:hAnsi="宋体" w:cs="宋体"/>
                <w:i w:val="0"/>
                <w:iCs w:val="0"/>
                <w:color w:val="000000"/>
                <w:kern w:val="0"/>
                <w:sz w:val="21"/>
                <w:szCs w:val="21"/>
                <w:u w:val="none"/>
                <w:lang w:val="en-US" w:eastAsia="zh-CN" w:bidi="ar"/>
              </w:rPr>
              <w:t>旋钮</w:t>
            </w:r>
            <w:r>
              <w:rPr>
                <w:rFonts w:hint="eastAsia" w:ascii="宋体" w:hAnsi="宋体" w:eastAsia="宋体" w:cs="宋体"/>
                <w:i w:val="0"/>
                <w:iCs w:val="0"/>
                <w:color w:val="000000"/>
                <w:kern w:val="0"/>
                <w:sz w:val="21"/>
                <w:szCs w:val="21"/>
                <w:u w:val="none"/>
                <w:lang w:val="en-US" w:eastAsia="zh-CN" w:bidi="ar"/>
              </w:rPr>
              <w:t>调焦</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灯具色温：≥7000K</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出光角度：10°-53°（可选）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光斑形状：圆形/拼接方形（可选）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颜色系统：单色（蓝 白 黄 绿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控制方式：常亮</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防护等级：IP65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产品尺寸：155*185*215mm</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产品重量：2.9KG</w:t>
            </w:r>
          </w:p>
        </w:tc>
      </w:tr>
      <w:tr>
        <w:tblPrEx>
          <w:tblCellMar>
            <w:top w:w="15" w:type="dxa"/>
            <w:left w:w="15" w:type="dxa"/>
            <w:bottom w:w="15" w:type="dxa"/>
            <w:right w:w="15" w:type="dxa"/>
          </w:tblCellMar>
        </w:tblPrEx>
        <w:trPr>
          <w:trHeight w:val="2296"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定制互动投影一体机</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3LCD激光投影技术：普通20000小时，节能25000小时，LCD显示芯片：0.64英寸芯片亮度：5000流明亮度，0.47投射比，对比度：3000000:1标准分辨率：WXGA</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1280*800)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整机功率574W，外观尺寸600*530*235mm（可根据节日不同调换不同播放效果，内容随意变换，高达几十种，雷达人体互动自动播放一体）</w:t>
            </w:r>
          </w:p>
        </w:tc>
      </w:tr>
      <w:tr>
        <w:tblPrEx>
          <w:tblCellMar>
            <w:top w:w="15" w:type="dxa"/>
            <w:left w:w="15" w:type="dxa"/>
            <w:bottom w:w="15" w:type="dxa"/>
            <w:right w:w="15" w:type="dxa"/>
          </w:tblCellMar>
        </w:tblPrEx>
        <w:trPr>
          <w:trHeight w:val="2613"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投光灯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电    压：AC220V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功    率：100W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灯体结构：压铸+光学透镜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表面处理：防紫外线静电喷塑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接    头：单头出线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防    水：IP65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颜    色：R/G/B/W/Y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发光角度：90°广角</w:t>
            </w:r>
          </w:p>
        </w:tc>
      </w:tr>
      <w:tr>
        <w:tblPrEx>
          <w:tblCellMar>
            <w:top w:w="15" w:type="dxa"/>
            <w:left w:w="15" w:type="dxa"/>
            <w:bottom w:w="15" w:type="dxa"/>
            <w:right w:w="15" w:type="dxa"/>
          </w:tblCellMar>
        </w:tblPrEx>
        <w:trPr>
          <w:trHeight w:val="268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5</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洗墙灯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400</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电    压：AC220V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功    率：24W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灯体结构：压铸+光学PMMA透镜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表面处理：防紫外线静电喷塑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接    头：双头出线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防    水：IP65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颜    色：暖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发光角度：15°</w:t>
            </w:r>
          </w:p>
        </w:tc>
      </w:tr>
      <w:tr>
        <w:tblPrEx>
          <w:tblCellMar>
            <w:top w:w="15" w:type="dxa"/>
            <w:left w:w="15" w:type="dxa"/>
            <w:bottom w:w="15" w:type="dxa"/>
            <w:right w:w="15" w:type="dxa"/>
          </w:tblCellMar>
        </w:tblPrEx>
        <w:trPr>
          <w:trHeight w:val="1401"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6</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材质：改性硅胶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IP68防水技术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显指≥80Ra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光色：金黄光</w:t>
            </w:r>
          </w:p>
        </w:tc>
      </w:tr>
      <w:tr>
        <w:tblPrEx>
          <w:tblCellMar>
            <w:top w:w="15" w:type="dxa"/>
            <w:left w:w="15" w:type="dxa"/>
            <w:bottom w:w="15" w:type="dxa"/>
            <w:right w:w="15" w:type="dxa"/>
          </w:tblCellMar>
        </w:tblPrEx>
        <w:trPr>
          <w:trHeight w:val="172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灯笼墙灯笼更换</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620</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材质：PC+PE</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光源：LED</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防水等级：IP65</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输入电压：220V</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规格尺寸：400mm*600mm</w:t>
            </w:r>
          </w:p>
        </w:tc>
      </w:tr>
      <w:tr>
        <w:tblPrEx>
          <w:tblCellMar>
            <w:top w:w="15" w:type="dxa"/>
            <w:left w:w="15" w:type="dxa"/>
            <w:bottom w:w="15" w:type="dxa"/>
            <w:right w:w="15" w:type="dxa"/>
          </w:tblCellMar>
        </w:tblPrEx>
        <w:trPr>
          <w:trHeight w:val="543"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灯笼墙包装</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主体金布包裹，表面PVC板覆盖</w:t>
            </w:r>
          </w:p>
        </w:tc>
      </w:tr>
      <w:tr>
        <w:tblPrEx>
          <w:tblCellMar>
            <w:top w:w="15" w:type="dxa"/>
            <w:left w:w="15" w:type="dxa"/>
            <w:bottom w:w="15" w:type="dxa"/>
            <w:right w:w="15" w:type="dxa"/>
          </w:tblCellMar>
        </w:tblPrEx>
        <w:trPr>
          <w:trHeight w:val="103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定制国潮灯笼+投影灯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棵</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每棵树10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15个国潮灯笼（正方形规格和长方形规格搭配），外加一台100W投影灯，地埋线方式通电</w:t>
            </w:r>
          </w:p>
        </w:tc>
      </w:tr>
      <w:tr>
        <w:tblPrEx>
          <w:tblCellMar>
            <w:top w:w="15" w:type="dxa"/>
            <w:left w:w="15" w:type="dxa"/>
            <w:bottom w:w="15" w:type="dxa"/>
            <w:right w:w="15" w:type="dxa"/>
          </w:tblCellMar>
        </w:tblPrEx>
        <w:trPr>
          <w:trHeight w:val="204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156</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电    压：AC220V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功    率：15W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灯体结构：压铸+光学透镜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表面处理：铝材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接    头：双头出线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防    水：IP65    </w:t>
            </w:r>
          </w:p>
        </w:tc>
      </w:tr>
      <w:tr>
        <w:tblPrEx>
          <w:tblCellMar>
            <w:top w:w="15" w:type="dxa"/>
            <w:left w:w="15" w:type="dxa"/>
            <w:bottom w:w="15" w:type="dxa"/>
            <w:right w:w="15" w:type="dxa"/>
          </w:tblCellMar>
        </w:tblPrEx>
        <w:trPr>
          <w:trHeight w:val="300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水纹灯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电    压：AC220V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功    率：60W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控制方式：3D内控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灯体结构：型材+钢化玻璃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表面处理：防紫外线静电喷塑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接    头：单头出线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防    水：IP65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颜    色：DMX512/R/G/B/W/Y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发光角度：90°广角</w:t>
            </w:r>
          </w:p>
        </w:tc>
      </w:tr>
      <w:tr>
        <w:tblPrEx>
          <w:tblCellMar>
            <w:top w:w="15" w:type="dxa"/>
            <w:left w:w="15" w:type="dxa"/>
            <w:bottom w:w="15" w:type="dxa"/>
            <w:right w:w="15" w:type="dxa"/>
          </w:tblCellMar>
        </w:tblPrEx>
        <w:trPr>
          <w:trHeight w:val="2613"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投光灯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65</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电    压：AC220V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功    率：50W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灯体结构：压铸+光学透镜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表面处理：防紫外线静电喷塑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接    头：单头出线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防    水：IP65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颜    色：R/G/B/W/Y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发光角度：90°广角</w:t>
            </w:r>
          </w:p>
        </w:tc>
      </w:tr>
      <w:tr>
        <w:tblPrEx>
          <w:tblCellMar>
            <w:top w:w="15" w:type="dxa"/>
            <w:left w:w="15" w:type="dxa"/>
            <w:bottom w:w="15" w:type="dxa"/>
            <w:right w:w="15" w:type="dxa"/>
          </w:tblCellMar>
        </w:tblPrEx>
        <w:trPr>
          <w:trHeight w:val="172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LED染色灯控台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4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 xml:space="preserve">可手动或自动驱动场景转换 </w:t>
            </w:r>
          </w:p>
          <w:p>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暂停场景转换功能</w:t>
            </w:r>
          </w:p>
          <w:p>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可控制 512 个通道</w:t>
            </w:r>
          </w:p>
          <w:p>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 xml:space="preserve">电源输入： DC9V 1000mA  </w:t>
            </w:r>
          </w:p>
          <w:p>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DMX 信号输出连接器： XLR-D3F</w:t>
            </w:r>
          </w:p>
        </w:tc>
      </w:tr>
      <w:tr>
        <w:tblPrEx>
          <w:shd w:val="clear" w:color="auto" w:fill="auto"/>
          <w:tblCellMar>
            <w:top w:w="0" w:type="dxa"/>
            <w:left w:w="0" w:type="dxa"/>
            <w:bottom w:w="0" w:type="dxa"/>
            <w:right w:w="0" w:type="dxa"/>
          </w:tblCellMar>
        </w:tblPrEx>
        <w:trPr>
          <w:trHeight w:val="633"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LED控台放大器</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一进四出</w:t>
            </w:r>
          </w:p>
        </w:tc>
      </w:tr>
      <w:tr>
        <w:tblPrEx>
          <w:shd w:val="clear" w:color="auto" w:fill="auto"/>
          <w:tblCellMar>
            <w:top w:w="0" w:type="dxa"/>
            <w:left w:w="0" w:type="dxa"/>
            <w:bottom w:w="0" w:type="dxa"/>
            <w:right w:w="0" w:type="dxa"/>
          </w:tblCellMar>
        </w:tblPrEx>
        <w:trPr>
          <w:trHeight w:val="64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萤火虫灯</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70</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AC-24V电动</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电源开关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AC/24V/400W户外防雨</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植绒灯笼</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100#8个、120#36个、200#4个</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灯带</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米</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1100</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3060/COB光源/4000K/实心硅胶</w:t>
            </w:r>
          </w:p>
        </w:tc>
      </w:tr>
      <w:tr>
        <w:tblPrEx>
          <w:shd w:val="clear" w:color="auto" w:fill="auto"/>
          <w:tblCellMar>
            <w:top w:w="0" w:type="dxa"/>
            <w:left w:w="0" w:type="dxa"/>
            <w:bottom w:w="0" w:type="dxa"/>
            <w:right w:w="0" w:type="dxa"/>
          </w:tblCellMar>
        </w:tblPrEx>
        <w:trPr>
          <w:trHeight w:val="2635"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瓦楞</w:t>
            </w:r>
            <w:r>
              <w:rPr>
                <w:rFonts w:hint="eastAsia" w:ascii="宋体" w:hAnsi="宋体" w:eastAsia="宋体" w:cs="宋体"/>
                <w:i w:val="0"/>
                <w:iCs w:val="0"/>
                <w:color w:val="000000"/>
                <w:kern w:val="0"/>
                <w:sz w:val="21"/>
                <w:szCs w:val="21"/>
                <w:u w:val="none"/>
                <w:lang w:val="en-US" w:eastAsia="zh-CN" w:bidi="ar"/>
              </w:rPr>
              <w:t>灯</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电    压：DC24V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功    率：6W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灯体结构：压铸铝+光学透镜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表面处理：防紫外线静电喷塑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接    头：双头防脱落快插线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防    水：IP65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颜    色：Y/W/WW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发光角度：5°远射角</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插头</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灯带插头10</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灯泡</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LED/35W中性光</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米</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3300</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3*6平方电缆</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米</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2200</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3*2.5平方电缆</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米</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10*4平方电缆</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米</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4*240平方铝电缆</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电缆中间接头</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95--120</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LED染色灯信号线</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米</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3300</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带屏蔽</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电缆保护管</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米</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4000</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25PE/波纹管</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电缆保护管</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米</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PE/波纹管</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400*500不锈钢箱</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高压计费</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回路状态巡检仪、三项三线、压接式、100V、50/5、高压供计</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智能真空短路器</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ZW32-12/630A</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电缆警示桩</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根</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玻璃钢15*1200</w:t>
            </w:r>
          </w:p>
        </w:tc>
      </w:tr>
      <w:tr>
        <w:tblPrEx>
          <w:shd w:val="clear" w:color="auto" w:fill="auto"/>
          <w:tblCellMar>
            <w:top w:w="0" w:type="dxa"/>
            <w:left w:w="0" w:type="dxa"/>
            <w:bottom w:w="0" w:type="dxa"/>
            <w:right w:w="0" w:type="dxa"/>
          </w:tblCellMar>
        </w:tblPrEx>
        <w:trPr>
          <w:trHeight w:val="754"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500园亚克力灯具</w:t>
            </w:r>
          </w:p>
        </w:tc>
      </w:tr>
      <w:tr>
        <w:tblPrEx>
          <w:shd w:val="clear" w:color="auto" w:fill="auto"/>
          <w:tblCellMar>
            <w:top w:w="0" w:type="dxa"/>
            <w:left w:w="0" w:type="dxa"/>
            <w:bottom w:w="0" w:type="dxa"/>
            <w:right w:w="0" w:type="dxa"/>
          </w:tblCellMar>
        </w:tblPrEx>
        <w:trPr>
          <w:trHeight w:val="785"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路灯</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4米</w:t>
            </w:r>
          </w:p>
        </w:tc>
      </w:tr>
    </w:tbl>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center"/>
        <w:textAlignment w:val="auto"/>
        <w:outlineLvl w:val="1"/>
        <w:rPr>
          <w:rFonts w:hint="eastAsia" w:ascii="宋体" w:hAnsi="宋体" w:eastAsia="宋体" w:cs="宋体"/>
          <w:b/>
          <w:color w:val="auto"/>
          <w:sz w:val="21"/>
          <w:szCs w:val="21"/>
          <w:highlight w:val="none"/>
        </w:rPr>
      </w:pPr>
    </w:p>
    <w:p/>
    <w:p>
      <w:pPr>
        <w:spacing w:line="440" w:lineRule="exact"/>
        <w:jc w:val="center"/>
        <w:outlineLvl w:val="1"/>
        <w:rPr>
          <w:rFonts w:hint="eastAsia" w:asciiTheme="majorEastAsia" w:hAnsiTheme="majorEastAsia" w:eastAsiaTheme="majorEastAsia"/>
          <w:b/>
          <w:color w:val="auto"/>
          <w:sz w:val="32"/>
          <w:szCs w:val="32"/>
          <w:highlight w:val="none"/>
        </w:rPr>
      </w:pPr>
      <w:bookmarkStart w:id="147" w:name="_GoBack"/>
      <w:bookmarkEnd w:id="147"/>
    </w:p>
    <w:p>
      <w:pPr>
        <w:spacing w:line="440" w:lineRule="exact"/>
        <w:jc w:val="center"/>
        <w:outlineLvl w:val="1"/>
        <w:rPr>
          <w:rFonts w:asciiTheme="majorEastAsia" w:hAnsiTheme="majorEastAsia" w:eastAsiaTheme="majorEastAsia"/>
          <w:b/>
          <w:color w:val="auto"/>
          <w:sz w:val="28"/>
          <w:szCs w:val="28"/>
          <w:highlight w:val="none"/>
        </w:rPr>
      </w:pPr>
      <w:bookmarkStart w:id="84" w:name="_Toc16545"/>
      <w:r>
        <w:rPr>
          <w:rFonts w:hint="eastAsia" w:asciiTheme="majorEastAsia" w:hAnsiTheme="majorEastAsia" w:eastAsiaTheme="majorEastAsia"/>
          <w:b/>
          <w:color w:val="auto"/>
          <w:sz w:val="32"/>
          <w:szCs w:val="32"/>
          <w:highlight w:val="none"/>
        </w:rPr>
        <w:t>第五章</w:t>
      </w:r>
      <w:r>
        <w:rPr>
          <w:rFonts w:hint="eastAsia" w:asciiTheme="majorEastAsia" w:hAnsiTheme="majorEastAsia" w:eastAsiaTheme="majorEastAsia"/>
          <w:b/>
          <w:color w:val="auto"/>
          <w:sz w:val="28"/>
          <w:szCs w:val="28"/>
          <w:highlight w:val="none"/>
        </w:rPr>
        <w:t xml:space="preserve">  </w:t>
      </w:r>
      <w:r>
        <w:rPr>
          <w:rFonts w:hint="eastAsia" w:asciiTheme="majorEastAsia" w:hAnsiTheme="majorEastAsia" w:eastAsiaTheme="majorEastAsia"/>
          <w:b/>
          <w:color w:val="auto"/>
          <w:sz w:val="32"/>
          <w:szCs w:val="32"/>
          <w:highlight w:val="none"/>
        </w:rPr>
        <w:t>合同签订及条款</w:t>
      </w:r>
      <w:bookmarkEnd w:id="84"/>
    </w:p>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eastAsia="宋体" w:cs="宋体"/>
          <w:b/>
          <w:bCs/>
          <w:sz w:val="21"/>
          <w:szCs w:val="21"/>
        </w:rPr>
      </w:pPr>
      <w:bookmarkStart w:id="85" w:name="_Toc1706"/>
      <w:r>
        <w:rPr>
          <w:rFonts w:hint="eastAsia" w:ascii="宋体" w:hAnsi="宋体" w:eastAsia="宋体" w:cs="宋体"/>
          <w:b/>
          <w:bCs/>
          <w:sz w:val="21"/>
          <w:szCs w:val="21"/>
        </w:rPr>
        <w:t>1.合同签订</w:t>
      </w:r>
      <w:bookmarkEnd w:id="85"/>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 中标人应按中标通知书指定的时间、地点，与采购人签订合同。中标人与采购人不得签订背离招标文件实质性内容的合同，否则合同无效。</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 如采购人或中标人拒签合同，则按违约处理。</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 如中标人不按本招标文件要求签订合同，则取消其中标资格。招标人并依法追究中标人的缔约过失责任及其他法律责任。</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 采购人追加合同标的权利：签订合同后，采购人如需追加与合同标的相同的货物、工程或者服务的，在不改变本合同其他条款的前提下，可以与中标人协商签订补充合同，但所有补充合同的采购金额不得超过原合同采购金额的10%。</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eastAsia="宋体" w:cs="宋体"/>
          <w:b/>
          <w:bCs/>
          <w:sz w:val="21"/>
          <w:szCs w:val="21"/>
        </w:rPr>
      </w:pPr>
      <w:bookmarkStart w:id="86" w:name="_Toc18545"/>
      <w:bookmarkStart w:id="87" w:name="_Toc32638"/>
      <w:bookmarkStart w:id="88" w:name="_Toc488422014"/>
      <w:bookmarkStart w:id="89" w:name="_Toc6716"/>
      <w:bookmarkStart w:id="90" w:name="_Toc3663"/>
      <w:bookmarkStart w:id="91" w:name="_Toc8336"/>
      <w:bookmarkStart w:id="92" w:name="_Toc27043"/>
      <w:bookmarkStart w:id="93" w:name="_Toc488422613"/>
      <w:bookmarkStart w:id="94" w:name="_Toc21209"/>
      <w:bookmarkStart w:id="95" w:name="_Toc9383"/>
      <w:bookmarkStart w:id="96" w:name="_Toc421284761"/>
      <w:r>
        <w:rPr>
          <w:rFonts w:hint="eastAsia" w:ascii="宋体" w:hAnsi="宋体" w:eastAsia="宋体" w:cs="宋体"/>
          <w:b/>
          <w:bCs/>
          <w:sz w:val="21"/>
          <w:szCs w:val="21"/>
        </w:rPr>
        <w:t>2.合同一般条款</w:t>
      </w:r>
      <w:bookmarkEnd w:id="86"/>
      <w:bookmarkEnd w:id="87"/>
      <w:bookmarkEnd w:id="88"/>
      <w:bookmarkEnd w:id="89"/>
      <w:bookmarkEnd w:id="90"/>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2.1、定义</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（1）甲方（需方）即采购人，是指通过招标采购，接受合同货物及服务的各级国家机关、事业单位和团体组织。</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（2）乙方（供方）即中标供应商，是指中标后提供合同货物和服务的自然人、法人及其他组织。</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（3）合同是指由甲乙双方按照招标文件和投标文件的实质性内容，通过协商一致达成的书面协议。</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（4）合同价格指以中标价格为依据，在供方全面履行合同义务后，需方应支付给供方的金额。</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（5）技术资料是指合同货物及其相关的设计、制造、监造、检验、验收等文件（包括图纸、各种文字说明、标准）。</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2.2、货物内容</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合同包括以下内容：货物名称、规格型号、技术参数、数量（单位）等内容。</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2.3、合同价格</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（1）合同价格即合同总价。</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（2）合同价格包括合同货物、技术资料、合同货物的税费、运杂费、保险费、包装费、装卸费及与货物有关的供方应纳的税费等，所有税费由乙方负担。</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2.4、转包或分包</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（1）本合同范围的货物，应由乙方直接供应，不得转让他人供应；</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（2）非经甲方书面同意，乙方不得将本合同范围的货物全部或部分分包给他人供应；</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（3）如有转让和未经甲方同意的分包行为，甲方有权解除合同，履约保证金不予退还并追究乙方的违约责任。</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2.5、质量保证及售后服务</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（1）乙方应按招标文件规定的货物性能、技术要求、质量标准向甲方提供未经使用的全新产品。</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（2）乙方提供的货物在质保期内因货物本身的质量问题发生故障，乙方应负责免费更换。对达不到技术要求者，根据实际情况，经双方协商，可按以下办法处理：</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rPr>
        <w:t>更换：由乙方承担所发生的全部费用。</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eastAsia="zh-CN"/>
        </w:rPr>
        <w:t>.</w:t>
      </w:r>
      <w:r>
        <w:rPr>
          <w:rFonts w:hint="eastAsia" w:ascii="宋体" w:hAnsi="宋体" w:eastAsia="宋体" w:cs="宋体"/>
          <w:sz w:val="21"/>
          <w:szCs w:val="21"/>
        </w:rPr>
        <w:t>退货处理：乙方应退还甲方支付的合同款，同时应承担该货物的直接费用（运输、保险、检验、货款利息及银行手续费等）。</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（3）如在使用过程中发生质量问题，乙方在接到甲方通知后在X小时内到达甲方现场。</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（4）在质保期内，乙方应对货物出现的质量及安全问题负责处理解决并承担一切费用。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（5）上述货物的免费保修期按照国家有关规定标准执行，</w:t>
      </w:r>
      <w:r>
        <w:rPr>
          <w:rFonts w:hint="eastAsia" w:ascii="宋体" w:hAnsi="宋体" w:eastAsia="宋体" w:cs="宋体"/>
          <w:sz w:val="21"/>
          <w:szCs w:val="21"/>
          <w:lang w:eastAsia="zh-CN"/>
        </w:rPr>
        <w:t>终身维修</w:t>
      </w:r>
      <w:r>
        <w:rPr>
          <w:rFonts w:hint="eastAsia" w:ascii="宋体" w:hAnsi="宋体" w:eastAsia="宋体" w:cs="宋体"/>
          <w:sz w:val="21"/>
          <w:szCs w:val="21"/>
        </w:rPr>
        <w:t>，维修时只收部件成本费。</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（6）乙方提供的货物由原厂提供售后服务的，乙方必须提供原厂商出具的售后服务承诺函（原件）。</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2.6、付款</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（1）本合同使用货币币制为人民币。</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（2）付款方式及方法：按专用条款执行。</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2.7、检查验收</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（1）供方应随货物提供合格证和质量证明文件，如是国外进口的货物还须提供入关证明。</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（2）货物验收</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需方所交货物的各种质量指标不得低于该投标文件中所提供的质量指标要求（供方提供样品的质量指标），售后服务质量要求按照招标文件和投标文件的内容执行。供方交货时，需方可根据需要随机抽取一部分货物送有关权威检测部门检测，如检测不合格，供方负责赔偿需方一切损失。</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（3）货物验收报告应由需方、供方经办人签字，并加盖双方公章，以此作为支付凭据。</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2.8、索赔</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供方所提供货物、工程或者服务不符合合同约定的，需方有权拒收货物、拒绝服务、解除合同，供方应赔偿需方所有损失。</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2.9、知识产权</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乙方应保证所提供的货物或其任何一部分均不会侵犯任何第三方的知识产权，如若出现侵权行为，由乙方</w:t>
      </w:r>
      <w:r>
        <w:rPr>
          <w:rFonts w:hint="eastAsia" w:ascii="宋体" w:hAnsi="宋体" w:eastAsia="宋体" w:cs="宋体"/>
          <w:sz w:val="21"/>
          <w:szCs w:val="21"/>
          <w:lang w:eastAsia="zh-CN"/>
        </w:rPr>
        <w:t>负全部责任</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2.10、人员培训：供方免费对需方人员进行技术培训，直到需方人员熟练操作或掌握为准。</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培训地点</w:t>
      </w:r>
      <w:r>
        <w:rPr>
          <w:rFonts w:hint="eastAsia" w:ascii="宋体" w:hAnsi="宋体" w:eastAsia="宋体" w:cs="宋体"/>
          <w:sz w:val="21"/>
          <w:szCs w:val="21"/>
          <w:lang w:eastAsia="zh-CN"/>
        </w:rPr>
        <w:t>：</w:t>
      </w:r>
      <w:r>
        <w:rPr>
          <w:rFonts w:hint="eastAsia" w:ascii="宋体" w:hAnsi="宋体" w:eastAsia="宋体" w:cs="宋体"/>
          <w:sz w:val="21"/>
          <w:szCs w:val="21"/>
        </w:rPr>
        <w:t>培训时间</w:t>
      </w:r>
      <w:r>
        <w:rPr>
          <w:rFonts w:hint="eastAsia" w:ascii="宋体" w:hAnsi="宋体" w:eastAsia="宋体" w:cs="宋体"/>
          <w:sz w:val="21"/>
          <w:szCs w:val="21"/>
          <w:lang w:eastAsia="zh-CN"/>
        </w:rPr>
        <w:t>：</w:t>
      </w:r>
      <w:r>
        <w:rPr>
          <w:rFonts w:hint="eastAsia" w:ascii="宋体" w:hAnsi="宋体" w:eastAsia="宋体" w:cs="宋体"/>
          <w:sz w:val="21"/>
          <w:szCs w:val="21"/>
        </w:rPr>
        <w:t>培训方式：</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2.11、违约责任</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按专用条款及招标文件的其他有关约定执行。专用条款及招标文件约定不明或未约定的，按照《中华人民共和国合同法</w:t>
      </w:r>
      <w:r>
        <w:rPr>
          <w:rFonts w:hint="eastAsia" w:ascii="宋体" w:hAnsi="宋体" w:eastAsia="宋体" w:cs="宋体"/>
          <w:sz w:val="21"/>
          <w:szCs w:val="21"/>
          <w:lang w:eastAsia="zh-CN"/>
        </w:rPr>
        <w:t>》《</w:t>
      </w:r>
      <w:r>
        <w:rPr>
          <w:rFonts w:hint="eastAsia" w:ascii="宋体" w:hAnsi="宋体" w:eastAsia="宋体" w:cs="宋体"/>
          <w:sz w:val="21"/>
          <w:szCs w:val="21"/>
        </w:rPr>
        <w:t>中华人民共和国政府采购法》的有关规定执行。</w:t>
      </w:r>
      <w:bookmarkStart w:id="97" w:name="_Toc17461"/>
      <w:bookmarkStart w:id="98" w:name="_Toc17676"/>
      <w:bookmarkStart w:id="99" w:name="_Toc15325"/>
      <w:bookmarkStart w:id="100" w:name="_Toc13625"/>
      <w:bookmarkStart w:id="101" w:name="_Toc421284762"/>
      <w:bookmarkStart w:id="102" w:name="_Toc27148142"/>
      <w:bookmarkStart w:id="103" w:name="_Toc1746"/>
      <w:bookmarkStart w:id="104" w:name="_Toc24549"/>
      <w:bookmarkStart w:id="105" w:name="_Toc5009"/>
      <w:bookmarkStart w:id="106" w:name="_Toc488422614"/>
      <w:bookmarkStart w:id="107" w:name="_Toc18962"/>
      <w:bookmarkStart w:id="108" w:name="_Toc488422015"/>
    </w:p>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3．</w:t>
      </w:r>
      <w:bookmarkEnd w:id="97"/>
      <w:bookmarkEnd w:id="98"/>
      <w:bookmarkEnd w:id="99"/>
      <w:bookmarkEnd w:id="100"/>
      <w:bookmarkEnd w:id="101"/>
      <w:r>
        <w:rPr>
          <w:rFonts w:hint="eastAsia" w:ascii="宋体" w:hAnsi="宋体" w:eastAsia="宋体" w:cs="宋体"/>
          <w:b/>
          <w:bCs/>
          <w:sz w:val="21"/>
          <w:szCs w:val="21"/>
        </w:rPr>
        <w:t>合同专用条款（特别约定条款）</w:t>
      </w:r>
      <w:bookmarkEnd w:id="102"/>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eastAsia="宋体" w:cs="宋体"/>
          <w:sz w:val="21"/>
          <w:szCs w:val="21"/>
        </w:rPr>
      </w:pPr>
      <w:r>
        <w:rPr>
          <w:rFonts w:hint="eastAsia" w:ascii="宋体" w:hAnsi="宋体" w:eastAsia="宋体" w:cs="宋体"/>
          <w:sz w:val="21"/>
          <w:szCs w:val="21"/>
        </w:rPr>
        <w:t>（注：可结合具体招标项目进行更明确的约定）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温县政府集中采购合同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合同编号：</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需方（甲方）（采购人全称）：</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供方（乙方）（中标供应商全称）：</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供方持签发的中标/成交通知书，根据招标文件、供方的投标/报价等文件[项目编号：温交易]，按照《政府采购法</w:t>
      </w:r>
      <w:r>
        <w:rPr>
          <w:rFonts w:hint="eastAsia" w:ascii="宋体" w:hAnsi="宋体" w:eastAsia="宋体" w:cs="宋体"/>
          <w:sz w:val="21"/>
          <w:szCs w:val="21"/>
          <w:lang w:eastAsia="zh-CN"/>
        </w:rPr>
        <w:t>》《</w:t>
      </w:r>
      <w:r>
        <w:rPr>
          <w:rFonts w:hint="eastAsia" w:ascii="宋体" w:hAnsi="宋体" w:eastAsia="宋体" w:cs="宋体"/>
          <w:sz w:val="21"/>
          <w:szCs w:val="21"/>
        </w:rPr>
        <w:t>合同法》等有关</w:t>
      </w:r>
      <w:r>
        <w:rPr>
          <w:rFonts w:hint="eastAsia" w:ascii="宋体" w:hAnsi="宋体" w:eastAsia="宋体" w:cs="宋体"/>
          <w:sz w:val="21"/>
          <w:szCs w:val="21"/>
          <w:lang w:eastAsia="zh-CN"/>
        </w:rPr>
        <w:t>法律法规</w:t>
      </w:r>
      <w:r>
        <w:rPr>
          <w:rFonts w:hint="eastAsia" w:ascii="宋体" w:hAnsi="宋体" w:eastAsia="宋体" w:cs="宋体"/>
          <w:sz w:val="21"/>
          <w:szCs w:val="21"/>
        </w:rPr>
        <w:t>的规定，供需双方经协商一致，达成以下合同专用条款：</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一、本合同名称</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二、本合同总价：元（人民币）（大写：元）。</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供货范围、技术规格</w:t>
      </w:r>
      <w:r>
        <w:rPr>
          <w:rFonts w:hint="eastAsia" w:ascii="宋体" w:hAnsi="宋体" w:eastAsia="宋体" w:cs="宋体"/>
          <w:sz w:val="21"/>
          <w:szCs w:val="21"/>
          <w:lang w:eastAsia="zh-CN"/>
        </w:rPr>
        <w:t>及</w:t>
      </w:r>
      <w:r>
        <w:rPr>
          <w:rFonts w:hint="eastAsia" w:ascii="宋体" w:hAnsi="宋体" w:eastAsia="宋体" w:cs="宋体"/>
          <w:sz w:val="21"/>
          <w:szCs w:val="21"/>
        </w:rPr>
        <w:t>分项价格如下：单位：人民币元</w:t>
      </w:r>
    </w:p>
    <w:tbl>
      <w:tblPr>
        <w:tblStyle w:val="29"/>
        <w:tblW w:w="8796" w:type="dxa"/>
        <w:jc w:val="center"/>
        <w:tblLayout w:type="fixed"/>
        <w:tblCellMar>
          <w:top w:w="0" w:type="dxa"/>
          <w:left w:w="108" w:type="dxa"/>
          <w:bottom w:w="0" w:type="dxa"/>
          <w:right w:w="108" w:type="dxa"/>
        </w:tblCellMar>
      </w:tblPr>
      <w:tblGrid>
        <w:gridCol w:w="1248"/>
        <w:gridCol w:w="1140"/>
        <w:gridCol w:w="1688"/>
        <w:gridCol w:w="514"/>
        <w:gridCol w:w="671"/>
        <w:gridCol w:w="695"/>
        <w:gridCol w:w="684"/>
        <w:gridCol w:w="976"/>
        <w:gridCol w:w="1180"/>
      </w:tblGrid>
      <w:tr>
        <w:tblPrEx>
          <w:tblCellMar>
            <w:top w:w="0" w:type="dxa"/>
            <w:left w:w="108" w:type="dxa"/>
            <w:bottom w:w="0" w:type="dxa"/>
            <w:right w:w="108" w:type="dxa"/>
          </w:tblCellMar>
        </w:tblPrEx>
        <w:trPr>
          <w:trHeight w:val="641"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11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168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51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68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97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1180"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641"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11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168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51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6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6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68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97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1180"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641" w:hRule="atLeast"/>
          <w:jc w:val="center"/>
        </w:trPr>
        <w:tc>
          <w:tcPr>
            <w:tcW w:w="1248"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114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1688"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514"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67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695"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684"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976" w:type="dxa"/>
            <w:tcBorders>
              <w:top w:val="single" w:color="auto" w:sz="6" w:space="0"/>
              <w:left w:val="single" w:color="auto" w:sz="6" w:space="0"/>
              <w:bottom w:val="single" w:color="auto" w:sz="6"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1180" w:type="dxa"/>
            <w:tcBorders>
              <w:top w:val="single" w:color="auto" w:sz="6" w:space="0"/>
              <w:left w:val="single" w:color="auto" w:sz="4"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641" w:hRule="atLeast"/>
          <w:jc w:val="center"/>
        </w:trPr>
        <w:tc>
          <w:tcPr>
            <w:tcW w:w="1248"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114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1688"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514"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67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695"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684"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976" w:type="dxa"/>
            <w:tcBorders>
              <w:top w:val="single" w:color="auto" w:sz="6" w:space="0"/>
              <w:left w:val="single" w:color="auto" w:sz="6" w:space="0"/>
              <w:bottom w:val="single" w:color="auto" w:sz="6"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1180" w:type="dxa"/>
            <w:tcBorders>
              <w:top w:val="single" w:color="auto" w:sz="6" w:space="0"/>
              <w:left w:val="single" w:color="auto" w:sz="4"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661" w:hRule="atLeast"/>
          <w:jc w:val="center"/>
        </w:trPr>
        <w:tc>
          <w:tcPr>
            <w:tcW w:w="1248"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总价</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（人民币）</w:t>
            </w:r>
          </w:p>
        </w:tc>
        <w:tc>
          <w:tcPr>
            <w:tcW w:w="7548" w:type="dxa"/>
            <w:gridSpan w:val="8"/>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小写：</w:t>
            </w:r>
          </w:p>
        </w:tc>
      </w:tr>
      <w:tr>
        <w:tblPrEx>
          <w:tblCellMar>
            <w:top w:w="0" w:type="dxa"/>
            <w:left w:w="108" w:type="dxa"/>
            <w:bottom w:w="0" w:type="dxa"/>
            <w:right w:w="108" w:type="dxa"/>
          </w:tblCellMar>
        </w:tblPrEx>
        <w:trPr>
          <w:trHeight w:val="1240" w:hRule="atLeast"/>
          <w:jc w:val="center"/>
        </w:trPr>
        <w:tc>
          <w:tcPr>
            <w:tcW w:w="1248" w:type="dxa"/>
            <w:vMerge w:val="continue"/>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tc>
        <w:tc>
          <w:tcPr>
            <w:tcW w:w="7548" w:type="dxa"/>
            <w:gridSpan w:val="8"/>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大写：</w:t>
            </w:r>
          </w:p>
        </w:tc>
      </w:tr>
    </w:tbl>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三、质量要求及供方对质量负责条件和期限：</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所供货物必须首先符合有关国家强制性规定、国家（行业）标准或相关法律法规要求，同时符合招标文件规定的质量要求。供方应提供全新未拆封产品（包括零部件、附件、备品备件等），如确需拆封的，应在供货前征得采购人同意，否则视为不能交货。供方保证全部按照合同规定的时间和方式向需方提供货物和服务，并负责可能的弥补缺陷。需方对货物规格、型号、质量有异议的，应在收到货物后日内以书面形式向供方提出，需安装调试成套设备的提出异议的期限为日。</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四、售后服务承诺：</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售后服务响应时间：</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解决问题时间：</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售后服务机构名称、地址及联系方式：</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其他服务承诺：</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五、合同履行地点及进度：</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生效后，供方应于年月日前按需方要求在（需方指定的地点）完成本项目的交货、安装、调试（或施工）。货物运送的费用由供方负责。需方应在货物到达指定地点后，提供符合安装条件的场地、电源、环境等。</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六、资料：供方在交付货物时应向需方提供货物的使用说明、合格证书</w:t>
      </w:r>
      <w:r>
        <w:rPr>
          <w:rFonts w:hint="eastAsia" w:ascii="宋体" w:hAnsi="宋体" w:eastAsia="宋体" w:cs="宋体"/>
          <w:sz w:val="21"/>
          <w:szCs w:val="21"/>
          <w:lang w:eastAsia="zh-CN"/>
        </w:rPr>
        <w:t>及其他相关</w:t>
      </w:r>
      <w:r>
        <w:rPr>
          <w:rFonts w:hint="eastAsia" w:ascii="宋体" w:hAnsi="宋体" w:eastAsia="宋体" w:cs="宋体"/>
          <w:sz w:val="21"/>
          <w:szCs w:val="21"/>
        </w:rPr>
        <w:t>资料，否则按不能交货对待。</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七、验收要求。</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1、供方履约完毕及时向需方提出验收申请。</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2、需方在收到供方验收申请后个工作日内组织验收。按照招标文件规定、中标供应商投标文件承诺，及国家有关规定认真组织验收工作.</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3、验收合格后日内，需方出具《温县政府采购验收报告》。</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八、付款方式</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设备安装调试正常并经验收合格后甲方向乙方支付合同价的100%。</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九、本合同单价及总价为不变价，不受市场风险等因素的影响。</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十、违约责任</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zh-CN"/>
        </w:rPr>
        <w:t>供方所交付的货物品种、型号、规格、质量不符合国家规定标准及合同要求的，或者供方不能交付货物或完成系统安装、调试的，供方应向需方支付合同金额总值</w:t>
      </w:r>
      <w:r>
        <w:rPr>
          <w:rFonts w:hint="eastAsia" w:ascii="宋体" w:hAnsi="宋体" w:eastAsia="宋体" w:cs="宋体"/>
          <w:sz w:val="21"/>
          <w:szCs w:val="21"/>
          <w:u w:val="single"/>
          <w:lang w:val="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%的违约金；需方并有权解除合同，要求供方赔偿损失。供方如逾期交付的，每逾期一日供方应向需方支付合同金额的</w:t>
      </w:r>
      <w:r>
        <w:rPr>
          <w:rFonts w:hint="eastAsia" w:ascii="宋体" w:hAnsi="宋体" w:eastAsia="宋体" w:cs="宋体"/>
          <w:sz w:val="21"/>
          <w:szCs w:val="21"/>
          <w:u w:val="single"/>
          <w:lang w:val="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%的违约金。逾期交付的违约金总额不超过合同总金额的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zh-CN"/>
        </w:rPr>
        <w:t>%</w:t>
      </w:r>
      <w:r>
        <w:rPr>
          <w:rFonts w:hint="eastAsia" w:ascii="宋体" w:hAnsi="宋体" w:eastAsia="宋体" w:cs="宋体"/>
          <w:sz w:val="21"/>
          <w:szCs w:val="21"/>
          <w:u w:val="single"/>
        </w:rPr>
        <w:t xml:space="preserve">  </w:t>
      </w:r>
      <w:r>
        <w:rPr>
          <w:rFonts w:hint="eastAsia" w:ascii="宋体" w:hAnsi="宋体" w:eastAsia="宋体" w:cs="宋体"/>
          <w:sz w:val="21"/>
          <w:szCs w:val="21"/>
          <w:lang w:val="zh-CN"/>
        </w:rPr>
        <w:t>。逾期超过</w:t>
      </w:r>
      <w:r>
        <w:rPr>
          <w:rFonts w:hint="eastAsia" w:ascii="宋体" w:hAnsi="宋体" w:eastAsia="宋体" w:cs="宋体"/>
          <w:sz w:val="21"/>
          <w:szCs w:val="21"/>
          <w:u w:val="single"/>
          <w:lang w:val="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日的，需方有权解除合同或者选择继续履行；需方要求供方继续履行合同的，不影响需方向供方主张违约责任。</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2、如需方违约，按合同一般条款执行。</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十一、争议的解决：</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1、双方友好协商；</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2、提请主管部门进行调解；</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3、由需方所在地人民法院诉讼管辖。</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十二、合同生效、备案</w:t>
      </w:r>
      <w:r>
        <w:rPr>
          <w:rFonts w:hint="eastAsia" w:ascii="宋体" w:hAnsi="宋体" w:eastAsia="宋体" w:cs="宋体"/>
          <w:sz w:val="21"/>
          <w:szCs w:val="21"/>
          <w:lang w:eastAsia="zh-CN"/>
        </w:rPr>
        <w:t>及其他</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1、本合同经双方代表签字并加盖公章后生效。</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2、本合同一式五份，供需双方各持一份，在合同签订之日起七个工作日内交付温县财政局备案一份、温县公共资源交易中心存档一份，办理资金支付手续时提交一份。</w:t>
      </w: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3、本合同未尽事宜，供需双方可签订补充协议，但补充协议不得违背本招标文件及供方的投标文件或报价文件的实质性约定内容。</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供方（公章）：                         需方（公章）：</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地址：                                 地址：</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法定代表人或委托                       法定代表人或委托</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代理人（签字）：                       代理人（签字）：</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电话：                                 电话：</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开户行：                               开户行：</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账号：                                 账号：</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签约时间：       年     月    日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签约时间：       年     月    日</w:t>
      </w:r>
    </w:p>
    <w:p>
      <w:pPr>
        <w:pStyle w:val="40"/>
        <w:rPr>
          <w:color w:val="auto"/>
          <w:szCs w:val="21"/>
          <w:highlight w:val="none"/>
        </w:rPr>
      </w:pPr>
    </w:p>
    <w:p>
      <w:pPr>
        <w:pStyle w:val="40"/>
        <w:rPr>
          <w:color w:val="auto"/>
          <w:szCs w:val="21"/>
          <w:highlight w:val="none"/>
        </w:rPr>
      </w:pPr>
    </w:p>
    <w:p>
      <w:pPr>
        <w:pStyle w:val="40"/>
        <w:rPr>
          <w:color w:val="auto"/>
          <w:szCs w:val="21"/>
          <w:highlight w:val="none"/>
        </w:rPr>
      </w:pPr>
    </w:p>
    <w:p>
      <w:pPr>
        <w:pStyle w:val="40"/>
        <w:rPr>
          <w:color w:val="auto"/>
          <w:szCs w:val="21"/>
          <w:highlight w:val="none"/>
        </w:rPr>
      </w:pPr>
    </w:p>
    <w:p>
      <w:pPr>
        <w:pStyle w:val="40"/>
        <w:rPr>
          <w:color w:val="auto"/>
          <w:szCs w:val="21"/>
          <w:highlight w:val="none"/>
        </w:rPr>
      </w:pPr>
    </w:p>
    <w:p>
      <w:pPr>
        <w:pStyle w:val="9"/>
        <w:jc w:val="both"/>
        <w:rPr>
          <w:rFonts w:ascii="宋体" w:hAnsi="宋体" w:cs="宋体"/>
          <w:color w:val="auto"/>
          <w:highlight w:val="none"/>
        </w:rPr>
      </w:pPr>
      <w:bookmarkStart w:id="109" w:name="_Toc21953"/>
    </w:p>
    <w:p>
      <w:pPr>
        <w:rPr>
          <w:rFonts w:ascii="宋体" w:hAnsi="宋体" w:cs="宋体"/>
          <w:color w:val="auto"/>
          <w:highlight w:val="none"/>
        </w:rPr>
      </w:pPr>
    </w:p>
    <w:p>
      <w:pPr>
        <w:pStyle w:val="15"/>
        <w:ind w:left="0" w:leftChars="0"/>
        <w:rPr>
          <w:color w:val="auto"/>
          <w:highlight w:val="none"/>
        </w:rPr>
      </w:pPr>
    </w:p>
    <w:p>
      <w:pPr>
        <w:rPr>
          <w:color w:val="auto"/>
          <w:highlight w:val="none"/>
        </w:rPr>
      </w:pPr>
    </w:p>
    <w:p>
      <w:pPr>
        <w:pStyle w:val="14"/>
        <w:rPr>
          <w:color w:val="auto"/>
          <w:highlight w:val="none"/>
        </w:rPr>
      </w:pPr>
    </w:p>
    <w:p>
      <w:pPr>
        <w:rPr>
          <w:color w:val="auto"/>
          <w:highlight w:val="none"/>
        </w:rPr>
      </w:pPr>
    </w:p>
    <w:p>
      <w:pPr>
        <w:pStyle w:val="40"/>
        <w:rPr>
          <w:color w:val="auto"/>
          <w:highlight w:val="none"/>
        </w:rPr>
      </w:pPr>
    </w:p>
    <w:p>
      <w:pPr>
        <w:rPr>
          <w:color w:val="auto"/>
          <w:highlight w:val="none"/>
        </w:rPr>
      </w:pPr>
    </w:p>
    <w:p>
      <w:pPr>
        <w:pStyle w:val="5"/>
        <w:rPr>
          <w:color w:val="auto"/>
          <w:highlight w:val="none"/>
        </w:rPr>
      </w:pPr>
    </w:p>
    <w:p>
      <w:pPr>
        <w:pStyle w:val="9"/>
        <w:rPr>
          <w:rFonts w:hint="eastAsia" w:ascii="宋体" w:hAnsi="宋体" w:cs="宋体"/>
          <w:color w:val="auto"/>
          <w:highlight w:val="none"/>
        </w:rPr>
      </w:pPr>
    </w:p>
    <w:p>
      <w:pPr>
        <w:pStyle w:val="9"/>
        <w:rPr>
          <w:rFonts w:hint="eastAsia" w:ascii="宋体" w:hAnsi="宋体" w:cs="宋体"/>
          <w:color w:val="auto"/>
          <w:highlight w:val="none"/>
        </w:rPr>
      </w:pPr>
      <w:bookmarkStart w:id="110" w:name="_Toc20502"/>
    </w:p>
    <w:p>
      <w:pPr>
        <w:pStyle w:val="9"/>
        <w:rPr>
          <w:rFonts w:ascii="宋体" w:cs="宋体"/>
          <w:color w:val="auto"/>
          <w:highlight w:val="none"/>
        </w:rPr>
      </w:pPr>
      <w:r>
        <w:rPr>
          <w:rFonts w:hint="eastAsia" w:ascii="宋体" w:hAnsi="宋体" w:cs="宋体"/>
          <w:color w:val="auto"/>
          <w:highlight w:val="none"/>
        </w:rPr>
        <w:t>第六章</w:t>
      </w:r>
      <w:r>
        <w:rPr>
          <w:rFonts w:ascii="宋体" w:hAnsi="宋体" w:cs="宋体"/>
          <w:color w:val="auto"/>
          <w:highlight w:val="none"/>
        </w:rPr>
        <w:t xml:space="preserve">  </w:t>
      </w:r>
      <w:r>
        <w:rPr>
          <w:rFonts w:hint="eastAsia" w:ascii="宋体" w:hAnsi="宋体" w:cs="宋体"/>
          <w:color w:val="auto"/>
          <w:highlight w:val="none"/>
        </w:rPr>
        <w:t>响应文件格式</w:t>
      </w:r>
      <w:bookmarkEnd w:id="109"/>
      <w:bookmarkEnd w:id="110"/>
    </w:p>
    <w:p>
      <w:pPr>
        <w:spacing w:line="360" w:lineRule="exact"/>
        <w:rPr>
          <w:rFonts w:ascii="宋体" w:cs="宋体"/>
          <w:color w:val="auto"/>
          <w:szCs w:val="21"/>
          <w:highlight w:val="none"/>
        </w:rPr>
      </w:pPr>
    </w:p>
    <w:p>
      <w:pPr>
        <w:spacing w:line="360" w:lineRule="exact"/>
        <w:jc w:val="center"/>
        <w:rPr>
          <w:rFonts w:ascii="宋体" w:cs="宋体"/>
          <w:color w:val="auto"/>
          <w:szCs w:val="21"/>
          <w:highlight w:val="none"/>
        </w:rPr>
      </w:pPr>
      <w:r>
        <w:rPr>
          <w:rFonts w:ascii="宋体" w:hAnsi="宋体" w:cs="宋体"/>
          <w:color w:val="auto"/>
          <w:szCs w:val="21"/>
          <w:highlight w:val="none"/>
        </w:rPr>
        <w:t xml:space="preserve">                                                                     </w:t>
      </w:r>
    </w:p>
    <w:p>
      <w:pPr>
        <w:spacing w:line="360" w:lineRule="exact"/>
        <w:ind w:right="420"/>
        <w:outlineLvl w:val="0"/>
        <w:rPr>
          <w:rFonts w:ascii="宋体" w:cs="宋体"/>
          <w:color w:val="auto"/>
          <w:szCs w:val="21"/>
          <w:highlight w:val="none"/>
        </w:rPr>
      </w:pPr>
    </w:p>
    <w:p>
      <w:pPr>
        <w:spacing w:line="360" w:lineRule="exact"/>
        <w:ind w:right="315"/>
        <w:outlineLvl w:val="0"/>
        <w:rPr>
          <w:rFonts w:ascii="宋体" w:cs="宋体"/>
          <w:color w:val="auto"/>
          <w:szCs w:val="21"/>
          <w:highlight w:val="none"/>
        </w:rPr>
      </w:pPr>
    </w:p>
    <w:p>
      <w:pPr>
        <w:spacing w:line="360" w:lineRule="exact"/>
        <w:rPr>
          <w:rFonts w:ascii="宋体" w:cs="宋体"/>
          <w:b/>
          <w:color w:val="auto"/>
          <w:sz w:val="44"/>
          <w:szCs w:val="44"/>
          <w:highlight w:val="none"/>
        </w:rPr>
      </w:pPr>
    </w:p>
    <w:p>
      <w:pPr>
        <w:spacing w:line="360" w:lineRule="exact"/>
        <w:jc w:val="center"/>
        <w:rPr>
          <w:rFonts w:hint="eastAsia" w:ascii="宋体" w:eastAsia="宋体" w:cs="宋体"/>
          <w:b/>
          <w:color w:val="auto"/>
          <w:sz w:val="36"/>
          <w:szCs w:val="36"/>
          <w:highlight w:val="none"/>
          <w:u w:val="single"/>
          <w:lang w:eastAsia="zh-CN"/>
        </w:rPr>
      </w:pPr>
      <w:r>
        <w:rPr>
          <w:rFonts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项目</w:t>
      </w:r>
    </w:p>
    <w:p>
      <w:pPr>
        <w:spacing w:line="480" w:lineRule="exact"/>
        <w:jc w:val="center"/>
        <w:rPr>
          <w:rFonts w:ascii="宋体" w:cs="宋体"/>
          <w:color w:val="auto"/>
          <w:spacing w:val="-20"/>
          <w:sz w:val="44"/>
          <w:szCs w:val="44"/>
          <w:highlight w:val="none"/>
        </w:rPr>
      </w:pPr>
    </w:p>
    <w:p>
      <w:pPr>
        <w:spacing w:line="480" w:lineRule="exact"/>
        <w:jc w:val="center"/>
        <w:rPr>
          <w:rFonts w:ascii="宋体" w:cs="宋体"/>
          <w:b/>
          <w:color w:val="auto"/>
          <w:sz w:val="44"/>
          <w:szCs w:val="44"/>
          <w:highlight w:val="none"/>
        </w:rPr>
      </w:pPr>
      <w:r>
        <w:rPr>
          <w:rFonts w:hint="eastAsia" w:ascii="宋体" w:hAnsi="宋体" w:cs="宋体"/>
          <w:b/>
          <w:color w:val="auto"/>
          <w:sz w:val="44"/>
          <w:szCs w:val="44"/>
          <w:highlight w:val="none"/>
        </w:rPr>
        <w:t>（参考格式）</w:t>
      </w:r>
    </w:p>
    <w:p>
      <w:pPr>
        <w:spacing w:line="480" w:lineRule="exact"/>
        <w:rPr>
          <w:rFonts w:ascii="宋体" w:cs="宋体"/>
          <w:b/>
          <w:color w:val="auto"/>
          <w:sz w:val="44"/>
          <w:szCs w:val="44"/>
          <w:highlight w:val="none"/>
        </w:rPr>
      </w:pPr>
    </w:p>
    <w:p>
      <w:pPr>
        <w:spacing w:line="480" w:lineRule="exact"/>
        <w:jc w:val="center"/>
        <w:rPr>
          <w:rFonts w:ascii="宋体" w:cs="宋体"/>
          <w:b/>
          <w:color w:val="auto"/>
          <w:sz w:val="44"/>
          <w:szCs w:val="44"/>
          <w:highlight w:val="none"/>
        </w:rPr>
      </w:pPr>
      <w:r>
        <w:rPr>
          <w:rFonts w:hint="eastAsia" w:ascii="宋体" w:hAnsi="宋体" w:cs="宋体"/>
          <w:b/>
          <w:color w:val="auto"/>
          <w:sz w:val="44"/>
          <w:szCs w:val="44"/>
          <w:highlight w:val="none"/>
        </w:rPr>
        <w:t>响</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rPr>
        <w:t>应</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rPr>
        <w:t>文</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rPr>
        <w:t>件</w:t>
      </w:r>
    </w:p>
    <w:p>
      <w:pPr>
        <w:spacing w:line="480" w:lineRule="exact"/>
        <w:jc w:val="center"/>
        <w:rPr>
          <w:rFonts w:ascii="宋体" w:cs="宋体"/>
          <w:b/>
          <w:color w:val="auto"/>
          <w:sz w:val="44"/>
          <w:szCs w:val="44"/>
          <w:highlight w:val="none"/>
        </w:rPr>
      </w:pPr>
    </w:p>
    <w:p>
      <w:pPr>
        <w:spacing w:before="91" w:line="562" w:lineRule="exact"/>
        <w:ind w:left="2441" w:firstLine="272" w:firstLineChars="100"/>
        <w:rPr>
          <w:rFonts w:ascii="宋体" w:hAnsi="宋体" w:eastAsia="宋体" w:cs="宋体"/>
          <w:spacing w:val="-2"/>
          <w:sz w:val="28"/>
          <w:szCs w:val="28"/>
        </w:rPr>
      </w:pPr>
      <w:r>
        <w:rPr>
          <w:rFonts w:hint="eastAsia" w:ascii="宋体" w:hAnsi="宋体" w:cs="宋体"/>
          <w:spacing w:val="-4"/>
          <w:sz w:val="28"/>
          <w:szCs w:val="28"/>
          <w:lang w:eastAsia="zh-CN"/>
        </w:rPr>
        <w:t>项目</w:t>
      </w:r>
      <w:r>
        <w:rPr>
          <w:rFonts w:ascii="宋体" w:hAnsi="宋体" w:eastAsia="宋体" w:cs="宋体"/>
          <w:spacing w:val="-4"/>
          <w:sz w:val="28"/>
          <w:szCs w:val="28"/>
        </w:rPr>
        <w:t>编号</w:t>
      </w:r>
      <w:r>
        <w:rPr>
          <w:rFonts w:ascii="宋体" w:hAnsi="宋体" w:eastAsia="宋体" w:cs="宋体"/>
          <w:spacing w:val="-2"/>
          <w:sz w:val="28"/>
          <w:szCs w:val="28"/>
        </w:rPr>
        <w:t>：温交易</w:t>
      </w:r>
      <w:r>
        <w:rPr>
          <w:rFonts w:hint="eastAsia" w:ascii="宋体" w:hAnsi="宋体" w:eastAsia="宋体" w:cs="宋体"/>
          <w:spacing w:val="-2"/>
          <w:sz w:val="28"/>
          <w:szCs w:val="28"/>
          <w:lang w:val="en-US" w:eastAsia="zh-CN"/>
        </w:rPr>
        <w:t>【2023】</w:t>
      </w:r>
      <w:r>
        <w:rPr>
          <w:rFonts w:hint="eastAsia" w:ascii="宋体" w:hAnsi="宋体" w:cs="宋体"/>
          <w:spacing w:val="-2"/>
          <w:sz w:val="28"/>
          <w:szCs w:val="28"/>
          <w:lang w:val="en-US" w:eastAsia="zh-CN"/>
        </w:rPr>
        <w:t xml:space="preserve">   </w:t>
      </w:r>
      <w:r>
        <w:rPr>
          <w:rFonts w:ascii="宋体" w:hAnsi="宋体" w:eastAsia="宋体" w:cs="宋体"/>
          <w:spacing w:val="-2"/>
          <w:sz w:val="28"/>
          <w:szCs w:val="28"/>
        </w:rPr>
        <w:t>号</w:t>
      </w:r>
    </w:p>
    <w:p>
      <w:pPr>
        <w:spacing w:before="91" w:line="562" w:lineRule="exact"/>
        <w:ind w:left="2441" w:firstLine="272" w:firstLineChars="100"/>
        <w:rPr>
          <w:rFonts w:ascii="宋体" w:hAnsi="宋体" w:eastAsia="宋体" w:cs="宋体"/>
          <w:sz w:val="28"/>
          <w:szCs w:val="28"/>
        </w:rPr>
      </w:pPr>
      <w:r>
        <w:rPr>
          <w:rFonts w:hint="eastAsia" w:ascii="宋体" w:hAnsi="宋体" w:cs="宋体"/>
          <w:spacing w:val="-4"/>
          <w:position w:val="21"/>
          <w:sz w:val="28"/>
          <w:szCs w:val="28"/>
          <w:lang w:eastAsia="zh-CN"/>
        </w:rPr>
        <w:t>采购</w:t>
      </w:r>
      <w:r>
        <w:rPr>
          <w:rFonts w:ascii="宋体" w:hAnsi="宋体" w:eastAsia="宋体" w:cs="宋体"/>
          <w:spacing w:val="-2"/>
          <w:position w:val="21"/>
          <w:sz w:val="28"/>
          <w:szCs w:val="28"/>
        </w:rPr>
        <w:t>编号：温政采</w:t>
      </w:r>
      <w:r>
        <w:rPr>
          <w:rFonts w:hint="eastAsia" w:ascii="宋体" w:hAnsi="宋体" w:eastAsia="宋体" w:cs="宋体"/>
          <w:spacing w:val="-2"/>
          <w:position w:val="21"/>
          <w:sz w:val="28"/>
          <w:szCs w:val="28"/>
          <w:lang w:eastAsia="zh-CN"/>
        </w:rPr>
        <w:t>【</w:t>
      </w:r>
      <w:r>
        <w:rPr>
          <w:rFonts w:hint="eastAsia" w:ascii="宋体" w:hAnsi="宋体" w:eastAsia="宋体" w:cs="宋体"/>
          <w:spacing w:val="-2"/>
          <w:position w:val="21"/>
          <w:sz w:val="28"/>
          <w:szCs w:val="28"/>
          <w:lang w:val="en-US" w:eastAsia="zh-CN"/>
        </w:rPr>
        <w:t>2023】</w:t>
      </w:r>
      <w:r>
        <w:rPr>
          <w:rFonts w:hint="eastAsia" w:ascii="宋体" w:hAnsi="宋体" w:cs="宋体"/>
          <w:spacing w:val="-2"/>
          <w:position w:val="21"/>
          <w:sz w:val="28"/>
          <w:szCs w:val="28"/>
          <w:lang w:val="en-US" w:eastAsia="zh-CN"/>
        </w:rPr>
        <w:t xml:space="preserve">   </w:t>
      </w:r>
      <w:r>
        <w:rPr>
          <w:rFonts w:ascii="宋体" w:hAnsi="宋体" w:eastAsia="宋体" w:cs="宋体"/>
          <w:spacing w:val="-2"/>
          <w:position w:val="21"/>
          <w:sz w:val="28"/>
          <w:szCs w:val="28"/>
        </w:rPr>
        <w:t>号</w:t>
      </w:r>
    </w:p>
    <w:p>
      <w:pPr>
        <w:spacing w:line="480" w:lineRule="exact"/>
        <w:jc w:val="center"/>
        <w:rPr>
          <w:rFonts w:ascii="宋体" w:cs="宋体"/>
          <w:color w:val="auto"/>
          <w:sz w:val="24"/>
          <w:szCs w:val="24"/>
          <w:highlight w:val="none"/>
        </w:rPr>
      </w:pPr>
      <w:r>
        <w:rPr>
          <w:rFonts w:ascii="宋体" w:hAnsi="宋体" w:cs="宋体"/>
          <w:color w:val="auto"/>
          <w:sz w:val="24"/>
          <w:szCs w:val="24"/>
          <w:highlight w:val="none"/>
        </w:rPr>
        <w:t xml:space="preserve">          </w:t>
      </w:r>
    </w:p>
    <w:p>
      <w:pPr>
        <w:spacing w:line="480" w:lineRule="exact"/>
        <w:rPr>
          <w:rFonts w:ascii="宋体" w:cs="宋体"/>
          <w:color w:val="auto"/>
          <w:szCs w:val="21"/>
          <w:highlight w:val="none"/>
        </w:rPr>
      </w:pPr>
    </w:p>
    <w:p>
      <w:pPr>
        <w:spacing w:line="480" w:lineRule="exact"/>
        <w:rPr>
          <w:rFonts w:ascii="宋体" w:cs="宋体"/>
          <w:color w:val="auto"/>
          <w:szCs w:val="21"/>
          <w:highlight w:val="none"/>
        </w:rPr>
      </w:pPr>
    </w:p>
    <w:p>
      <w:pPr>
        <w:spacing w:line="360" w:lineRule="exact"/>
        <w:rPr>
          <w:rFonts w:ascii="宋体" w:cs="宋体"/>
          <w:color w:val="auto"/>
          <w:szCs w:val="21"/>
          <w:highlight w:val="none"/>
        </w:rPr>
      </w:pPr>
    </w:p>
    <w:p>
      <w:pPr>
        <w:spacing w:line="360" w:lineRule="exact"/>
        <w:rPr>
          <w:rFonts w:ascii="宋体" w:cs="宋体"/>
          <w:color w:val="auto"/>
          <w:szCs w:val="21"/>
          <w:highlight w:val="none"/>
        </w:rPr>
      </w:pPr>
    </w:p>
    <w:p>
      <w:pPr>
        <w:spacing w:line="360" w:lineRule="exact"/>
        <w:rPr>
          <w:rFonts w:ascii="宋体" w:cs="宋体"/>
          <w:color w:val="auto"/>
          <w:szCs w:val="21"/>
          <w:highlight w:val="none"/>
        </w:rPr>
      </w:pPr>
    </w:p>
    <w:p>
      <w:pPr>
        <w:spacing w:line="360" w:lineRule="exact"/>
        <w:rPr>
          <w:rFonts w:ascii="宋体" w:cs="宋体"/>
          <w:color w:val="auto"/>
          <w:szCs w:val="21"/>
          <w:highlight w:val="none"/>
        </w:rPr>
      </w:pPr>
    </w:p>
    <w:p>
      <w:pPr>
        <w:spacing w:line="360" w:lineRule="exact"/>
        <w:rPr>
          <w:rFonts w:ascii="宋体" w:cs="宋体"/>
          <w:color w:val="auto"/>
          <w:szCs w:val="21"/>
          <w:highlight w:val="none"/>
        </w:rPr>
      </w:pPr>
    </w:p>
    <w:p>
      <w:pPr>
        <w:spacing w:line="360" w:lineRule="exact"/>
        <w:rPr>
          <w:rFonts w:ascii="宋体" w:cs="宋体"/>
          <w:color w:val="auto"/>
          <w:szCs w:val="21"/>
          <w:highlight w:val="none"/>
        </w:rPr>
      </w:pPr>
    </w:p>
    <w:p>
      <w:pPr>
        <w:spacing w:line="360" w:lineRule="exact"/>
        <w:outlineLvl w:val="0"/>
        <w:rPr>
          <w:rFonts w:ascii="宋体" w:cs="宋体"/>
          <w:color w:val="auto"/>
          <w:szCs w:val="21"/>
          <w:highlight w:val="none"/>
        </w:rPr>
      </w:pPr>
    </w:p>
    <w:p>
      <w:pPr>
        <w:spacing w:line="360" w:lineRule="exact"/>
        <w:outlineLvl w:val="0"/>
        <w:rPr>
          <w:rFonts w:ascii="宋体" w:cs="宋体"/>
          <w:color w:val="auto"/>
          <w:szCs w:val="21"/>
          <w:highlight w:val="none"/>
        </w:rPr>
      </w:pPr>
    </w:p>
    <w:p>
      <w:pPr>
        <w:spacing w:line="480" w:lineRule="exact"/>
        <w:rPr>
          <w:rFonts w:ascii="宋体" w:cs="宋体"/>
          <w:b/>
          <w:color w:val="auto"/>
          <w:sz w:val="28"/>
          <w:szCs w:val="28"/>
          <w:highlight w:val="none"/>
        </w:rPr>
      </w:pP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供应商：</w:t>
      </w:r>
      <w:r>
        <w:rPr>
          <w:rFonts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rPr>
        <w:t>单位全称（加盖单位公章）</w:t>
      </w:r>
    </w:p>
    <w:p>
      <w:pPr>
        <w:spacing w:line="480" w:lineRule="exact"/>
        <w:ind w:firstLine="1397" w:firstLineChars="497"/>
        <w:rPr>
          <w:rFonts w:ascii="宋体" w:cs="宋体"/>
          <w:b/>
          <w:color w:val="auto"/>
          <w:sz w:val="28"/>
          <w:szCs w:val="28"/>
          <w:highlight w:val="none"/>
          <w:u w:val="single"/>
        </w:rPr>
      </w:pP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法定代表人或授权代理人：</w:t>
      </w:r>
      <w:r>
        <w:rPr>
          <w:rFonts w:hint="eastAsia" w:ascii="宋体" w:hAnsi="宋体" w:cs="宋体"/>
          <w:b/>
          <w:color w:val="auto"/>
          <w:sz w:val="28"/>
          <w:szCs w:val="28"/>
          <w:highlight w:val="none"/>
          <w:u w:val="single"/>
        </w:rPr>
        <w:t>（签字或加盖印鉴）</w:t>
      </w:r>
    </w:p>
    <w:p>
      <w:pPr>
        <w:spacing w:line="480" w:lineRule="exact"/>
        <w:jc w:val="center"/>
        <w:rPr>
          <w:rFonts w:ascii="宋体" w:cs="宋体"/>
          <w:b/>
          <w:color w:val="auto"/>
          <w:sz w:val="32"/>
          <w:szCs w:val="32"/>
          <w:highlight w:val="none"/>
        </w:rPr>
      </w:pPr>
      <w:r>
        <w:rPr>
          <w:rFonts w:hint="eastAsia" w:ascii="宋体" w:hAnsi="宋体" w:cs="宋体"/>
          <w:b/>
          <w:color w:val="auto"/>
          <w:sz w:val="28"/>
          <w:szCs w:val="28"/>
          <w:highlight w:val="none"/>
        </w:rPr>
        <w:t>年</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月</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日</w:t>
      </w:r>
    </w:p>
    <w:p>
      <w:pPr>
        <w:spacing w:line="360" w:lineRule="exact"/>
        <w:jc w:val="center"/>
        <w:rPr>
          <w:rFonts w:ascii="宋体" w:cs="宋体"/>
          <w:b/>
          <w:color w:val="auto"/>
          <w:sz w:val="32"/>
          <w:szCs w:val="32"/>
          <w:highlight w:val="none"/>
        </w:rPr>
      </w:pPr>
      <w:r>
        <w:rPr>
          <w:rFonts w:ascii="宋体" w:cs="宋体"/>
          <w:b/>
          <w:color w:val="auto"/>
          <w:sz w:val="32"/>
          <w:szCs w:val="32"/>
          <w:highlight w:val="none"/>
        </w:rPr>
        <w:br w:type="page"/>
      </w:r>
    </w:p>
    <w:p>
      <w:pPr>
        <w:spacing w:line="360" w:lineRule="exact"/>
        <w:jc w:val="center"/>
        <w:rPr>
          <w:rFonts w:ascii="宋体" w:cs="宋体"/>
          <w:b/>
          <w:color w:val="auto"/>
          <w:sz w:val="32"/>
          <w:szCs w:val="32"/>
          <w:highlight w:val="none"/>
        </w:rPr>
      </w:pPr>
      <w:r>
        <w:rPr>
          <w:rFonts w:hint="eastAsia" w:ascii="宋体" w:hAnsi="宋体" w:cs="宋体"/>
          <w:b/>
          <w:color w:val="auto"/>
          <w:sz w:val="32"/>
          <w:szCs w:val="32"/>
          <w:highlight w:val="none"/>
        </w:rPr>
        <w:t>目</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录</w:t>
      </w:r>
    </w:p>
    <w:p>
      <w:pPr>
        <w:spacing w:line="360" w:lineRule="exact"/>
        <w:jc w:val="center"/>
        <w:rPr>
          <w:rFonts w:ascii="宋体" w:cs="宋体"/>
          <w:color w:val="auto"/>
          <w:sz w:val="28"/>
          <w:szCs w:val="28"/>
          <w:highlight w:val="none"/>
        </w:rPr>
      </w:pPr>
    </w:p>
    <w:p>
      <w:pPr>
        <w:spacing w:line="360" w:lineRule="exact"/>
        <w:jc w:val="center"/>
        <w:rPr>
          <w:rFonts w:ascii="宋体" w:cs="宋体"/>
          <w:color w:val="auto"/>
          <w:sz w:val="28"/>
          <w:szCs w:val="28"/>
          <w:highlight w:val="none"/>
        </w:rPr>
      </w:pPr>
    </w:p>
    <w:p>
      <w:pPr>
        <w:spacing w:line="360" w:lineRule="exact"/>
        <w:jc w:val="center"/>
        <w:rPr>
          <w:rFonts w:ascii="宋体" w:cs="宋体"/>
          <w:color w:val="auto"/>
          <w:sz w:val="28"/>
          <w:szCs w:val="28"/>
          <w:highlight w:val="none"/>
        </w:rPr>
      </w:pPr>
      <w:r>
        <w:rPr>
          <w:rFonts w:hint="eastAsia" w:ascii="宋体" w:hAnsi="宋体" w:cs="宋体"/>
          <w:color w:val="auto"/>
          <w:sz w:val="28"/>
          <w:szCs w:val="28"/>
          <w:highlight w:val="none"/>
        </w:rPr>
        <w:t>（建议按照竞争性磋商文件《参考格式》顺序编写）</w:t>
      </w:r>
    </w:p>
    <w:p>
      <w:pPr>
        <w:spacing w:line="360" w:lineRule="exact"/>
        <w:jc w:val="center"/>
        <w:rPr>
          <w:rFonts w:ascii="宋体" w:cs="宋体"/>
          <w:b/>
          <w:color w:val="auto"/>
          <w:sz w:val="28"/>
          <w:szCs w:val="28"/>
          <w:highlight w:val="none"/>
        </w:rPr>
      </w:pPr>
    </w:p>
    <w:p>
      <w:pPr>
        <w:spacing w:line="600" w:lineRule="exact"/>
        <w:rPr>
          <w:rFonts w:ascii="宋体" w:cs="宋体"/>
          <w:color w:val="auto"/>
          <w:sz w:val="21"/>
          <w:szCs w:val="21"/>
          <w:highlight w:val="none"/>
        </w:rPr>
      </w:pPr>
      <w:r>
        <w:rPr>
          <w:rFonts w:ascii="宋体" w:hAnsi="宋体" w:cs="宋体"/>
          <w:color w:val="auto"/>
          <w:szCs w:val="21"/>
          <w:highlight w:val="none"/>
        </w:rPr>
        <w:t xml:space="preserve">          </w:t>
      </w:r>
      <w:r>
        <w:rPr>
          <w:rFonts w:hint="eastAsia" w:ascii="宋体" w:hAnsi="宋体" w:cs="宋体"/>
          <w:color w:val="auto"/>
          <w:sz w:val="21"/>
          <w:szCs w:val="21"/>
          <w:highlight w:val="none"/>
        </w:rPr>
        <w:t>一、磋商函及磋商函附录</w:t>
      </w:r>
      <w:r>
        <w:rPr>
          <w:rFonts w:ascii="宋体" w:cs="宋体"/>
          <w:color w:val="auto"/>
          <w:sz w:val="21"/>
          <w:szCs w:val="21"/>
          <w:highlight w:val="none"/>
        </w:rPr>
        <w:tab/>
      </w:r>
    </w:p>
    <w:p>
      <w:pPr>
        <w:spacing w:line="600" w:lineRule="exact"/>
        <w:ind w:firstLine="1476" w:firstLineChars="703"/>
        <w:rPr>
          <w:rFonts w:ascii="宋体" w:cs="宋体"/>
          <w:color w:val="auto"/>
          <w:sz w:val="21"/>
          <w:szCs w:val="21"/>
          <w:highlight w:val="none"/>
        </w:rPr>
      </w:pPr>
      <w:r>
        <w:rPr>
          <w:rFonts w:hint="eastAsia" w:ascii="宋体" w:hAnsi="宋体" w:cs="宋体"/>
          <w:color w:val="auto"/>
          <w:sz w:val="21"/>
          <w:szCs w:val="21"/>
          <w:highlight w:val="none"/>
        </w:rPr>
        <w:t>（一）磋商函</w:t>
      </w:r>
      <w:r>
        <w:rPr>
          <w:rFonts w:ascii="宋体" w:cs="宋体"/>
          <w:color w:val="auto"/>
          <w:sz w:val="21"/>
          <w:szCs w:val="21"/>
          <w:highlight w:val="none"/>
        </w:rPr>
        <w:tab/>
      </w:r>
    </w:p>
    <w:p>
      <w:pPr>
        <w:spacing w:line="600" w:lineRule="exact"/>
        <w:ind w:firstLine="1476" w:firstLineChars="703"/>
        <w:rPr>
          <w:rFonts w:ascii="宋体" w:hAnsi="宋体" w:cs="宋体"/>
          <w:color w:val="auto"/>
          <w:sz w:val="21"/>
          <w:szCs w:val="21"/>
          <w:highlight w:val="none"/>
        </w:rPr>
      </w:pPr>
      <w:r>
        <w:rPr>
          <w:rFonts w:hint="eastAsia" w:ascii="宋体" w:hAnsi="宋体" w:cs="宋体"/>
          <w:color w:val="auto"/>
          <w:sz w:val="21"/>
          <w:szCs w:val="21"/>
          <w:highlight w:val="none"/>
        </w:rPr>
        <w:t>（二）磋商函附录</w:t>
      </w:r>
    </w:p>
    <w:p>
      <w:pPr>
        <w:spacing w:line="600" w:lineRule="exact"/>
        <w:ind w:firstLine="1058" w:firstLineChars="50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二</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货物分项报价一览表</w:t>
      </w:r>
    </w:p>
    <w:p>
      <w:pPr>
        <w:spacing w:line="600" w:lineRule="exact"/>
        <w:ind w:firstLine="1058" w:firstLineChars="504"/>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三、技术规格偏差表</w:t>
      </w:r>
    </w:p>
    <w:p>
      <w:pPr>
        <w:spacing w:line="600" w:lineRule="exact"/>
        <w:ind w:firstLine="1050" w:firstLineChars="500"/>
        <w:rPr>
          <w:rFonts w:ascii="宋体" w:hAnsi="宋体" w:cs="宋体"/>
          <w:color w:val="auto"/>
          <w:sz w:val="21"/>
          <w:szCs w:val="21"/>
          <w:highlight w:val="none"/>
        </w:rPr>
      </w:pPr>
      <w:r>
        <w:rPr>
          <w:rFonts w:hint="eastAsia" w:ascii="宋体" w:hAnsi="宋体" w:cs="宋体"/>
          <w:color w:val="auto"/>
          <w:sz w:val="21"/>
          <w:szCs w:val="21"/>
          <w:highlight w:val="none"/>
          <w:lang w:eastAsia="zh-CN"/>
        </w:rPr>
        <w:t>四、（</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法定代表人（负责人）身份证明</w:t>
      </w:r>
    </w:p>
    <w:p>
      <w:pPr>
        <w:spacing w:line="600" w:lineRule="exact"/>
        <w:ind w:firstLine="1470" w:firstLineChars="700"/>
        <w:rPr>
          <w:rFonts w:asci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授权委托书</w:t>
      </w:r>
    </w:p>
    <w:p>
      <w:pPr>
        <w:spacing w:line="600" w:lineRule="exact"/>
        <w:ind w:firstLine="1058" w:firstLineChars="504"/>
        <w:rPr>
          <w:rFonts w:ascii="宋体" w:cs="宋体"/>
          <w:color w:val="auto"/>
          <w:sz w:val="21"/>
          <w:szCs w:val="21"/>
          <w:highlight w:val="none"/>
        </w:rPr>
      </w:pPr>
      <w:r>
        <w:rPr>
          <w:rFonts w:hint="eastAsia" w:ascii="宋体" w:hAnsi="宋体" w:cs="宋体"/>
          <w:color w:val="auto"/>
          <w:sz w:val="21"/>
          <w:szCs w:val="21"/>
          <w:highlight w:val="none"/>
          <w:lang w:eastAsia="zh-CN"/>
        </w:rPr>
        <w:t>五</w:t>
      </w:r>
      <w:r>
        <w:rPr>
          <w:rFonts w:hint="eastAsia" w:ascii="宋体" w:hAnsi="宋体" w:cs="宋体"/>
          <w:color w:val="auto"/>
          <w:sz w:val="21"/>
          <w:szCs w:val="21"/>
          <w:highlight w:val="none"/>
        </w:rPr>
        <w:t>、供应商基本情况表</w:t>
      </w:r>
      <w:r>
        <w:rPr>
          <w:rFonts w:ascii="宋体" w:cs="宋体"/>
          <w:color w:val="auto"/>
          <w:sz w:val="21"/>
          <w:szCs w:val="21"/>
          <w:highlight w:val="none"/>
        </w:rPr>
        <w:tab/>
      </w:r>
    </w:p>
    <w:p>
      <w:pPr>
        <w:spacing w:line="600" w:lineRule="exact"/>
        <w:ind w:firstLine="1058" w:firstLineChars="504"/>
        <w:rPr>
          <w:rFonts w:hint="eastAsia" w:ascii="宋体" w:hAnsi="宋体" w:eastAsia="宋体" w:cs="宋体"/>
          <w:color w:val="auto"/>
          <w:sz w:val="21"/>
          <w:szCs w:val="21"/>
          <w:highlight w:val="none"/>
          <w:lang w:eastAsia="zh-CN"/>
        </w:rPr>
      </w:pPr>
      <w:r>
        <w:rPr>
          <w:rFonts w:hint="eastAsia" w:ascii="宋体" w:cs="宋体"/>
          <w:color w:val="auto"/>
          <w:sz w:val="21"/>
          <w:szCs w:val="21"/>
          <w:highlight w:val="none"/>
          <w:lang w:eastAsia="zh-CN"/>
        </w:rPr>
        <w:t>六</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企业</w:t>
      </w:r>
      <w:r>
        <w:rPr>
          <w:rFonts w:hint="eastAsia" w:ascii="宋体" w:cs="宋体"/>
          <w:color w:val="auto"/>
          <w:sz w:val="21"/>
          <w:szCs w:val="21"/>
          <w:highlight w:val="none"/>
          <w:lang w:eastAsia="zh-CN"/>
        </w:rPr>
        <w:t>业绩</w:t>
      </w:r>
    </w:p>
    <w:p>
      <w:pPr>
        <w:spacing w:line="600" w:lineRule="exact"/>
        <w:ind w:firstLine="1058" w:firstLineChars="504"/>
        <w:rPr>
          <w:rFonts w:ascii="宋体" w:cs="宋体"/>
          <w:color w:val="auto"/>
          <w:sz w:val="21"/>
          <w:szCs w:val="21"/>
          <w:highlight w:val="none"/>
        </w:rPr>
      </w:pPr>
      <w:r>
        <w:rPr>
          <w:rFonts w:hint="eastAsia" w:ascii="宋体" w:cs="宋体"/>
          <w:color w:val="auto"/>
          <w:sz w:val="21"/>
          <w:szCs w:val="21"/>
          <w:highlight w:val="none"/>
          <w:lang w:eastAsia="zh-CN"/>
        </w:rPr>
        <w:t>七、技术及综合部分</w:t>
      </w:r>
    </w:p>
    <w:p>
      <w:pPr>
        <w:spacing w:line="600" w:lineRule="exact"/>
        <w:ind w:firstLine="1058" w:firstLineChars="504"/>
        <w:rPr>
          <w:rFonts w:ascii="宋体" w:cs="宋体"/>
          <w:color w:val="auto"/>
          <w:sz w:val="21"/>
          <w:szCs w:val="21"/>
          <w:highlight w:val="none"/>
        </w:rPr>
      </w:pPr>
      <w:r>
        <w:rPr>
          <w:rFonts w:hint="eastAsia" w:ascii="宋体" w:hAnsi="宋体" w:cs="宋体"/>
          <w:color w:val="auto"/>
          <w:sz w:val="21"/>
          <w:szCs w:val="21"/>
          <w:highlight w:val="none"/>
          <w:lang w:eastAsia="zh-CN"/>
        </w:rPr>
        <w:t>八</w:t>
      </w:r>
      <w:r>
        <w:rPr>
          <w:rFonts w:hint="eastAsia" w:ascii="宋体" w:cs="宋体"/>
          <w:color w:val="auto"/>
          <w:sz w:val="21"/>
          <w:szCs w:val="21"/>
          <w:highlight w:val="none"/>
        </w:rPr>
        <w:t>、</w:t>
      </w:r>
      <w:r>
        <w:rPr>
          <w:rFonts w:hint="eastAsia" w:ascii="宋体" w:hAnsi="宋体" w:cs="宋体"/>
          <w:color w:val="auto"/>
          <w:sz w:val="21"/>
          <w:szCs w:val="21"/>
          <w:highlight w:val="none"/>
        </w:rPr>
        <w:t>反商业贿赂承诺书</w:t>
      </w:r>
    </w:p>
    <w:p>
      <w:pPr>
        <w:spacing w:line="600" w:lineRule="exact"/>
        <w:ind w:firstLine="1058" w:firstLineChars="504"/>
        <w:rPr>
          <w:rFonts w:ascii="宋体" w:cs="宋体"/>
          <w:color w:val="auto"/>
          <w:sz w:val="21"/>
          <w:szCs w:val="21"/>
          <w:highlight w:val="none"/>
        </w:rPr>
      </w:pPr>
      <w:r>
        <w:rPr>
          <w:rFonts w:hint="eastAsia" w:ascii="宋体" w:hAnsi="宋体" w:cs="宋体"/>
          <w:color w:val="auto"/>
          <w:sz w:val="21"/>
          <w:szCs w:val="21"/>
          <w:highlight w:val="none"/>
          <w:lang w:eastAsia="zh-CN"/>
        </w:rPr>
        <w:t>九</w:t>
      </w:r>
      <w:r>
        <w:rPr>
          <w:rFonts w:hint="eastAsia" w:ascii="宋体" w:hAnsi="宋体" w:cs="宋体"/>
          <w:color w:val="auto"/>
          <w:sz w:val="21"/>
          <w:szCs w:val="21"/>
          <w:highlight w:val="none"/>
        </w:rPr>
        <w:t>、无行贿承诺书格式</w:t>
      </w:r>
    </w:p>
    <w:p>
      <w:pPr>
        <w:spacing w:line="600" w:lineRule="exact"/>
        <w:ind w:firstLine="1058" w:firstLineChars="504"/>
        <w:rPr>
          <w:rFonts w:ascii="宋体" w:cs="宋体"/>
          <w:color w:val="auto"/>
          <w:sz w:val="21"/>
          <w:szCs w:val="21"/>
          <w:highlight w:val="none"/>
        </w:rPr>
      </w:pPr>
      <w:r>
        <w:rPr>
          <w:rFonts w:hint="eastAsia" w:ascii="宋体" w:hAnsi="宋体" w:cs="宋体"/>
          <w:color w:val="auto"/>
          <w:sz w:val="21"/>
          <w:szCs w:val="21"/>
          <w:highlight w:val="none"/>
          <w:lang w:eastAsia="zh-CN"/>
        </w:rPr>
        <w:t>十</w:t>
      </w:r>
      <w:r>
        <w:rPr>
          <w:rFonts w:hint="eastAsia" w:ascii="宋体" w:hAnsi="宋体" w:cs="宋体"/>
          <w:color w:val="auto"/>
          <w:sz w:val="21"/>
          <w:szCs w:val="21"/>
          <w:highlight w:val="none"/>
        </w:rPr>
        <w:t>、资格证明文件</w:t>
      </w:r>
    </w:p>
    <w:p>
      <w:pPr>
        <w:spacing w:line="600" w:lineRule="exact"/>
        <w:ind w:firstLine="1058" w:firstLineChars="504"/>
        <w:rPr>
          <w:rFonts w:ascii="宋体" w:hAnsi="宋体" w:cs="宋体"/>
          <w:color w:val="auto"/>
          <w:sz w:val="21"/>
          <w:szCs w:val="21"/>
          <w:highlight w:val="none"/>
        </w:rPr>
      </w:pPr>
      <w:r>
        <w:rPr>
          <w:rFonts w:hint="eastAsia" w:ascii="宋体" w:hAnsi="宋体" w:cs="宋体"/>
          <w:color w:val="auto"/>
          <w:sz w:val="21"/>
          <w:szCs w:val="21"/>
          <w:highlight w:val="none"/>
        </w:rPr>
        <w:t>十</w:t>
      </w:r>
      <w:r>
        <w:rPr>
          <w:rFonts w:hint="eastAsia" w:ascii="宋体" w:hAnsi="宋体" w:cs="宋体"/>
          <w:color w:val="auto"/>
          <w:sz w:val="21"/>
          <w:szCs w:val="21"/>
          <w:highlight w:val="none"/>
          <w:lang w:eastAsia="zh-CN"/>
        </w:rPr>
        <w:t>一</w:t>
      </w:r>
      <w:r>
        <w:rPr>
          <w:rFonts w:hint="eastAsia" w:ascii="宋体" w:hAnsi="宋体" w:cs="宋体"/>
          <w:color w:val="auto"/>
          <w:sz w:val="21"/>
          <w:szCs w:val="21"/>
          <w:highlight w:val="none"/>
        </w:rPr>
        <w:t>、中小企业声明函</w:t>
      </w:r>
    </w:p>
    <w:p>
      <w:pPr>
        <w:spacing w:line="600" w:lineRule="exact"/>
        <w:ind w:firstLine="1058" w:firstLineChars="50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十</w:t>
      </w:r>
      <w:r>
        <w:rPr>
          <w:rFonts w:hint="eastAsia" w:ascii="宋体" w:hAnsi="宋体" w:cs="宋体"/>
          <w:color w:val="auto"/>
          <w:sz w:val="21"/>
          <w:szCs w:val="21"/>
          <w:highlight w:val="none"/>
          <w:lang w:eastAsia="zh-CN"/>
        </w:rPr>
        <w:t>二</w:t>
      </w:r>
      <w:r>
        <w:rPr>
          <w:rFonts w:hint="eastAsia" w:ascii="宋体" w:hAnsi="宋体" w:cs="宋体"/>
          <w:color w:val="auto"/>
          <w:sz w:val="21"/>
          <w:szCs w:val="21"/>
          <w:highlight w:val="none"/>
        </w:rPr>
        <w:t>、温县政府采购供应商资格信用</w:t>
      </w:r>
      <w:r>
        <w:rPr>
          <w:rFonts w:hint="eastAsia" w:ascii="宋体" w:hAnsi="宋体" w:cs="宋体"/>
          <w:color w:val="auto"/>
          <w:sz w:val="21"/>
          <w:szCs w:val="21"/>
          <w:highlight w:val="none"/>
          <w:lang w:eastAsia="zh-CN"/>
        </w:rPr>
        <w:t>承诺函</w:t>
      </w:r>
    </w:p>
    <w:p>
      <w:pPr>
        <w:spacing w:line="600" w:lineRule="exact"/>
        <w:ind w:firstLine="1058" w:firstLineChars="504"/>
        <w:rPr>
          <w:rFonts w:ascii="宋体" w:hAnsi="宋体" w:cs="宋体"/>
          <w:color w:val="auto"/>
          <w:sz w:val="21"/>
          <w:szCs w:val="21"/>
          <w:highlight w:val="none"/>
        </w:rPr>
      </w:pPr>
      <w:r>
        <w:rPr>
          <w:rFonts w:hint="eastAsia" w:ascii="宋体" w:hAnsi="宋体" w:cs="宋体"/>
          <w:color w:val="auto"/>
          <w:sz w:val="21"/>
          <w:szCs w:val="21"/>
          <w:highlight w:val="none"/>
        </w:rPr>
        <w:t>十</w:t>
      </w:r>
      <w:r>
        <w:rPr>
          <w:rFonts w:hint="eastAsia" w:ascii="宋体" w:hAnsi="宋体" w:cs="宋体"/>
          <w:color w:val="auto"/>
          <w:sz w:val="21"/>
          <w:szCs w:val="21"/>
          <w:highlight w:val="none"/>
          <w:lang w:eastAsia="zh-CN"/>
        </w:rPr>
        <w:t>三</w:t>
      </w:r>
      <w:r>
        <w:rPr>
          <w:rFonts w:hint="eastAsia" w:ascii="宋体" w:hAnsi="宋体" w:cs="宋体"/>
          <w:color w:val="auto"/>
          <w:sz w:val="21"/>
          <w:szCs w:val="21"/>
          <w:highlight w:val="none"/>
        </w:rPr>
        <w:t>、供应商认为需要复印</w:t>
      </w:r>
      <w:r>
        <w:rPr>
          <w:rFonts w:hint="eastAsia" w:ascii="宋体" w:hAnsi="宋体" w:cs="宋体"/>
          <w:color w:val="auto"/>
          <w:sz w:val="21"/>
          <w:szCs w:val="21"/>
          <w:highlight w:val="none"/>
          <w:lang w:eastAsia="zh-CN"/>
        </w:rPr>
        <w:t>的其他</w:t>
      </w:r>
      <w:r>
        <w:rPr>
          <w:rFonts w:hint="eastAsia" w:ascii="宋体" w:hAnsi="宋体" w:cs="宋体"/>
          <w:color w:val="auto"/>
          <w:sz w:val="21"/>
          <w:szCs w:val="21"/>
          <w:highlight w:val="none"/>
        </w:rPr>
        <w:t>材料</w:t>
      </w:r>
    </w:p>
    <w:p>
      <w:pPr>
        <w:spacing w:line="360" w:lineRule="exact"/>
        <w:jc w:val="center"/>
        <w:outlineLvl w:val="0"/>
        <w:rPr>
          <w:rFonts w:ascii="宋体" w:cs="宋体"/>
          <w:b/>
          <w:color w:val="auto"/>
          <w:szCs w:val="21"/>
          <w:highlight w:val="none"/>
        </w:rPr>
      </w:pPr>
    </w:p>
    <w:p>
      <w:pPr>
        <w:spacing w:line="600" w:lineRule="exact"/>
        <w:ind w:firstLine="1058" w:firstLineChars="504"/>
        <w:rPr>
          <w:rFonts w:hint="eastAsia" w:ascii="宋体" w:hAnsi="宋体" w:cs="宋体"/>
          <w:color w:val="auto"/>
          <w:szCs w:val="21"/>
          <w:highlight w:val="none"/>
        </w:rPr>
      </w:pPr>
    </w:p>
    <w:p>
      <w:pPr>
        <w:spacing w:line="360" w:lineRule="exact"/>
        <w:jc w:val="center"/>
        <w:outlineLvl w:val="0"/>
        <w:rPr>
          <w:rFonts w:ascii="宋体" w:cs="宋体"/>
          <w:b/>
          <w:color w:val="auto"/>
          <w:szCs w:val="21"/>
          <w:highlight w:val="none"/>
        </w:rPr>
      </w:pPr>
    </w:p>
    <w:p>
      <w:pPr>
        <w:pStyle w:val="25"/>
        <w:rPr>
          <w:rFonts w:hint="eastAsia" w:ascii="宋体" w:hAnsi="宋体" w:cs="宋体"/>
          <w:color w:val="auto"/>
          <w:highlight w:val="none"/>
        </w:rPr>
      </w:pPr>
    </w:p>
    <w:p>
      <w:pPr>
        <w:pStyle w:val="25"/>
        <w:rPr>
          <w:rFonts w:ascii="宋体" w:cs="宋体"/>
          <w:color w:val="auto"/>
          <w:highlight w:val="none"/>
        </w:rPr>
      </w:pPr>
      <w:bookmarkStart w:id="111" w:name="_Toc26667"/>
      <w:r>
        <w:rPr>
          <w:rFonts w:hint="eastAsia" w:ascii="宋体" w:hAnsi="宋体" w:cs="宋体"/>
          <w:color w:val="auto"/>
          <w:highlight w:val="none"/>
        </w:rPr>
        <w:t>一、磋商函及磋商函附录</w:t>
      </w:r>
      <w:bookmarkEnd w:id="111"/>
    </w:p>
    <w:p>
      <w:pPr>
        <w:pStyle w:val="25"/>
        <w:rPr>
          <w:rFonts w:hint="eastAsia" w:ascii="宋体" w:hAnsi="宋体" w:cs="宋体"/>
          <w:color w:val="auto"/>
          <w:highlight w:val="none"/>
        </w:rPr>
      </w:pPr>
      <w:bookmarkStart w:id="112" w:name="_Toc14713"/>
      <w:r>
        <w:rPr>
          <w:rFonts w:hint="eastAsia" w:ascii="宋体" w:hAnsi="宋体" w:cs="宋体"/>
          <w:color w:val="auto"/>
          <w:highlight w:val="none"/>
        </w:rPr>
        <w:t>（一）磋商函</w:t>
      </w:r>
      <w:bookmarkEnd w:id="112"/>
    </w:p>
    <w:p>
      <w:pPr>
        <w:spacing w:line="360" w:lineRule="exact"/>
        <w:outlineLvl w:val="1"/>
        <w:rPr>
          <w:rFonts w:ascii="宋体" w:cs="宋体"/>
          <w:color w:val="auto"/>
          <w:sz w:val="21"/>
          <w:szCs w:val="21"/>
          <w:highlight w:val="none"/>
        </w:rPr>
      </w:pPr>
    </w:p>
    <w:p>
      <w:pPr>
        <w:spacing w:line="520" w:lineRule="exact"/>
        <w:rPr>
          <w:rFonts w:ascii="宋体" w:cs="宋体"/>
          <w:color w:val="auto"/>
          <w:sz w:val="21"/>
          <w:szCs w:val="21"/>
          <w:highlight w:val="none"/>
          <w:u w:val="single"/>
        </w:rPr>
      </w:pPr>
      <w:r>
        <w:rPr>
          <w:rFonts w:hint="eastAsia" w:ascii="宋体" w:hAnsi="宋体" w:cs="宋体"/>
          <w:b/>
          <w:color w:val="auto"/>
          <w:sz w:val="21"/>
          <w:szCs w:val="21"/>
          <w:highlight w:val="none"/>
        </w:rPr>
        <w:t>致：</w:t>
      </w:r>
      <w:r>
        <w:rPr>
          <w:rFonts w:ascii="宋体" w:hAnsi="宋体" w:cs="宋体"/>
          <w:b/>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（采购人名称）</w:t>
      </w:r>
    </w:p>
    <w:p>
      <w:pPr>
        <w:spacing w:line="520" w:lineRule="exact"/>
        <w:rPr>
          <w:rFonts w:ascii="宋体" w:cs="宋体"/>
          <w:color w:val="auto"/>
          <w:sz w:val="21"/>
          <w:szCs w:val="21"/>
          <w:highlight w:val="none"/>
        </w:rPr>
      </w:pPr>
      <w:r>
        <w:rPr>
          <w:rFonts w:ascii="宋体" w:hAnsi="宋体" w:cs="宋体"/>
          <w:color w:val="auto"/>
          <w:sz w:val="21"/>
          <w:szCs w:val="21"/>
          <w:highlight w:val="none"/>
        </w:rPr>
        <w:t xml:space="preserve">    </w:t>
      </w:r>
      <w:r>
        <w:rPr>
          <w:rFonts w:hint="eastAsia" w:ascii="宋体" w:hAnsi="宋体" w:cs="宋体"/>
          <w:color w:val="auto"/>
          <w:sz w:val="21"/>
          <w:szCs w:val="21"/>
          <w:highlight w:val="none"/>
        </w:rPr>
        <w:t>根据贵方</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（项目名称）磋商文件之投标邀请，签字代表：</w:t>
      </w:r>
      <w:r>
        <w:rPr>
          <w:rFonts w:hint="eastAsia" w:ascii="宋体" w:hAnsi="宋体" w:cs="宋体"/>
          <w:color w:val="auto"/>
          <w:sz w:val="21"/>
          <w:szCs w:val="21"/>
          <w:highlight w:val="none"/>
          <w:u w:val="single"/>
        </w:rPr>
        <w:t>（法定代表人或委托人）</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正式授权并代表供应商</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（单位名称、单位地址）</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提交</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，并对之负法律责任。</w:t>
      </w:r>
      <w:r>
        <w:rPr>
          <w:rFonts w:ascii="宋体" w:hAnsi="宋体" w:cs="宋体"/>
          <w:color w:val="auto"/>
          <w:sz w:val="21"/>
          <w:szCs w:val="21"/>
          <w:highlight w:val="none"/>
        </w:rPr>
        <w:t xml:space="preserve"> </w:t>
      </w:r>
    </w:p>
    <w:p>
      <w:pPr>
        <w:spacing w:line="520" w:lineRule="exact"/>
        <w:ind w:firstLine="420" w:firstLineChars="200"/>
        <w:rPr>
          <w:rFonts w:ascii="宋体" w:cs="宋体"/>
          <w:color w:val="auto"/>
          <w:sz w:val="21"/>
          <w:szCs w:val="21"/>
          <w:highlight w:val="none"/>
        </w:rPr>
      </w:pPr>
      <w:r>
        <w:rPr>
          <w:rFonts w:hint="eastAsia" w:ascii="宋体" w:hAnsi="宋体" w:cs="宋体"/>
          <w:color w:val="auto"/>
          <w:sz w:val="21"/>
          <w:szCs w:val="21"/>
          <w:highlight w:val="none"/>
        </w:rPr>
        <w:t>据此函，签字代表宣布同意如下：</w:t>
      </w:r>
    </w:p>
    <w:p>
      <w:pPr>
        <w:spacing w:line="560" w:lineRule="exact"/>
        <w:rPr>
          <w:rFonts w:ascii="宋体" w:cs="宋体"/>
          <w:color w:val="auto"/>
          <w:sz w:val="21"/>
          <w:szCs w:val="21"/>
          <w:highlight w:val="none"/>
        </w:rPr>
      </w:pPr>
      <w:r>
        <w:rPr>
          <w:rFonts w:ascii="宋体" w:hAnsi="宋体" w:cs="宋体"/>
          <w:color w:val="auto"/>
          <w:sz w:val="21"/>
          <w:szCs w:val="21"/>
          <w:highlight w:val="none"/>
        </w:rPr>
        <w:t xml:space="preserve">    </w:t>
      </w:r>
      <w:bookmarkStart w:id="113" w:name="_Toc20179"/>
      <w:r>
        <w:rPr>
          <w:rFonts w:ascii="宋体" w:hAnsi="宋体" w:cs="宋体"/>
          <w:color w:val="auto"/>
          <w:sz w:val="21"/>
          <w:szCs w:val="21"/>
          <w:highlight w:val="none"/>
        </w:rPr>
        <w:t xml:space="preserve"> 1</w:t>
      </w:r>
      <w:r>
        <w:rPr>
          <w:rFonts w:hint="eastAsia" w:ascii="宋体" w:hAnsi="宋体" w:cs="宋体"/>
          <w:color w:val="auto"/>
          <w:sz w:val="21"/>
          <w:szCs w:val="21"/>
          <w:highlight w:val="none"/>
        </w:rPr>
        <w:t>、我方已仔细研究了</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磋商文件的全部内容，愿意以人民币</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元</w:t>
      </w:r>
      <w:r>
        <w:rPr>
          <w:rFonts w:hint="eastAsia" w:ascii="宋体" w:hAnsi="宋体" w:cs="宋体"/>
          <w:color w:val="auto"/>
          <w:sz w:val="21"/>
          <w:szCs w:val="21"/>
          <w:highlight w:val="none"/>
        </w:rPr>
        <w:t>的投标报价，承担本项目的工作。</w:t>
      </w:r>
    </w:p>
    <w:p>
      <w:pPr>
        <w:spacing w:line="560" w:lineRule="exact"/>
        <w:ind w:firstLine="525" w:firstLineChars="250"/>
        <w:rPr>
          <w:rFonts w:asci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、如果我们的响应文件被接受，我们将按磋商文件的规定签订并严格履行合同中的责任和义务。</w:t>
      </w:r>
    </w:p>
    <w:p>
      <w:pPr>
        <w:spacing w:line="560" w:lineRule="exact"/>
        <w:ind w:firstLine="525" w:firstLineChars="250"/>
        <w:rPr>
          <w:rFonts w:asci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、投标供应商已详细审查全部磋商文件，包括修改文件以及全部参考资料和有关附件。我们完全理解并同意放弃对这方面有不明及误解的权力。</w:t>
      </w:r>
    </w:p>
    <w:p>
      <w:pPr>
        <w:spacing w:line="560" w:lineRule="exact"/>
        <w:ind w:firstLine="525" w:firstLineChars="250"/>
        <w:rPr>
          <w:rFonts w:ascii="宋体" w:cs="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、我方承诺在磋商有效期内（</w:t>
      </w:r>
      <w:r>
        <w:rPr>
          <w:rFonts w:ascii="宋体" w:hAnsi="宋体" w:cs="宋体"/>
          <w:color w:val="auto"/>
          <w:sz w:val="21"/>
          <w:szCs w:val="21"/>
          <w:highlight w:val="none"/>
        </w:rPr>
        <w:t>60</w:t>
      </w:r>
      <w:r>
        <w:rPr>
          <w:rFonts w:hint="eastAsia" w:ascii="宋体" w:hAnsi="宋体" w:cs="宋体"/>
          <w:color w:val="auto"/>
          <w:sz w:val="21"/>
          <w:szCs w:val="21"/>
          <w:highlight w:val="none"/>
        </w:rPr>
        <w:t>日历天）内不修改、撤销响应文件。</w:t>
      </w:r>
    </w:p>
    <w:p>
      <w:pPr>
        <w:spacing w:line="560" w:lineRule="exact"/>
        <w:ind w:firstLine="525" w:firstLineChars="250"/>
        <w:rPr>
          <w:rFonts w:hint="eastAsia" w:ascii="宋体" w:hAnsi="宋体" w:cs="宋体"/>
          <w:color w:val="auto"/>
          <w:sz w:val="21"/>
          <w:szCs w:val="21"/>
          <w:highlight w:val="none"/>
          <w:lang w:eastAsia="zh-CN"/>
        </w:rPr>
      </w:pPr>
      <w:r>
        <w:rPr>
          <w:rFonts w:ascii="宋体" w:hAnsi="宋体" w:cs="宋体"/>
          <w:color w:val="auto"/>
          <w:sz w:val="21"/>
          <w:szCs w:val="21"/>
          <w:highlight w:val="none"/>
        </w:rPr>
        <w:t>5</w:t>
      </w:r>
      <w:r>
        <w:rPr>
          <w:rFonts w:hint="eastAsia" w:ascii="宋体" w:hAnsi="宋体" w:cs="宋体"/>
          <w:color w:val="auto"/>
          <w:sz w:val="21"/>
          <w:szCs w:val="21"/>
          <w:highlight w:val="none"/>
        </w:rPr>
        <w:t>、如果在规定的开标时间后，投标供应商在投标有效期内撤回投标，</w:t>
      </w:r>
      <w:r>
        <w:rPr>
          <w:rFonts w:hint="eastAsia" w:ascii="宋体" w:hAnsi="宋体" w:cs="宋体"/>
          <w:color w:val="auto"/>
          <w:sz w:val="21"/>
          <w:szCs w:val="21"/>
          <w:highlight w:val="none"/>
          <w:lang w:eastAsia="zh-CN"/>
        </w:rPr>
        <w:t>我们将自愿接受相关处罚。</w:t>
      </w:r>
    </w:p>
    <w:p>
      <w:pPr>
        <w:spacing w:line="560" w:lineRule="exact"/>
        <w:ind w:firstLine="525" w:firstLineChars="250"/>
        <w:rPr>
          <w:rFonts w:ascii="宋体" w:cs="宋体"/>
          <w:color w:val="auto"/>
          <w:sz w:val="21"/>
          <w:szCs w:val="21"/>
          <w:highlight w:val="none"/>
        </w:rPr>
      </w:pPr>
      <w:r>
        <w:rPr>
          <w:rFonts w:ascii="宋体" w:hAnsi="宋体" w:cs="宋体"/>
          <w:color w:val="auto"/>
          <w:sz w:val="21"/>
          <w:szCs w:val="21"/>
          <w:highlight w:val="none"/>
        </w:rPr>
        <w:t>6</w:t>
      </w:r>
      <w:r>
        <w:rPr>
          <w:rFonts w:hint="eastAsia" w:ascii="宋体" w:hAnsi="宋体" w:cs="宋体"/>
          <w:color w:val="auto"/>
          <w:sz w:val="21"/>
          <w:szCs w:val="21"/>
          <w:highlight w:val="none"/>
        </w:rPr>
        <w:t>、投标供应商同意提供按照贵方可能要求的与其投标有关的一切数据或资料，完全理解贵方不一定接受最低价的投标或没收任何投标。</w:t>
      </w:r>
    </w:p>
    <w:p>
      <w:pPr>
        <w:spacing w:line="560" w:lineRule="exact"/>
        <w:rPr>
          <w:rFonts w:ascii="宋体" w:cs="宋体"/>
          <w:color w:val="auto"/>
          <w:sz w:val="21"/>
          <w:szCs w:val="21"/>
          <w:highlight w:val="none"/>
          <w:u w:val="single"/>
        </w:rPr>
      </w:pPr>
      <w:r>
        <w:rPr>
          <w:rFonts w:ascii="宋体" w:hAnsi="宋体" w:cs="宋体"/>
          <w:color w:val="auto"/>
          <w:sz w:val="21"/>
          <w:szCs w:val="21"/>
          <w:highlight w:val="none"/>
        </w:rPr>
        <w:t xml:space="preserve">                       </w:t>
      </w:r>
      <w:r>
        <w:rPr>
          <w:rFonts w:hint="eastAsia" w:ascii="宋体" w:hAnsi="宋体" w:cs="宋体"/>
          <w:color w:val="auto"/>
          <w:sz w:val="21"/>
          <w:szCs w:val="21"/>
          <w:highlight w:val="none"/>
        </w:rPr>
        <w:t>供应商名称（公章）：</w:t>
      </w:r>
      <w:r>
        <w:rPr>
          <w:rFonts w:ascii="宋体" w:hAnsi="宋体" w:cs="宋体"/>
          <w:color w:val="auto"/>
          <w:sz w:val="21"/>
          <w:szCs w:val="21"/>
          <w:highlight w:val="none"/>
        </w:rPr>
        <w:t xml:space="preserve"> </w:t>
      </w:r>
      <w:r>
        <w:rPr>
          <w:rFonts w:ascii="宋体" w:hAnsi="宋体" w:cs="宋体"/>
          <w:color w:val="auto"/>
          <w:sz w:val="21"/>
          <w:szCs w:val="21"/>
          <w:highlight w:val="none"/>
          <w:u w:val="single"/>
        </w:rPr>
        <w:t xml:space="preserve">                   </w:t>
      </w:r>
    </w:p>
    <w:p>
      <w:pPr>
        <w:spacing w:line="560" w:lineRule="exact"/>
        <w:rPr>
          <w:rFonts w:ascii="宋体" w:cs="宋体"/>
          <w:color w:val="auto"/>
          <w:sz w:val="21"/>
          <w:szCs w:val="21"/>
          <w:highlight w:val="none"/>
        </w:rPr>
      </w:pPr>
      <w:r>
        <w:rPr>
          <w:rFonts w:ascii="宋体" w:hAnsi="宋体" w:cs="宋体"/>
          <w:color w:val="auto"/>
          <w:sz w:val="21"/>
          <w:szCs w:val="21"/>
          <w:highlight w:val="none"/>
        </w:rPr>
        <w:t xml:space="preserve">                       </w:t>
      </w:r>
      <w:r>
        <w:rPr>
          <w:rFonts w:hint="eastAsia" w:ascii="宋体" w:hAnsi="宋体" w:cs="宋体"/>
          <w:color w:val="auto"/>
          <w:sz w:val="21"/>
          <w:szCs w:val="21"/>
          <w:highlight w:val="none"/>
        </w:rPr>
        <w:t>法定代表人或授权委托人</w:t>
      </w:r>
      <w:r>
        <w:rPr>
          <w:rFonts w:hint="eastAsia" w:ascii="宋体" w:hAnsi="宋体" w:eastAsia="宋体" w:cs="宋体"/>
          <w:color w:val="auto"/>
          <w:kern w:val="2"/>
          <w:sz w:val="21"/>
          <w:szCs w:val="21"/>
          <w:highlight w:val="none"/>
          <w:lang w:val="en-US" w:eastAsia="zh-CN" w:bidi="ar-SA"/>
        </w:rPr>
        <w:t>（签字或盖章）</w:t>
      </w:r>
      <w:r>
        <w:rPr>
          <w:rFonts w:hint="eastAsia" w:ascii="宋体" w:hAnsi="宋体" w:cs="宋体"/>
          <w:color w:val="auto"/>
          <w:kern w:val="2"/>
          <w:sz w:val="21"/>
          <w:szCs w:val="21"/>
          <w:highlight w:val="none"/>
          <w:lang w:val="en-US" w:eastAsia="zh-CN" w:bidi="ar-SA"/>
        </w:rPr>
        <w:t>：</w:t>
      </w:r>
      <w:r>
        <w:rPr>
          <w:rFonts w:ascii="宋体" w:hAnsi="宋体" w:cs="宋体"/>
          <w:b/>
          <w:color w:val="auto"/>
          <w:sz w:val="21"/>
          <w:szCs w:val="21"/>
          <w:highlight w:val="none"/>
          <w:u w:val="single"/>
        </w:rPr>
        <w:t xml:space="preserve">             </w:t>
      </w:r>
    </w:p>
    <w:p>
      <w:pPr>
        <w:spacing w:line="520" w:lineRule="exact"/>
        <w:ind w:firstLine="4095" w:firstLineChars="1950"/>
        <w:rPr>
          <w:rFonts w:ascii="宋体" w:cs="宋体"/>
          <w:color w:val="auto"/>
          <w:sz w:val="21"/>
          <w:szCs w:val="21"/>
          <w:highlight w:val="none"/>
        </w:rPr>
      </w:pPr>
      <w:r>
        <w:rPr>
          <w:rFonts w:hint="eastAsia" w:ascii="宋体" w:hAnsi="宋体" w:cs="宋体"/>
          <w:color w:val="auto"/>
          <w:sz w:val="21"/>
          <w:szCs w:val="21"/>
          <w:highlight w:val="none"/>
        </w:rPr>
        <w:t>日</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期：</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年</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月</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日</w:t>
      </w:r>
    </w:p>
    <w:p>
      <w:pPr>
        <w:spacing w:line="520" w:lineRule="exact"/>
        <w:rPr>
          <w:rFonts w:ascii="宋体" w:cs="宋体"/>
          <w:color w:val="auto"/>
          <w:sz w:val="21"/>
          <w:szCs w:val="21"/>
          <w:highlight w:val="none"/>
        </w:rPr>
      </w:pPr>
    </w:p>
    <w:p>
      <w:pPr>
        <w:pStyle w:val="39"/>
        <w:rPr>
          <w:rFonts w:ascii="宋体" w:cs="宋体"/>
          <w:color w:val="auto"/>
          <w:sz w:val="21"/>
          <w:szCs w:val="21"/>
          <w:highlight w:val="none"/>
        </w:rPr>
      </w:pPr>
    </w:p>
    <w:p>
      <w:pPr>
        <w:pStyle w:val="3"/>
        <w:rPr>
          <w:color w:val="auto"/>
          <w:sz w:val="21"/>
          <w:szCs w:val="21"/>
          <w:highlight w:val="none"/>
        </w:rPr>
      </w:pPr>
    </w:p>
    <w:p>
      <w:pPr>
        <w:pStyle w:val="40"/>
        <w:rPr>
          <w:color w:val="auto"/>
          <w:highlight w:val="none"/>
        </w:rPr>
      </w:pPr>
    </w:p>
    <w:bookmarkEnd w:id="113"/>
    <w:p>
      <w:pPr>
        <w:pStyle w:val="25"/>
        <w:numPr>
          <w:ilvl w:val="0"/>
          <w:numId w:val="5"/>
        </w:numPr>
        <w:rPr>
          <w:rFonts w:hint="eastAsia" w:ascii="宋体" w:hAnsi="宋体" w:cs="宋体"/>
          <w:color w:val="auto"/>
          <w:highlight w:val="none"/>
        </w:rPr>
      </w:pPr>
      <w:bookmarkStart w:id="114" w:name="_Toc29211"/>
      <w:r>
        <w:rPr>
          <w:rFonts w:hint="eastAsia" w:ascii="宋体" w:hAnsi="宋体" w:cs="宋体"/>
          <w:color w:val="auto"/>
          <w:highlight w:val="none"/>
        </w:rPr>
        <w:t>磋商函附录</w:t>
      </w:r>
      <w:bookmarkEnd w:id="114"/>
    </w:p>
    <w:p>
      <w:pPr>
        <w:widowControl w:val="0"/>
        <w:numPr>
          <w:ilvl w:val="0"/>
          <w:numId w:val="0"/>
        </w:numPr>
        <w:jc w:val="both"/>
        <w:rPr>
          <w:color w:val="auto"/>
          <w:highlight w:val="none"/>
        </w:rPr>
      </w:pPr>
    </w:p>
    <w:tbl>
      <w:tblPr>
        <w:tblStyle w:val="29"/>
        <w:tblW w:w="8745" w:type="dxa"/>
        <w:jc w:val="center"/>
        <w:tblLayout w:type="fixed"/>
        <w:tblCellMar>
          <w:top w:w="0" w:type="dxa"/>
          <w:left w:w="0" w:type="dxa"/>
          <w:bottom w:w="0" w:type="dxa"/>
          <w:right w:w="0" w:type="dxa"/>
        </w:tblCellMar>
      </w:tblPr>
      <w:tblGrid>
        <w:gridCol w:w="1869"/>
        <w:gridCol w:w="3471"/>
        <w:gridCol w:w="1348"/>
        <w:gridCol w:w="2057"/>
      </w:tblGrid>
      <w:tr>
        <w:tblPrEx>
          <w:tblCellMar>
            <w:top w:w="0" w:type="dxa"/>
            <w:left w:w="0" w:type="dxa"/>
            <w:bottom w:w="0" w:type="dxa"/>
            <w:right w:w="0" w:type="dxa"/>
          </w:tblCellMar>
        </w:tblPrEx>
        <w:trPr>
          <w:cantSplit/>
          <w:trHeight w:val="783" w:hRule="atLeast"/>
          <w:jc w:val="center"/>
        </w:trPr>
        <w:tc>
          <w:tcPr>
            <w:tcW w:w="18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r>
              <w:rPr>
                <w:rFonts w:hint="eastAsia" w:ascii="宋体" w:hAnsi="宋体" w:cs="宋体"/>
                <w:color w:val="auto"/>
                <w:szCs w:val="21"/>
                <w:highlight w:val="none"/>
              </w:rPr>
              <w:t>项目名称</w:t>
            </w:r>
          </w:p>
        </w:tc>
        <w:tc>
          <w:tcPr>
            <w:tcW w:w="34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p>
        </w:tc>
        <w:tc>
          <w:tcPr>
            <w:tcW w:w="134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cs="宋体"/>
                <w:color w:val="auto"/>
                <w:szCs w:val="21"/>
                <w:highlight w:val="none"/>
              </w:rPr>
            </w:pPr>
            <w:r>
              <w:rPr>
                <w:rFonts w:hint="eastAsia" w:ascii="宋体" w:hAnsi="宋体" w:cs="宋体"/>
                <w:color w:val="auto"/>
                <w:szCs w:val="21"/>
                <w:highlight w:val="none"/>
              </w:rPr>
              <w:t>项目编号</w:t>
            </w:r>
          </w:p>
        </w:tc>
        <w:tc>
          <w:tcPr>
            <w:tcW w:w="205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cs="宋体"/>
                <w:color w:val="auto"/>
                <w:szCs w:val="21"/>
                <w:highlight w:val="none"/>
              </w:rPr>
            </w:pPr>
          </w:p>
        </w:tc>
      </w:tr>
      <w:tr>
        <w:tblPrEx>
          <w:tblCellMar>
            <w:top w:w="0" w:type="dxa"/>
            <w:left w:w="0" w:type="dxa"/>
            <w:bottom w:w="0" w:type="dxa"/>
            <w:right w:w="0" w:type="dxa"/>
          </w:tblCellMar>
        </w:tblPrEx>
        <w:trPr>
          <w:cantSplit/>
          <w:trHeight w:val="1323" w:hRule="atLeast"/>
          <w:jc w:val="center"/>
        </w:trPr>
        <w:tc>
          <w:tcPr>
            <w:tcW w:w="186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r>
              <w:rPr>
                <w:rFonts w:hint="eastAsia" w:ascii="宋体" w:hAnsi="宋体" w:cs="宋体"/>
                <w:color w:val="auto"/>
                <w:szCs w:val="21"/>
                <w:highlight w:val="none"/>
              </w:rPr>
              <w:t>磋商报价</w:t>
            </w:r>
            <w:r>
              <w:rPr>
                <w:rFonts w:ascii="宋体" w:hAnsi="宋体" w:cs="宋体"/>
                <w:color w:val="auto"/>
                <w:szCs w:val="21"/>
                <w:highlight w:val="none"/>
              </w:rPr>
              <w:t xml:space="preserve"> </w:t>
            </w:r>
            <w:r>
              <w:rPr>
                <w:rFonts w:hint="eastAsia" w:ascii="宋体" w:hAnsi="宋体" w:cs="宋体"/>
                <w:color w:val="auto"/>
                <w:szCs w:val="21"/>
                <w:highlight w:val="none"/>
              </w:rPr>
              <w:t>（元）</w:t>
            </w:r>
          </w:p>
        </w:tc>
        <w:tc>
          <w:tcPr>
            <w:tcW w:w="6876"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ind w:firstLine="210" w:firstLineChars="100"/>
              <w:rPr>
                <w:rFonts w:ascii="宋体" w:hAnsi="宋体" w:cs="宋体"/>
                <w:color w:val="auto"/>
                <w:szCs w:val="21"/>
                <w:highlight w:val="none"/>
                <w:u w:val="single"/>
              </w:rPr>
            </w:pPr>
            <w:r>
              <w:rPr>
                <w:rFonts w:hint="eastAsia" w:ascii="宋体" w:hAnsi="宋体" w:cs="宋体"/>
                <w:color w:val="auto"/>
                <w:szCs w:val="21"/>
                <w:highlight w:val="none"/>
              </w:rPr>
              <w:t>总报价：人民币大写：</w:t>
            </w:r>
            <w:r>
              <w:rPr>
                <w:rFonts w:ascii="宋体" w:hAnsi="宋体" w:cs="宋体"/>
                <w:color w:val="auto"/>
                <w:szCs w:val="21"/>
                <w:highlight w:val="none"/>
                <w:u w:val="single"/>
              </w:rPr>
              <w:t xml:space="preserve">                 </w:t>
            </w:r>
            <w:r>
              <w:rPr>
                <w:rFonts w:hint="eastAsia" w:ascii="宋体" w:hAnsi="宋体" w:cs="宋体"/>
                <w:color w:val="auto"/>
                <w:szCs w:val="21"/>
                <w:highlight w:val="none"/>
              </w:rPr>
              <w:t>；小写：</w:t>
            </w:r>
            <w:r>
              <w:rPr>
                <w:rFonts w:ascii="宋体" w:hAnsi="宋体" w:cs="宋体"/>
                <w:color w:val="auto"/>
                <w:szCs w:val="21"/>
                <w:highlight w:val="none"/>
                <w:u w:val="single"/>
              </w:rPr>
              <w:t xml:space="preserve">                 </w:t>
            </w:r>
          </w:p>
        </w:tc>
      </w:tr>
      <w:tr>
        <w:tblPrEx>
          <w:tblCellMar>
            <w:top w:w="0" w:type="dxa"/>
            <w:left w:w="0" w:type="dxa"/>
            <w:bottom w:w="0" w:type="dxa"/>
            <w:right w:w="0" w:type="dxa"/>
          </w:tblCellMar>
        </w:tblPrEx>
        <w:trPr>
          <w:cantSplit/>
          <w:trHeight w:val="1092" w:hRule="atLeast"/>
          <w:jc w:val="center"/>
        </w:trPr>
        <w:tc>
          <w:tcPr>
            <w:tcW w:w="18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r>
              <w:rPr>
                <w:rFonts w:hint="eastAsia" w:ascii="宋体" w:hAnsi="宋体" w:cs="宋体"/>
                <w:color w:val="auto"/>
                <w:szCs w:val="21"/>
                <w:highlight w:val="none"/>
              </w:rPr>
              <w:t>合同履行期限</w:t>
            </w:r>
          </w:p>
        </w:tc>
        <w:tc>
          <w:tcPr>
            <w:tcW w:w="6876"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p>
        </w:tc>
      </w:tr>
      <w:tr>
        <w:tblPrEx>
          <w:tblCellMar>
            <w:top w:w="0" w:type="dxa"/>
            <w:left w:w="0" w:type="dxa"/>
            <w:bottom w:w="0" w:type="dxa"/>
            <w:right w:w="0" w:type="dxa"/>
          </w:tblCellMar>
        </w:tblPrEx>
        <w:trPr>
          <w:cantSplit/>
          <w:trHeight w:val="953" w:hRule="atLeast"/>
          <w:jc w:val="center"/>
        </w:trPr>
        <w:tc>
          <w:tcPr>
            <w:tcW w:w="18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876"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p>
        </w:tc>
      </w:tr>
      <w:tr>
        <w:tblPrEx>
          <w:tblCellMar>
            <w:top w:w="0" w:type="dxa"/>
            <w:left w:w="0" w:type="dxa"/>
            <w:bottom w:w="0" w:type="dxa"/>
            <w:right w:w="0" w:type="dxa"/>
          </w:tblCellMar>
        </w:tblPrEx>
        <w:trPr>
          <w:cantSplit/>
          <w:trHeight w:val="868" w:hRule="atLeast"/>
          <w:jc w:val="center"/>
        </w:trPr>
        <w:tc>
          <w:tcPr>
            <w:tcW w:w="18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r>
              <w:rPr>
                <w:rFonts w:hint="eastAsia" w:ascii="宋体" w:hAnsi="宋体" w:eastAsia="宋体" w:cs="宋体"/>
                <w:color w:val="auto"/>
                <w:szCs w:val="21"/>
                <w:highlight w:val="none"/>
              </w:rPr>
              <w:t>磋商有效期</w:t>
            </w:r>
          </w:p>
        </w:tc>
        <w:tc>
          <w:tcPr>
            <w:tcW w:w="6876"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left"/>
              <w:rPr>
                <w:rFonts w:ascii="宋体" w:cs="宋体"/>
                <w:color w:val="auto"/>
                <w:szCs w:val="21"/>
                <w:highlight w:val="none"/>
              </w:rPr>
            </w:pPr>
          </w:p>
        </w:tc>
      </w:tr>
      <w:tr>
        <w:tblPrEx>
          <w:tblCellMar>
            <w:top w:w="0" w:type="dxa"/>
            <w:left w:w="0" w:type="dxa"/>
            <w:bottom w:w="0" w:type="dxa"/>
            <w:right w:w="0" w:type="dxa"/>
          </w:tblCellMar>
        </w:tblPrEx>
        <w:trPr>
          <w:cantSplit/>
          <w:trHeight w:val="916" w:hRule="atLeast"/>
          <w:jc w:val="center"/>
        </w:trPr>
        <w:tc>
          <w:tcPr>
            <w:tcW w:w="18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备注</w:t>
            </w:r>
          </w:p>
        </w:tc>
        <w:tc>
          <w:tcPr>
            <w:tcW w:w="6876"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left"/>
              <w:rPr>
                <w:rFonts w:ascii="宋体" w:cs="宋体"/>
                <w:color w:val="auto"/>
                <w:szCs w:val="21"/>
                <w:highlight w:val="none"/>
              </w:rPr>
            </w:pPr>
          </w:p>
        </w:tc>
      </w:tr>
    </w:tbl>
    <w:p>
      <w:pPr>
        <w:pStyle w:val="6"/>
        <w:spacing w:line="520" w:lineRule="exact"/>
        <w:ind w:left="0" w:leftChars="0"/>
        <w:rPr>
          <w:rFonts w:hint="eastAsia" w:ascii="宋体" w:hAnsi="宋体" w:cs="宋体"/>
          <w:color w:val="auto"/>
          <w:szCs w:val="21"/>
          <w:highlight w:val="none"/>
        </w:rPr>
      </w:pPr>
    </w:p>
    <w:p>
      <w:pPr>
        <w:pStyle w:val="6"/>
        <w:spacing w:line="520" w:lineRule="exact"/>
        <w:ind w:left="0" w:leftChars="0"/>
        <w:rPr>
          <w:rFonts w:hint="eastAsia" w:ascii="宋体" w:hAnsi="宋体" w:cs="宋体"/>
          <w:color w:val="auto"/>
          <w:szCs w:val="21"/>
          <w:highlight w:val="none"/>
        </w:rPr>
      </w:pPr>
      <w:r>
        <w:rPr>
          <w:rFonts w:hint="eastAsia" w:ascii="宋体" w:hAnsi="宋体" w:cs="宋体"/>
          <w:color w:val="auto"/>
          <w:szCs w:val="21"/>
          <w:highlight w:val="none"/>
        </w:rPr>
        <w:t>注：1、报价应包括磋商文件所确定的采购范围内的全部费用。</w:t>
      </w:r>
    </w:p>
    <w:p>
      <w:pPr>
        <w:pStyle w:val="6"/>
        <w:spacing w:line="360" w:lineRule="exact"/>
        <w:ind w:left="0" w:leftChars="0" w:firstLine="240" w:firstLineChars="100"/>
        <w:rPr>
          <w:rFonts w:hint="eastAsia" w:ascii="仿宋" w:hAnsi="仿宋" w:eastAsia="仿宋" w:cs="仿宋"/>
          <w:color w:val="auto"/>
          <w:sz w:val="24"/>
          <w:highlight w:val="none"/>
        </w:rPr>
      </w:pPr>
    </w:p>
    <w:p>
      <w:pPr>
        <w:pStyle w:val="6"/>
        <w:spacing w:line="520" w:lineRule="exact"/>
        <w:ind w:left="0" w:leftChars="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供应商名称（公章）：</w:t>
      </w:r>
    </w:p>
    <w:p>
      <w:pPr>
        <w:pStyle w:val="6"/>
        <w:spacing w:line="520" w:lineRule="exact"/>
        <w:ind w:left="0" w:leftChars="0" w:firstLine="210" w:firstLineChars="10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法定代表人或授权委托人（签字或盖章）</w:t>
      </w:r>
      <w:r>
        <w:rPr>
          <w:rFonts w:hint="eastAsia" w:ascii="宋体" w:hAnsi="宋体" w:cs="宋体"/>
          <w:color w:val="auto"/>
          <w:szCs w:val="21"/>
          <w:highlight w:val="none"/>
          <w:lang w:eastAsia="zh-CN"/>
        </w:rPr>
        <w:t>：</w:t>
      </w:r>
    </w:p>
    <w:p>
      <w:pPr>
        <w:pStyle w:val="6"/>
        <w:spacing w:line="360" w:lineRule="exact"/>
        <w:rPr>
          <w:rFonts w:ascii="宋体" w:cs="宋体"/>
          <w:color w:val="auto"/>
          <w:szCs w:val="21"/>
          <w:highlight w:val="none"/>
        </w:rPr>
      </w:pPr>
    </w:p>
    <w:p>
      <w:pPr>
        <w:spacing w:line="360" w:lineRule="exact"/>
        <w:rPr>
          <w:rFonts w:hint="eastAsia" w:ascii="宋体" w:hAnsi="宋体" w:cs="宋体"/>
          <w:color w:val="auto"/>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bookmarkStart w:id="115" w:name="_Toc2504"/>
    </w:p>
    <w:p>
      <w:pPr>
        <w:spacing w:line="300" w:lineRule="exact"/>
        <w:rPr>
          <w:rFonts w:hint="eastAsia" w:ascii="宋体" w:hAnsi="宋体" w:cs="宋体"/>
          <w:color w:val="auto"/>
          <w:highlight w:val="none"/>
        </w:rPr>
      </w:pPr>
    </w:p>
    <w:bookmarkEnd w:id="115"/>
    <w:p>
      <w:pPr>
        <w:rPr>
          <w:rFonts w:hint="eastAsia" w:ascii="宋体" w:hAnsi="宋体" w:cs="宋体"/>
          <w:color w:val="auto"/>
          <w:highlight w:val="none"/>
          <w:lang w:eastAsia="zh-CN"/>
        </w:rPr>
      </w:pPr>
      <w:r>
        <w:rPr>
          <w:rFonts w:ascii="宋体" w:hAnsi="宋体" w:cs="宋体"/>
          <w:color w:val="auto"/>
          <w:highlight w:val="none"/>
        </w:rPr>
        <w:t xml:space="preserve">         </w:t>
      </w:r>
    </w:p>
    <w:p>
      <w:pPr>
        <w:jc w:val="both"/>
        <w:rPr>
          <w:rFonts w:hint="eastAsia" w:ascii="宋体" w:hAnsi="宋体" w:eastAsia="宋体" w:cs="宋体"/>
          <w:b/>
          <w:bCs/>
          <w:color w:val="auto"/>
          <w:kern w:val="28"/>
          <w:sz w:val="32"/>
          <w:szCs w:val="32"/>
          <w:highlight w:val="none"/>
          <w:lang w:val="en-US" w:eastAsia="zh-CN" w:bidi="ar-SA"/>
        </w:rPr>
      </w:pPr>
    </w:p>
    <w:p>
      <w:pPr>
        <w:numPr>
          <w:ilvl w:val="0"/>
          <w:numId w:val="0"/>
        </w:numPr>
        <w:jc w:val="center"/>
        <w:rPr>
          <w:rFonts w:hint="eastAsia" w:ascii="宋体" w:hAnsi="宋体" w:cs="宋体"/>
          <w:b/>
          <w:bCs/>
          <w:color w:val="auto"/>
          <w:kern w:val="28"/>
          <w:sz w:val="32"/>
          <w:szCs w:val="32"/>
          <w:highlight w:val="none"/>
          <w:lang w:val="en-US" w:eastAsia="zh-CN" w:bidi="ar-SA"/>
        </w:rPr>
      </w:pPr>
    </w:p>
    <w:p>
      <w:pPr>
        <w:numPr>
          <w:ilvl w:val="0"/>
          <w:numId w:val="0"/>
        </w:numPr>
        <w:jc w:val="center"/>
        <w:rPr>
          <w:rFonts w:hint="eastAsia" w:ascii="宋体" w:hAnsi="宋体" w:cs="宋体"/>
          <w:b/>
          <w:bCs/>
          <w:color w:val="auto"/>
          <w:kern w:val="28"/>
          <w:sz w:val="32"/>
          <w:szCs w:val="32"/>
          <w:highlight w:val="none"/>
          <w:lang w:val="en-US" w:eastAsia="zh-CN" w:bidi="ar-SA"/>
        </w:rPr>
      </w:pPr>
    </w:p>
    <w:p>
      <w:pPr>
        <w:numPr>
          <w:ilvl w:val="0"/>
          <w:numId w:val="0"/>
        </w:numPr>
        <w:jc w:val="center"/>
        <w:rPr>
          <w:rFonts w:hint="eastAsia" w:ascii="宋体" w:hAnsi="宋体" w:cs="宋体"/>
          <w:b/>
          <w:bCs/>
          <w:color w:val="auto"/>
          <w:kern w:val="28"/>
          <w:sz w:val="32"/>
          <w:szCs w:val="32"/>
          <w:highlight w:val="none"/>
          <w:lang w:val="en-US" w:eastAsia="zh-CN" w:bidi="ar-SA"/>
        </w:rPr>
      </w:pPr>
    </w:p>
    <w:p>
      <w:pPr>
        <w:numPr>
          <w:ilvl w:val="0"/>
          <w:numId w:val="0"/>
        </w:numPr>
        <w:jc w:val="center"/>
        <w:rPr>
          <w:rFonts w:hint="eastAsia" w:ascii="宋体" w:hAnsi="宋体" w:cs="宋体"/>
          <w:b/>
          <w:bCs/>
          <w:color w:val="auto"/>
          <w:kern w:val="28"/>
          <w:sz w:val="32"/>
          <w:szCs w:val="32"/>
          <w:highlight w:val="none"/>
          <w:lang w:val="en-US" w:eastAsia="zh-CN" w:bidi="ar-SA"/>
        </w:rPr>
      </w:pPr>
    </w:p>
    <w:p>
      <w:pPr>
        <w:numPr>
          <w:ilvl w:val="0"/>
          <w:numId w:val="0"/>
        </w:numPr>
        <w:jc w:val="center"/>
        <w:rPr>
          <w:rFonts w:hint="eastAsia"/>
          <w:lang w:val="en-US" w:eastAsia="zh-CN"/>
        </w:rPr>
      </w:pPr>
      <w:r>
        <w:rPr>
          <w:rFonts w:hint="eastAsia" w:ascii="宋体" w:hAnsi="宋体" w:cs="宋体"/>
          <w:b/>
          <w:bCs/>
          <w:color w:val="auto"/>
          <w:kern w:val="28"/>
          <w:sz w:val="32"/>
          <w:szCs w:val="32"/>
          <w:highlight w:val="none"/>
          <w:lang w:val="en-US" w:eastAsia="zh-CN" w:bidi="ar-SA"/>
        </w:rPr>
        <w:t>二、货物</w:t>
      </w:r>
      <w:r>
        <w:rPr>
          <w:rFonts w:hint="eastAsia" w:ascii="宋体" w:hAnsi="宋体" w:eastAsia="宋体" w:cs="宋体"/>
          <w:b/>
          <w:bCs/>
          <w:color w:val="auto"/>
          <w:kern w:val="28"/>
          <w:sz w:val="32"/>
          <w:szCs w:val="32"/>
          <w:highlight w:val="none"/>
          <w:lang w:val="en-US" w:eastAsia="zh-CN" w:bidi="ar-SA"/>
        </w:rPr>
        <w:t>分项报价一览表</w:t>
      </w:r>
    </w:p>
    <w:p>
      <w:pPr>
        <w:rPr>
          <w:rFonts w:hint="eastAsia"/>
          <w:lang w:val="en-US" w:eastAsia="zh-CN"/>
        </w:rPr>
      </w:pPr>
      <w:bookmarkStart w:id="116" w:name="_Toc5894"/>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96"/>
        <w:gridCol w:w="2239"/>
        <w:gridCol w:w="974"/>
        <w:gridCol w:w="886"/>
        <w:gridCol w:w="886"/>
        <w:gridCol w:w="860"/>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53" w:type="dxa"/>
            <w:gridSpan w:val="8"/>
            <w:vAlign w:val="center"/>
          </w:tcPr>
          <w:p>
            <w:pPr>
              <w:jc w:val="both"/>
              <w:rPr>
                <w:rFonts w:hint="default"/>
                <w:u w:val="none"/>
                <w:vertAlign w:val="baseline"/>
                <w:lang w:val="en-US" w:eastAsia="zh-CN"/>
              </w:rPr>
            </w:pPr>
            <w:r>
              <w:rPr>
                <w:rFonts w:hint="eastAsia"/>
                <w:vertAlign w:val="baseline"/>
                <w:lang w:val="en-US" w:eastAsia="zh-CN"/>
              </w:rPr>
              <w:t>项目名称：</w:t>
            </w:r>
            <w:r>
              <w:rPr>
                <w:rFonts w:hint="eastAsia"/>
                <w:u w:val="single"/>
                <w:vertAlign w:val="baseline"/>
                <w:lang w:val="en-US" w:eastAsia="zh-CN"/>
              </w:rPr>
              <w:t xml:space="preserve"> （此处填项目名称）  </w:t>
            </w:r>
            <w:r>
              <w:rPr>
                <w:rFonts w:hint="eastAsia"/>
                <w:u w:val="none"/>
                <w:vertAlign w:val="baseline"/>
                <w:lang w:val="en-US" w:eastAsia="zh-CN"/>
              </w:rPr>
              <w:t xml:space="preserve">                             金额单位：元（人民币）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633" w:type="dxa"/>
            <w:vAlign w:val="center"/>
          </w:tcPr>
          <w:p>
            <w:pPr>
              <w:jc w:val="center"/>
              <w:rPr>
                <w:rFonts w:hint="default"/>
                <w:vertAlign w:val="baseline"/>
                <w:lang w:val="en-US" w:eastAsia="zh-CN"/>
              </w:rPr>
            </w:pPr>
            <w:r>
              <w:rPr>
                <w:rFonts w:hint="eastAsia"/>
                <w:vertAlign w:val="baseline"/>
                <w:lang w:val="en-US" w:eastAsia="zh-CN"/>
              </w:rPr>
              <w:t>序号</w:t>
            </w:r>
          </w:p>
        </w:tc>
        <w:tc>
          <w:tcPr>
            <w:tcW w:w="1396" w:type="dxa"/>
            <w:vAlign w:val="center"/>
          </w:tcPr>
          <w:p>
            <w:pPr>
              <w:jc w:val="center"/>
              <w:rPr>
                <w:rFonts w:hint="default"/>
                <w:vertAlign w:val="baseline"/>
                <w:lang w:val="en-US" w:eastAsia="zh-CN"/>
              </w:rPr>
            </w:pPr>
            <w:r>
              <w:rPr>
                <w:rFonts w:hint="eastAsia"/>
                <w:vertAlign w:val="baseline"/>
                <w:lang w:val="en-US" w:eastAsia="zh-CN"/>
              </w:rPr>
              <w:t>项目（设备）名称</w:t>
            </w:r>
          </w:p>
        </w:tc>
        <w:tc>
          <w:tcPr>
            <w:tcW w:w="2239" w:type="dxa"/>
            <w:vAlign w:val="center"/>
          </w:tcPr>
          <w:p>
            <w:pPr>
              <w:jc w:val="center"/>
              <w:rPr>
                <w:rFonts w:hint="default"/>
                <w:vertAlign w:val="baseline"/>
                <w:lang w:val="en-US" w:eastAsia="zh-CN"/>
              </w:rPr>
            </w:pPr>
            <w:r>
              <w:rPr>
                <w:rFonts w:hint="eastAsia"/>
                <w:vertAlign w:val="baseline"/>
                <w:lang w:val="en-US" w:eastAsia="zh-CN"/>
              </w:rPr>
              <w:t>品牌、技术参数</w:t>
            </w:r>
          </w:p>
        </w:tc>
        <w:tc>
          <w:tcPr>
            <w:tcW w:w="974" w:type="dxa"/>
            <w:vAlign w:val="center"/>
          </w:tcPr>
          <w:p>
            <w:pPr>
              <w:jc w:val="center"/>
              <w:rPr>
                <w:rFonts w:hint="default"/>
                <w:vertAlign w:val="baseline"/>
                <w:lang w:val="en-US" w:eastAsia="zh-CN"/>
              </w:rPr>
            </w:pPr>
            <w:r>
              <w:rPr>
                <w:rFonts w:hint="eastAsia"/>
                <w:vertAlign w:val="baseline"/>
                <w:lang w:val="en-US" w:eastAsia="zh-CN"/>
              </w:rPr>
              <w:t>单位</w:t>
            </w:r>
          </w:p>
        </w:tc>
        <w:tc>
          <w:tcPr>
            <w:tcW w:w="886" w:type="dxa"/>
            <w:vAlign w:val="center"/>
          </w:tcPr>
          <w:p>
            <w:pPr>
              <w:jc w:val="center"/>
              <w:rPr>
                <w:rFonts w:hint="default"/>
                <w:vertAlign w:val="baseline"/>
                <w:lang w:val="en-US" w:eastAsia="zh-CN"/>
              </w:rPr>
            </w:pPr>
            <w:r>
              <w:rPr>
                <w:rFonts w:hint="eastAsia"/>
                <w:vertAlign w:val="baseline"/>
                <w:lang w:val="en-US" w:eastAsia="zh-CN"/>
              </w:rPr>
              <w:t>数量</w:t>
            </w:r>
          </w:p>
        </w:tc>
        <w:tc>
          <w:tcPr>
            <w:tcW w:w="886" w:type="dxa"/>
            <w:vAlign w:val="center"/>
          </w:tcPr>
          <w:p>
            <w:pPr>
              <w:jc w:val="center"/>
              <w:rPr>
                <w:rFonts w:hint="default"/>
                <w:vertAlign w:val="baseline"/>
                <w:lang w:val="en-US" w:eastAsia="zh-CN"/>
              </w:rPr>
            </w:pPr>
            <w:r>
              <w:rPr>
                <w:rFonts w:hint="eastAsia"/>
                <w:vertAlign w:val="baseline"/>
                <w:lang w:val="en-US" w:eastAsia="zh-CN"/>
              </w:rPr>
              <w:t>单价</w:t>
            </w:r>
          </w:p>
        </w:tc>
        <w:tc>
          <w:tcPr>
            <w:tcW w:w="860" w:type="dxa"/>
            <w:vAlign w:val="center"/>
          </w:tcPr>
          <w:p>
            <w:pPr>
              <w:jc w:val="center"/>
              <w:rPr>
                <w:rFonts w:hint="default"/>
                <w:vertAlign w:val="baseline"/>
                <w:lang w:val="en-US" w:eastAsia="zh-CN"/>
              </w:rPr>
            </w:pPr>
            <w:r>
              <w:rPr>
                <w:rFonts w:hint="eastAsia"/>
                <w:vertAlign w:val="baseline"/>
                <w:lang w:val="en-US" w:eastAsia="zh-CN"/>
              </w:rPr>
              <w:t>合计</w:t>
            </w:r>
          </w:p>
        </w:tc>
        <w:tc>
          <w:tcPr>
            <w:tcW w:w="979" w:type="dxa"/>
            <w:vAlign w:val="center"/>
          </w:tcPr>
          <w:p>
            <w:pPr>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33" w:type="dxa"/>
          </w:tcPr>
          <w:p>
            <w:pPr>
              <w:rPr>
                <w:rFonts w:hint="eastAsia"/>
                <w:vertAlign w:val="baseline"/>
                <w:lang w:val="en-US" w:eastAsia="zh-CN"/>
              </w:rPr>
            </w:pPr>
          </w:p>
        </w:tc>
        <w:tc>
          <w:tcPr>
            <w:tcW w:w="1396" w:type="dxa"/>
          </w:tcPr>
          <w:p>
            <w:pPr>
              <w:rPr>
                <w:rFonts w:hint="eastAsia"/>
                <w:vertAlign w:val="baseline"/>
                <w:lang w:val="en-US" w:eastAsia="zh-CN"/>
              </w:rPr>
            </w:pPr>
          </w:p>
        </w:tc>
        <w:tc>
          <w:tcPr>
            <w:tcW w:w="2239" w:type="dxa"/>
          </w:tcPr>
          <w:p>
            <w:pPr>
              <w:rPr>
                <w:rFonts w:hint="eastAsia"/>
                <w:vertAlign w:val="baseline"/>
                <w:lang w:val="en-US" w:eastAsia="zh-CN"/>
              </w:rPr>
            </w:pPr>
          </w:p>
        </w:tc>
        <w:tc>
          <w:tcPr>
            <w:tcW w:w="974" w:type="dxa"/>
          </w:tcPr>
          <w:p>
            <w:pPr>
              <w:rPr>
                <w:rFonts w:hint="eastAsia"/>
                <w:vertAlign w:val="baseline"/>
                <w:lang w:val="en-US" w:eastAsia="zh-CN"/>
              </w:rPr>
            </w:pPr>
          </w:p>
        </w:tc>
        <w:tc>
          <w:tcPr>
            <w:tcW w:w="886" w:type="dxa"/>
          </w:tcPr>
          <w:p>
            <w:pPr>
              <w:rPr>
                <w:rFonts w:hint="eastAsia"/>
                <w:vertAlign w:val="baseline"/>
                <w:lang w:val="en-US" w:eastAsia="zh-CN"/>
              </w:rPr>
            </w:pPr>
          </w:p>
        </w:tc>
        <w:tc>
          <w:tcPr>
            <w:tcW w:w="886" w:type="dxa"/>
          </w:tcPr>
          <w:p>
            <w:pPr>
              <w:rPr>
                <w:rFonts w:hint="eastAsia"/>
                <w:vertAlign w:val="baseline"/>
                <w:lang w:val="en-US" w:eastAsia="zh-CN"/>
              </w:rPr>
            </w:pPr>
          </w:p>
        </w:tc>
        <w:tc>
          <w:tcPr>
            <w:tcW w:w="860" w:type="dxa"/>
          </w:tcPr>
          <w:p>
            <w:pPr>
              <w:rPr>
                <w:rFonts w:hint="eastAsia"/>
                <w:vertAlign w:val="baseline"/>
                <w:lang w:val="en-US" w:eastAsia="zh-CN"/>
              </w:rPr>
            </w:pPr>
          </w:p>
        </w:tc>
        <w:tc>
          <w:tcPr>
            <w:tcW w:w="979"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33" w:type="dxa"/>
          </w:tcPr>
          <w:p>
            <w:pPr>
              <w:rPr>
                <w:rFonts w:hint="eastAsia"/>
                <w:vertAlign w:val="baseline"/>
                <w:lang w:val="en-US" w:eastAsia="zh-CN"/>
              </w:rPr>
            </w:pPr>
          </w:p>
        </w:tc>
        <w:tc>
          <w:tcPr>
            <w:tcW w:w="1396" w:type="dxa"/>
          </w:tcPr>
          <w:p>
            <w:pPr>
              <w:rPr>
                <w:rFonts w:hint="eastAsia"/>
                <w:vertAlign w:val="baseline"/>
                <w:lang w:val="en-US" w:eastAsia="zh-CN"/>
              </w:rPr>
            </w:pPr>
          </w:p>
        </w:tc>
        <w:tc>
          <w:tcPr>
            <w:tcW w:w="2239" w:type="dxa"/>
          </w:tcPr>
          <w:p>
            <w:pPr>
              <w:rPr>
                <w:rFonts w:hint="eastAsia"/>
                <w:vertAlign w:val="baseline"/>
                <w:lang w:val="en-US" w:eastAsia="zh-CN"/>
              </w:rPr>
            </w:pPr>
          </w:p>
        </w:tc>
        <w:tc>
          <w:tcPr>
            <w:tcW w:w="974" w:type="dxa"/>
          </w:tcPr>
          <w:p>
            <w:pPr>
              <w:rPr>
                <w:rFonts w:hint="eastAsia"/>
                <w:vertAlign w:val="baseline"/>
                <w:lang w:val="en-US" w:eastAsia="zh-CN"/>
              </w:rPr>
            </w:pPr>
          </w:p>
        </w:tc>
        <w:tc>
          <w:tcPr>
            <w:tcW w:w="886" w:type="dxa"/>
          </w:tcPr>
          <w:p>
            <w:pPr>
              <w:rPr>
                <w:rFonts w:hint="eastAsia"/>
                <w:vertAlign w:val="baseline"/>
                <w:lang w:val="en-US" w:eastAsia="zh-CN"/>
              </w:rPr>
            </w:pPr>
          </w:p>
        </w:tc>
        <w:tc>
          <w:tcPr>
            <w:tcW w:w="886" w:type="dxa"/>
          </w:tcPr>
          <w:p>
            <w:pPr>
              <w:rPr>
                <w:rFonts w:hint="eastAsia"/>
                <w:vertAlign w:val="baseline"/>
                <w:lang w:val="en-US" w:eastAsia="zh-CN"/>
              </w:rPr>
            </w:pPr>
          </w:p>
        </w:tc>
        <w:tc>
          <w:tcPr>
            <w:tcW w:w="860" w:type="dxa"/>
          </w:tcPr>
          <w:p>
            <w:pPr>
              <w:rPr>
                <w:rFonts w:hint="eastAsia"/>
                <w:vertAlign w:val="baseline"/>
                <w:lang w:val="en-US" w:eastAsia="zh-CN"/>
              </w:rPr>
            </w:pPr>
          </w:p>
        </w:tc>
        <w:tc>
          <w:tcPr>
            <w:tcW w:w="979"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33" w:type="dxa"/>
          </w:tcPr>
          <w:p>
            <w:pPr>
              <w:rPr>
                <w:rFonts w:hint="eastAsia"/>
                <w:vertAlign w:val="baseline"/>
                <w:lang w:val="en-US" w:eastAsia="zh-CN"/>
              </w:rPr>
            </w:pPr>
          </w:p>
        </w:tc>
        <w:tc>
          <w:tcPr>
            <w:tcW w:w="1396" w:type="dxa"/>
          </w:tcPr>
          <w:p>
            <w:pPr>
              <w:rPr>
                <w:rFonts w:hint="eastAsia"/>
                <w:vertAlign w:val="baseline"/>
                <w:lang w:val="en-US" w:eastAsia="zh-CN"/>
              </w:rPr>
            </w:pPr>
          </w:p>
        </w:tc>
        <w:tc>
          <w:tcPr>
            <w:tcW w:w="2239" w:type="dxa"/>
          </w:tcPr>
          <w:p>
            <w:pPr>
              <w:rPr>
                <w:rFonts w:hint="eastAsia"/>
                <w:vertAlign w:val="baseline"/>
                <w:lang w:val="en-US" w:eastAsia="zh-CN"/>
              </w:rPr>
            </w:pPr>
          </w:p>
        </w:tc>
        <w:tc>
          <w:tcPr>
            <w:tcW w:w="974" w:type="dxa"/>
          </w:tcPr>
          <w:p>
            <w:pPr>
              <w:rPr>
                <w:rFonts w:hint="eastAsia"/>
                <w:vertAlign w:val="baseline"/>
                <w:lang w:val="en-US" w:eastAsia="zh-CN"/>
              </w:rPr>
            </w:pPr>
          </w:p>
        </w:tc>
        <w:tc>
          <w:tcPr>
            <w:tcW w:w="886" w:type="dxa"/>
          </w:tcPr>
          <w:p>
            <w:pPr>
              <w:rPr>
                <w:rFonts w:hint="eastAsia"/>
                <w:vertAlign w:val="baseline"/>
                <w:lang w:val="en-US" w:eastAsia="zh-CN"/>
              </w:rPr>
            </w:pPr>
          </w:p>
        </w:tc>
        <w:tc>
          <w:tcPr>
            <w:tcW w:w="886" w:type="dxa"/>
          </w:tcPr>
          <w:p>
            <w:pPr>
              <w:rPr>
                <w:rFonts w:hint="eastAsia"/>
                <w:vertAlign w:val="baseline"/>
                <w:lang w:val="en-US" w:eastAsia="zh-CN"/>
              </w:rPr>
            </w:pPr>
          </w:p>
        </w:tc>
        <w:tc>
          <w:tcPr>
            <w:tcW w:w="860" w:type="dxa"/>
          </w:tcPr>
          <w:p>
            <w:pPr>
              <w:rPr>
                <w:rFonts w:hint="eastAsia"/>
                <w:vertAlign w:val="baseline"/>
                <w:lang w:val="en-US" w:eastAsia="zh-CN"/>
              </w:rPr>
            </w:pPr>
          </w:p>
        </w:tc>
        <w:tc>
          <w:tcPr>
            <w:tcW w:w="979"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3" w:type="dxa"/>
          </w:tcPr>
          <w:p>
            <w:pPr>
              <w:rPr>
                <w:rFonts w:hint="eastAsia"/>
                <w:vertAlign w:val="baseline"/>
                <w:lang w:val="en-US" w:eastAsia="zh-CN"/>
              </w:rPr>
            </w:pPr>
          </w:p>
        </w:tc>
        <w:tc>
          <w:tcPr>
            <w:tcW w:w="1396" w:type="dxa"/>
          </w:tcPr>
          <w:p>
            <w:pPr>
              <w:rPr>
                <w:rFonts w:hint="eastAsia"/>
                <w:vertAlign w:val="baseline"/>
                <w:lang w:val="en-US" w:eastAsia="zh-CN"/>
              </w:rPr>
            </w:pPr>
          </w:p>
        </w:tc>
        <w:tc>
          <w:tcPr>
            <w:tcW w:w="2239" w:type="dxa"/>
          </w:tcPr>
          <w:p>
            <w:pPr>
              <w:rPr>
                <w:rFonts w:hint="eastAsia"/>
                <w:vertAlign w:val="baseline"/>
                <w:lang w:val="en-US" w:eastAsia="zh-CN"/>
              </w:rPr>
            </w:pPr>
          </w:p>
        </w:tc>
        <w:tc>
          <w:tcPr>
            <w:tcW w:w="974" w:type="dxa"/>
          </w:tcPr>
          <w:p>
            <w:pPr>
              <w:rPr>
                <w:rFonts w:hint="eastAsia"/>
                <w:vertAlign w:val="baseline"/>
                <w:lang w:val="en-US" w:eastAsia="zh-CN"/>
              </w:rPr>
            </w:pPr>
          </w:p>
        </w:tc>
        <w:tc>
          <w:tcPr>
            <w:tcW w:w="886" w:type="dxa"/>
          </w:tcPr>
          <w:p>
            <w:pPr>
              <w:rPr>
                <w:rFonts w:hint="eastAsia"/>
                <w:vertAlign w:val="baseline"/>
                <w:lang w:val="en-US" w:eastAsia="zh-CN"/>
              </w:rPr>
            </w:pPr>
          </w:p>
        </w:tc>
        <w:tc>
          <w:tcPr>
            <w:tcW w:w="886" w:type="dxa"/>
          </w:tcPr>
          <w:p>
            <w:pPr>
              <w:rPr>
                <w:rFonts w:hint="eastAsia"/>
                <w:vertAlign w:val="baseline"/>
                <w:lang w:val="en-US" w:eastAsia="zh-CN"/>
              </w:rPr>
            </w:pPr>
          </w:p>
        </w:tc>
        <w:tc>
          <w:tcPr>
            <w:tcW w:w="860" w:type="dxa"/>
          </w:tcPr>
          <w:p>
            <w:pPr>
              <w:rPr>
                <w:rFonts w:hint="eastAsia"/>
                <w:vertAlign w:val="baseline"/>
                <w:lang w:val="en-US" w:eastAsia="zh-CN"/>
              </w:rPr>
            </w:pPr>
          </w:p>
        </w:tc>
        <w:tc>
          <w:tcPr>
            <w:tcW w:w="979"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33" w:type="dxa"/>
          </w:tcPr>
          <w:p>
            <w:pPr>
              <w:rPr>
                <w:rFonts w:hint="eastAsia"/>
                <w:vertAlign w:val="baseline"/>
                <w:lang w:val="en-US" w:eastAsia="zh-CN"/>
              </w:rPr>
            </w:pPr>
          </w:p>
        </w:tc>
        <w:tc>
          <w:tcPr>
            <w:tcW w:w="1396" w:type="dxa"/>
          </w:tcPr>
          <w:p>
            <w:pPr>
              <w:rPr>
                <w:rFonts w:hint="eastAsia"/>
                <w:vertAlign w:val="baseline"/>
                <w:lang w:val="en-US" w:eastAsia="zh-CN"/>
              </w:rPr>
            </w:pPr>
          </w:p>
        </w:tc>
        <w:tc>
          <w:tcPr>
            <w:tcW w:w="2239" w:type="dxa"/>
          </w:tcPr>
          <w:p>
            <w:pPr>
              <w:rPr>
                <w:rFonts w:hint="eastAsia"/>
                <w:vertAlign w:val="baseline"/>
                <w:lang w:val="en-US" w:eastAsia="zh-CN"/>
              </w:rPr>
            </w:pPr>
          </w:p>
        </w:tc>
        <w:tc>
          <w:tcPr>
            <w:tcW w:w="974" w:type="dxa"/>
          </w:tcPr>
          <w:p>
            <w:pPr>
              <w:rPr>
                <w:rFonts w:hint="eastAsia"/>
                <w:vertAlign w:val="baseline"/>
                <w:lang w:val="en-US" w:eastAsia="zh-CN"/>
              </w:rPr>
            </w:pPr>
          </w:p>
        </w:tc>
        <w:tc>
          <w:tcPr>
            <w:tcW w:w="886" w:type="dxa"/>
          </w:tcPr>
          <w:p>
            <w:pPr>
              <w:rPr>
                <w:rFonts w:hint="eastAsia"/>
                <w:vertAlign w:val="baseline"/>
                <w:lang w:val="en-US" w:eastAsia="zh-CN"/>
              </w:rPr>
            </w:pPr>
          </w:p>
        </w:tc>
        <w:tc>
          <w:tcPr>
            <w:tcW w:w="886" w:type="dxa"/>
          </w:tcPr>
          <w:p>
            <w:pPr>
              <w:rPr>
                <w:rFonts w:hint="eastAsia"/>
                <w:vertAlign w:val="baseline"/>
                <w:lang w:val="en-US" w:eastAsia="zh-CN"/>
              </w:rPr>
            </w:pPr>
          </w:p>
        </w:tc>
        <w:tc>
          <w:tcPr>
            <w:tcW w:w="860" w:type="dxa"/>
          </w:tcPr>
          <w:p>
            <w:pPr>
              <w:rPr>
                <w:rFonts w:hint="eastAsia"/>
                <w:vertAlign w:val="baseline"/>
                <w:lang w:val="en-US" w:eastAsia="zh-CN"/>
              </w:rPr>
            </w:pPr>
          </w:p>
        </w:tc>
        <w:tc>
          <w:tcPr>
            <w:tcW w:w="979"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33" w:type="dxa"/>
          </w:tcPr>
          <w:p>
            <w:pPr>
              <w:rPr>
                <w:rFonts w:hint="eastAsia"/>
                <w:vertAlign w:val="baseline"/>
                <w:lang w:val="en-US" w:eastAsia="zh-CN"/>
              </w:rPr>
            </w:pPr>
          </w:p>
        </w:tc>
        <w:tc>
          <w:tcPr>
            <w:tcW w:w="1396" w:type="dxa"/>
          </w:tcPr>
          <w:p>
            <w:pPr>
              <w:rPr>
                <w:rFonts w:hint="eastAsia"/>
                <w:vertAlign w:val="baseline"/>
                <w:lang w:val="en-US" w:eastAsia="zh-CN"/>
              </w:rPr>
            </w:pPr>
          </w:p>
        </w:tc>
        <w:tc>
          <w:tcPr>
            <w:tcW w:w="2239" w:type="dxa"/>
          </w:tcPr>
          <w:p>
            <w:pPr>
              <w:rPr>
                <w:rFonts w:hint="eastAsia"/>
                <w:vertAlign w:val="baseline"/>
                <w:lang w:val="en-US" w:eastAsia="zh-CN"/>
              </w:rPr>
            </w:pPr>
          </w:p>
        </w:tc>
        <w:tc>
          <w:tcPr>
            <w:tcW w:w="974" w:type="dxa"/>
          </w:tcPr>
          <w:p>
            <w:pPr>
              <w:rPr>
                <w:rFonts w:hint="eastAsia"/>
                <w:vertAlign w:val="baseline"/>
                <w:lang w:val="en-US" w:eastAsia="zh-CN"/>
              </w:rPr>
            </w:pPr>
          </w:p>
        </w:tc>
        <w:tc>
          <w:tcPr>
            <w:tcW w:w="886" w:type="dxa"/>
          </w:tcPr>
          <w:p>
            <w:pPr>
              <w:rPr>
                <w:rFonts w:hint="eastAsia"/>
                <w:vertAlign w:val="baseline"/>
                <w:lang w:val="en-US" w:eastAsia="zh-CN"/>
              </w:rPr>
            </w:pPr>
          </w:p>
        </w:tc>
        <w:tc>
          <w:tcPr>
            <w:tcW w:w="886" w:type="dxa"/>
          </w:tcPr>
          <w:p>
            <w:pPr>
              <w:rPr>
                <w:rFonts w:hint="eastAsia"/>
                <w:vertAlign w:val="baseline"/>
                <w:lang w:val="en-US" w:eastAsia="zh-CN"/>
              </w:rPr>
            </w:pPr>
          </w:p>
        </w:tc>
        <w:tc>
          <w:tcPr>
            <w:tcW w:w="860" w:type="dxa"/>
          </w:tcPr>
          <w:p>
            <w:pPr>
              <w:rPr>
                <w:rFonts w:hint="eastAsia"/>
                <w:vertAlign w:val="baseline"/>
                <w:lang w:val="en-US" w:eastAsia="zh-CN"/>
              </w:rPr>
            </w:pPr>
          </w:p>
        </w:tc>
        <w:tc>
          <w:tcPr>
            <w:tcW w:w="979"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8853" w:type="dxa"/>
            <w:gridSpan w:val="8"/>
          </w:tcPr>
          <w:p>
            <w:pPr>
              <w:rPr>
                <w:rFonts w:hint="eastAsia"/>
                <w:lang w:val="en-US" w:eastAsia="zh-CN"/>
              </w:rPr>
            </w:pPr>
          </w:p>
          <w:p>
            <w:pPr>
              <w:rPr>
                <w:rFonts w:hint="eastAsia"/>
                <w:lang w:val="en-US" w:eastAsia="zh-CN"/>
              </w:rPr>
            </w:pPr>
          </w:p>
          <w:p>
            <w:pPr>
              <w:rPr>
                <w:rFonts w:hint="eastAsia"/>
                <w:lang w:val="en-US" w:eastAsia="zh-CN"/>
              </w:rPr>
            </w:pPr>
          </w:p>
          <w:p>
            <w:pPr>
              <w:ind w:firstLine="1050" w:firstLineChars="500"/>
              <w:rPr>
                <w:rFonts w:hint="eastAsia"/>
                <w:lang w:val="en-US" w:eastAsia="zh-CN"/>
              </w:rPr>
            </w:pPr>
            <w:r>
              <w:rPr>
                <w:rFonts w:hint="eastAsia"/>
                <w:lang w:val="en-US" w:eastAsia="zh-CN"/>
              </w:rPr>
              <w:t>优惠条件：</w:t>
            </w:r>
          </w:p>
          <w:p>
            <w:pPr>
              <w:rPr>
                <w:rFonts w:hint="eastAsia"/>
                <w:lang w:val="en-US" w:eastAsia="zh-CN"/>
              </w:rPr>
            </w:pPr>
          </w:p>
          <w:p>
            <w:pPr>
              <w:rPr>
                <w:rFonts w:hint="eastAsia"/>
                <w:lang w:val="en-US" w:eastAsia="zh-CN"/>
              </w:rPr>
            </w:pPr>
          </w:p>
          <w:p>
            <w:pPr>
              <w:rPr>
                <w:rFonts w:hint="eastAsia"/>
                <w:lang w:val="en-US" w:eastAsia="zh-CN"/>
              </w:rPr>
            </w:pPr>
          </w:p>
          <w:p>
            <w:pPr>
              <w:spacing w:line="360" w:lineRule="auto"/>
              <w:ind w:firstLine="3570" w:firstLineChars="1700"/>
              <w:rPr>
                <w:rFonts w:hint="eastAsia"/>
                <w:lang w:val="en-US" w:eastAsia="zh-CN"/>
              </w:rPr>
            </w:pPr>
            <w:r>
              <w:rPr>
                <w:rFonts w:hint="eastAsia"/>
                <w:lang w:val="en-US" w:eastAsia="zh-CN"/>
              </w:rPr>
              <w:t>供应商名称：（盖单位公章）</w:t>
            </w:r>
          </w:p>
          <w:p>
            <w:pPr>
              <w:spacing w:line="360" w:lineRule="auto"/>
              <w:ind w:firstLine="3570" w:firstLineChars="1700"/>
              <w:rPr>
                <w:rFonts w:hint="default"/>
                <w:lang w:val="en-US" w:eastAsia="zh-CN"/>
              </w:rPr>
            </w:pPr>
            <w:r>
              <w:rPr>
                <w:rFonts w:hint="eastAsia"/>
                <w:lang w:val="en-US" w:eastAsia="zh-CN"/>
              </w:rPr>
              <w:t>法定代表人（负责人）或其委托代理人：（签字）</w:t>
            </w:r>
          </w:p>
          <w:p>
            <w:pPr>
              <w:spacing w:line="360" w:lineRule="auto"/>
              <w:ind w:firstLine="3780" w:firstLineChars="1800"/>
              <w:rPr>
                <w:rFonts w:hint="default"/>
                <w:lang w:val="en-US" w:eastAsia="zh-CN"/>
              </w:rPr>
            </w:pPr>
            <w:r>
              <w:rPr>
                <w:rFonts w:hint="eastAsia"/>
                <w:lang w:val="en-US" w:eastAsia="zh-CN"/>
              </w:rPr>
              <w:t>日    期：   年   月   日</w:t>
            </w:r>
          </w:p>
          <w:p>
            <w:pPr>
              <w:rPr>
                <w:rFonts w:hint="eastAsia"/>
                <w:lang w:val="en-US" w:eastAsia="zh-CN"/>
              </w:rPr>
            </w:pPr>
          </w:p>
          <w:p>
            <w:pPr>
              <w:rPr>
                <w:rFonts w:hint="default"/>
                <w:lang w:val="en-US" w:eastAsia="zh-CN"/>
              </w:rPr>
            </w:pP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5"/>
        <w:ind w:firstLine="3213" w:firstLineChars="1000"/>
        <w:jc w:val="both"/>
      </w:pPr>
      <w:r>
        <w:rPr>
          <w:rFonts w:hint="eastAsia" w:ascii="宋体" w:hAnsi="宋体" w:cs="宋体"/>
          <w:b/>
          <w:bCs/>
          <w:color w:val="auto"/>
          <w:kern w:val="28"/>
          <w:sz w:val="32"/>
          <w:szCs w:val="32"/>
          <w:highlight w:val="none"/>
          <w:lang w:val="en-US" w:eastAsia="zh-CN" w:bidi="ar-SA"/>
        </w:rPr>
        <w:t>三、</w:t>
      </w:r>
      <w:r>
        <w:rPr>
          <w:rFonts w:hint="eastAsia"/>
        </w:rPr>
        <w:t>技术规格偏差表</w:t>
      </w:r>
      <w:bookmarkEnd w:id="116"/>
    </w:p>
    <w:p>
      <w:pPr>
        <w:spacing w:line="500" w:lineRule="exact"/>
        <w:rPr>
          <w:rFonts w:ascii="宋体" w:hAnsi="宋体"/>
        </w:rPr>
      </w:pPr>
    </w:p>
    <w:p>
      <w:pPr>
        <w:widowControl/>
        <w:spacing w:line="500" w:lineRule="exact"/>
        <w:rPr>
          <w:rFonts w:ascii="宋体" w:hAnsi="宋体" w:cs="宋体"/>
          <w:szCs w:val="21"/>
          <w:u w:val="single"/>
        </w:rPr>
      </w:pPr>
      <w:r>
        <w:rPr>
          <w:rFonts w:hint="eastAsia" w:ascii="宋体" w:hAnsi="宋体" w:cs="宋体"/>
          <w:szCs w:val="21"/>
        </w:rPr>
        <w:t>项目名称：</w:t>
      </w:r>
    </w:p>
    <w:p>
      <w:pPr>
        <w:widowControl/>
        <w:spacing w:line="500" w:lineRule="exact"/>
        <w:rPr>
          <w:rFonts w:ascii="宋体" w:hAnsi="宋体" w:cs="宋体"/>
          <w:szCs w:val="21"/>
          <w:u w:val="single"/>
        </w:rPr>
      </w:pPr>
      <w:r>
        <w:rPr>
          <w:rFonts w:hint="eastAsia" w:ascii="宋体" w:hAnsi="宋体" w:cs="宋体"/>
          <w:szCs w:val="21"/>
        </w:rPr>
        <w:t>项目编号：</w:t>
      </w:r>
    </w:p>
    <w:tbl>
      <w:tblPr>
        <w:tblStyle w:val="29"/>
        <w:tblpPr w:leftFromText="180" w:rightFromText="180" w:vertAnchor="text" w:horzAnchor="margin" w:tblpY="297"/>
        <w:tblW w:w="884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856"/>
        <w:gridCol w:w="1892"/>
        <w:gridCol w:w="2434"/>
        <w:gridCol w:w="2246"/>
        <w:gridCol w:w="9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7" w:hRule="atLeast"/>
        </w:trPr>
        <w:tc>
          <w:tcPr>
            <w:tcW w:w="516" w:type="dxa"/>
            <w:vAlign w:val="center"/>
          </w:tcPr>
          <w:p>
            <w:pPr>
              <w:spacing w:line="500" w:lineRule="exact"/>
              <w:jc w:val="center"/>
              <w:rPr>
                <w:rFonts w:ascii="宋体" w:hAnsi="宋体" w:cs="宋体"/>
                <w:szCs w:val="21"/>
              </w:rPr>
            </w:pPr>
            <w:r>
              <w:rPr>
                <w:rFonts w:hint="eastAsia" w:ascii="宋体" w:hAnsi="宋体" w:cs="宋体"/>
                <w:szCs w:val="21"/>
              </w:rPr>
              <w:t>序</w:t>
            </w:r>
          </w:p>
          <w:p>
            <w:pPr>
              <w:spacing w:line="500" w:lineRule="exact"/>
              <w:jc w:val="center"/>
              <w:rPr>
                <w:rFonts w:ascii="宋体" w:hAnsi="宋体" w:cs="宋体"/>
                <w:szCs w:val="21"/>
              </w:rPr>
            </w:pPr>
            <w:r>
              <w:rPr>
                <w:rFonts w:hint="eastAsia" w:ascii="宋体" w:hAnsi="宋体" w:cs="宋体"/>
                <w:szCs w:val="21"/>
              </w:rPr>
              <w:t>号</w:t>
            </w:r>
          </w:p>
        </w:tc>
        <w:tc>
          <w:tcPr>
            <w:tcW w:w="856" w:type="dxa"/>
            <w:vAlign w:val="center"/>
          </w:tcPr>
          <w:p>
            <w:pPr>
              <w:spacing w:line="500" w:lineRule="exact"/>
              <w:jc w:val="center"/>
              <w:rPr>
                <w:rFonts w:ascii="宋体" w:hAnsi="宋体" w:cs="宋体"/>
                <w:szCs w:val="21"/>
              </w:rPr>
            </w:pPr>
            <w:r>
              <w:rPr>
                <w:rFonts w:hint="eastAsia" w:ascii="宋体" w:hAnsi="宋体" w:cs="宋体"/>
                <w:color w:val="auto"/>
                <w:szCs w:val="21"/>
                <w:highlight w:val="none"/>
              </w:rPr>
              <w:t>项目（设备）名称</w:t>
            </w:r>
          </w:p>
        </w:tc>
        <w:tc>
          <w:tcPr>
            <w:tcW w:w="1892" w:type="dxa"/>
            <w:vAlign w:val="center"/>
          </w:tcPr>
          <w:p>
            <w:pPr>
              <w:spacing w:line="500" w:lineRule="exact"/>
              <w:jc w:val="center"/>
              <w:rPr>
                <w:rFonts w:ascii="宋体" w:hAnsi="宋体" w:cs="宋体"/>
                <w:szCs w:val="21"/>
              </w:rPr>
            </w:pPr>
            <w:r>
              <w:rPr>
                <w:rFonts w:hint="eastAsia" w:ascii="宋体" w:hAnsi="宋体" w:cs="宋体"/>
                <w:szCs w:val="21"/>
                <w:lang w:eastAsia="zh-CN"/>
              </w:rPr>
              <w:t>磋商</w:t>
            </w:r>
            <w:r>
              <w:rPr>
                <w:rFonts w:hint="eastAsia" w:ascii="宋体" w:hAnsi="宋体" w:cs="宋体"/>
                <w:szCs w:val="21"/>
              </w:rPr>
              <w:t>文件技术</w:t>
            </w:r>
          </w:p>
          <w:p>
            <w:pPr>
              <w:spacing w:line="500" w:lineRule="exact"/>
              <w:jc w:val="center"/>
              <w:rPr>
                <w:rFonts w:ascii="宋体" w:hAnsi="宋体" w:cs="宋体"/>
                <w:szCs w:val="21"/>
              </w:rPr>
            </w:pPr>
            <w:r>
              <w:rPr>
                <w:rFonts w:hint="eastAsia" w:ascii="宋体" w:hAnsi="宋体" w:cs="宋体"/>
                <w:szCs w:val="21"/>
              </w:rPr>
              <w:t>要求（详细列明技术配置）</w:t>
            </w:r>
          </w:p>
        </w:tc>
        <w:tc>
          <w:tcPr>
            <w:tcW w:w="2434" w:type="dxa"/>
            <w:vAlign w:val="center"/>
          </w:tcPr>
          <w:p>
            <w:pPr>
              <w:spacing w:line="500" w:lineRule="exact"/>
              <w:jc w:val="center"/>
              <w:rPr>
                <w:rFonts w:ascii="宋体" w:hAnsi="宋体" w:cs="宋体"/>
                <w:szCs w:val="21"/>
              </w:rPr>
            </w:pPr>
            <w:r>
              <w:rPr>
                <w:rFonts w:hint="eastAsia" w:ascii="宋体" w:hAnsi="宋体" w:cs="宋体"/>
                <w:szCs w:val="21"/>
                <w:lang w:eastAsia="zh-CN"/>
              </w:rPr>
              <w:t>响应</w:t>
            </w:r>
            <w:r>
              <w:rPr>
                <w:rFonts w:hint="eastAsia" w:ascii="宋体" w:hAnsi="宋体" w:cs="宋体"/>
                <w:szCs w:val="21"/>
              </w:rPr>
              <w:t>文件技术响应情况（详细列明所投产品的技术配置）</w:t>
            </w:r>
          </w:p>
        </w:tc>
        <w:tc>
          <w:tcPr>
            <w:tcW w:w="2246" w:type="dxa"/>
            <w:vAlign w:val="center"/>
          </w:tcPr>
          <w:p>
            <w:pPr>
              <w:spacing w:line="500" w:lineRule="exact"/>
              <w:jc w:val="center"/>
              <w:rPr>
                <w:rFonts w:ascii="宋体" w:hAnsi="宋体" w:cs="宋体"/>
                <w:szCs w:val="21"/>
              </w:rPr>
            </w:pPr>
            <w:r>
              <w:rPr>
                <w:rFonts w:hint="eastAsia" w:ascii="宋体" w:hAnsi="宋体" w:cs="宋体"/>
                <w:szCs w:val="21"/>
              </w:rPr>
              <w:t>偏差描述（详细描述技术是否具有正、负偏差）</w:t>
            </w:r>
          </w:p>
        </w:tc>
        <w:tc>
          <w:tcPr>
            <w:tcW w:w="900" w:type="dxa"/>
            <w:tcBorders>
              <w:right w:val="single" w:color="auto" w:sz="4" w:space="0"/>
            </w:tcBorders>
            <w:vAlign w:val="center"/>
          </w:tcPr>
          <w:p>
            <w:pPr>
              <w:spacing w:line="500" w:lineRule="exact"/>
              <w:jc w:val="center"/>
              <w:rPr>
                <w:rFonts w:ascii="宋体" w:hAnsi="宋体" w:eastAsia="Calibri" w:cs="宋体"/>
                <w:szCs w:val="21"/>
              </w:rPr>
            </w:pPr>
            <w:r>
              <w:rPr>
                <w:rFonts w:hint="eastAsia" w:ascii="宋体" w:hAnsi="宋体" w:cs="宋体"/>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516" w:type="dxa"/>
            <w:tcBorders>
              <w:bottom w:val="single" w:color="auto" w:sz="4" w:space="0"/>
            </w:tcBorders>
            <w:vAlign w:val="center"/>
          </w:tcPr>
          <w:p>
            <w:pPr>
              <w:spacing w:line="500" w:lineRule="exact"/>
              <w:jc w:val="center"/>
              <w:rPr>
                <w:rFonts w:ascii="宋体" w:hAnsi="宋体" w:cs="宋体"/>
                <w:szCs w:val="21"/>
              </w:rPr>
            </w:pPr>
          </w:p>
        </w:tc>
        <w:tc>
          <w:tcPr>
            <w:tcW w:w="856" w:type="dxa"/>
            <w:tcBorders>
              <w:bottom w:val="single" w:color="auto" w:sz="4" w:space="0"/>
            </w:tcBorders>
            <w:vAlign w:val="center"/>
          </w:tcPr>
          <w:p>
            <w:pPr>
              <w:spacing w:line="500" w:lineRule="exact"/>
              <w:jc w:val="center"/>
              <w:rPr>
                <w:rFonts w:ascii="宋体" w:hAnsi="宋体" w:cs="宋体"/>
                <w:szCs w:val="21"/>
              </w:rPr>
            </w:pPr>
          </w:p>
        </w:tc>
        <w:tc>
          <w:tcPr>
            <w:tcW w:w="1892" w:type="dxa"/>
            <w:tcBorders>
              <w:bottom w:val="single" w:color="auto" w:sz="4" w:space="0"/>
            </w:tcBorders>
            <w:vAlign w:val="center"/>
          </w:tcPr>
          <w:p>
            <w:pPr>
              <w:spacing w:line="500" w:lineRule="exact"/>
              <w:jc w:val="center"/>
              <w:rPr>
                <w:rFonts w:ascii="宋体" w:hAnsi="宋体" w:cs="宋体"/>
                <w:szCs w:val="21"/>
              </w:rPr>
            </w:pPr>
          </w:p>
        </w:tc>
        <w:tc>
          <w:tcPr>
            <w:tcW w:w="2434" w:type="dxa"/>
            <w:tcBorders>
              <w:bottom w:val="single" w:color="auto" w:sz="4" w:space="0"/>
            </w:tcBorders>
            <w:vAlign w:val="center"/>
          </w:tcPr>
          <w:p>
            <w:pPr>
              <w:spacing w:line="500" w:lineRule="exact"/>
              <w:jc w:val="center"/>
              <w:rPr>
                <w:rFonts w:ascii="宋体" w:hAnsi="宋体" w:cs="宋体"/>
                <w:szCs w:val="21"/>
              </w:rPr>
            </w:pPr>
          </w:p>
        </w:tc>
        <w:tc>
          <w:tcPr>
            <w:tcW w:w="2246" w:type="dxa"/>
            <w:tcBorders>
              <w:bottom w:val="single" w:color="auto" w:sz="4" w:space="0"/>
            </w:tcBorders>
            <w:vAlign w:val="center"/>
          </w:tcPr>
          <w:p>
            <w:pPr>
              <w:spacing w:line="500" w:lineRule="exact"/>
              <w:jc w:val="center"/>
              <w:rPr>
                <w:rFonts w:ascii="宋体" w:hAnsi="宋体" w:cs="宋体"/>
                <w:szCs w:val="21"/>
              </w:rPr>
            </w:pPr>
          </w:p>
        </w:tc>
        <w:tc>
          <w:tcPr>
            <w:tcW w:w="900" w:type="dxa"/>
            <w:tcBorders>
              <w:bottom w:val="single" w:color="auto" w:sz="4" w:space="0"/>
              <w:right w:val="single" w:color="auto" w:sz="4" w:space="0"/>
            </w:tcBorders>
            <w:vAlign w:val="center"/>
          </w:tcPr>
          <w:p>
            <w:pPr>
              <w:spacing w:line="500" w:lineRule="exact"/>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516"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856"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1892"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2434"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2246"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900" w:type="dxa"/>
            <w:tcBorders>
              <w:top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516"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856"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1892"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2434"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2246"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900" w:type="dxa"/>
            <w:tcBorders>
              <w:top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trPr>
        <w:tc>
          <w:tcPr>
            <w:tcW w:w="516"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856"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1892"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2434"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2246" w:type="dxa"/>
            <w:tcBorders>
              <w:top w:val="single" w:color="auto" w:sz="4" w:space="0"/>
              <w:bottom w:val="single" w:color="auto" w:sz="4" w:space="0"/>
            </w:tcBorders>
            <w:vAlign w:val="center"/>
          </w:tcPr>
          <w:p>
            <w:pPr>
              <w:spacing w:line="500" w:lineRule="exact"/>
              <w:jc w:val="center"/>
              <w:rPr>
                <w:rFonts w:ascii="宋体" w:hAnsi="宋体" w:cs="宋体"/>
                <w:szCs w:val="21"/>
              </w:rPr>
            </w:pPr>
          </w:p>
        </w:tc>
        <w:tc>
          <w:tcPr>
            <w:tcW w:w="900" w:type="dxa"/>
            <w:tcBorders>
              <w:top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r>
    </w:tbl>
    <w:p>
      <w:pPr>
        <w:spacing w:line="500" w:lineRule="exact"/>
        <w:rPr>
          <w:rFonts w:ascii="宋体" w:hAnsi="宋体" w:cs="宋体"/>
          <w:szCs w:val="21"/>
        </w:rPr>
      </w:pPr>
      <w:r>
        <w:rPr>
          <w:rFonts w:hint="eastAsia" w:ascii="宋体" w:hAnsi="宋体" w:cs="宋体"/>
          <w:szCs w:val="21"/>
        </w:rPr>
        <w:t>注：此表可接续</w:t>
      </w:r>
    </w:p>
    <w:p>
      <w:pPr>
        <w:widowControl/>
        <w:spacing w:line="500" w:lineRule="exact"/>
        <w:rPr>
          <w:rFonts w:ascii="宋体" w:hAnsi="宋体" w:cs="宋体"/>
          <w:b/>
          <w:szCs w:val="21"/>
        </w:rPr>
      </w:pPr>
    </w:p>
    <w:p>
      <w:pPr>
        <w:spacing w:line="500" w:lineRule="exact"/>
        <w:ind w:firstLine="4180" w:firstLineChars="1900"/>
        <w:rPr>
          <w:rFonts w:ascii="宋体" w:hAnsi="宋体"/>
          <w:sz w:val="22"/>
          <w:szCs w:val="22"/>
        </w:rPr>
      </w:pPr>
      <w:r>
        <w:rPr>
          <w:rFonts w:hint="eastAsia" w:ascii="宋体" w:hAnsi="宋体"/>
          <w:sz w:val="22"/>
          <w:szCs w:val="22"/>
        </w:rPr>
        <w:t>供应商名称：（盖单位公章）</w:t>
      </w:r>
    </w:p>
    <w:p>
      <w:pPr>
        <w:spacing w:line="500" w:lineRule="exact"/>
        <w:jc w:val="center"/>
        <w:rPr>
          <w:rFonts w:ascii="宋体" w:hAnsi="宋体"/>
          <w:sz w:val="22"/>
          <w:szCs w:val="22"/>
        </w:rPr>
      </w:pPr>
      <w:r>
        <w:rPr>
          <w:rFonts w:hint="eastAsia" w:ascii="宋体" w:hAnsi="宋体"/>
          <w:sz w:val="22"/>
          <w:szCs w:val="22"/>
        </w:rPr>
        <w:t xml:space="preserve">                                   法定代表人（负责人）或其委托代理人：（签字）</w:t>
      </w:r>
    </w:p>
    <w:p>
      <w:pPr>
        <w:pStyle w:val="68"/>
        <w:spacing w:line="500" w:lineRule="exact"/>
        <w:ind w:firstLine="4200" w:firstLineChars="2000"/>
        <w:rPr>
          <w:rFonts w:ascii="宋体" w:hAnsi="宋体" w:cs="宋体"/>
          <w:szCs w:val="21"/>
        </w:rPr>
      </w:pPr>
      <w:r>
        <w:rPr>
          <w:rFonts w:hint="eastAsia" w:ascii="宋体" w:hAnsi="宋体" w:cs="宋体"/>
          <w:szCs w:val="21"/>
        </w:rPr>
        <w:t>日   期： 年</w:t>
      </w:r>
      <w:r>
        <w:rPr>
          <w:rFonts w:hint="eastAsia" w:ascii="宋体" w:hAnsi="宋体" w:cs="宋体"/>
          <w:szCs w:val="21"/>
          <w:lang w:val="en-US" w:eastAsia="zh-CN"/>
        </w:rPr>
        <w:t xml:space="preserve">  </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rPr>
        <w:t>日</w:t>
      </w:r>
    </w:p>
    <w:p>
      <w:pPr>
        <w:spacing w:line="600" w:lineRule="exact"/>
        <w:ind w:firstLine="420"/>
        <w:rPr>
          <w:rFonts w:ascii="宋体" w:hAnsi="宋体" w:cs="宋体"/>
          <w:kern w:val="0"/>
          <w:szCs w:val="21"/>
        </w:rPr>
      </w:pPr>
    </w:p>
    <w:p>
      <w:pPr>
        <w:widowControl/>
        <w:autoSpaceDE w:val="0"/>
        <w:autoSpaceDN w:val="0"/>
        <w:spacing w:line="500" w:lineRule="exact"/>
        <w:ind w:right="26" w:firstLine="315" w:firstLineChars="150"/>
        <w:rPr>
          <w:rFonts w:ascii="宋体" w:hAnsi="宋体" w:cs="宋体"/>
          <w:szCs w:val="21"/>
        </w:rPr>
      </w:pPr>
      <w:r>
        <w:rPr>
          <w:rFonts w:hint="eastAsia" w:ascii="宋体" w:hAnsi="宋体" w:cs="宋体"/>
          <w:szCs w:val="21"/>
        </w:rPr>
        <w:t>注：</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供应商</w:t>
      </w:r>
      <w:r>
        <w:rPr>
          <w:rFonts w:hint="eastAsia" w:ascii="宋体" w:hAnsi="宋体" w:cs="宋体"/>
          <w:szCs w:val="21"/>
        </w:rPr>
        <w:t>必须按要求规范填写技术规范偏差表。如果此表中所列内容无法满足招标文件中提出的要求或内容不一致，其投标将被视为无效投标。</w:t>
      </w:r>
    </w:p>
    <w:p>
      <w:pPr>
        <w:widowControl/>
        <w:autoSpaceDE w:val="0"/>
        <w:autoSpaceDN w:val="0"/>
        <w:spacing w:line="500" w:lineRule="exact"/>
        <w:ind w:right="26" w:firstLine="525" w:firstLineChars="25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供应商</w:t>
      </w:r>
      <w:r>
        <w:rPr>
          <w:rFonts w:hint="eastAsia" w:ascii="宋体" w:hAnsi="宋体" w:cs="宋体"/>
          <w:szCs w:val="21"/>
        </w:rPr>
        <w:t>必须根据所投产品的实际情况如实填写，评委会如发现有虚假描述的，将不予推荐中标候选人。</w:t>
      </w:r>
    </w:p>
    <w:p>
      <w:pPr>
        <w:widowControl/>
        <w:autoSpaceDE w:val="0"/>
        <w:autoSpaceDN w:val="0"/>
        <w:spacing w:line="500" w:lineRule="exact"/>
        <w:ind w:right="26" w:firstLine="525" w:firstLineChars="250"/>
        <w:rPr>
          <w:rFonts w:hint="eastAsia" w:ascii="宋体" w:hAnsi="宋体" w:cs="宋体"/>
          <w:color w:val="auto"/>
          <w:highlight w:val="none"/>
          <w:lang w:eastAsia="zh-CN"/>
        </w:rPr>
      </w:pPr>
      <w:r>
        <w:rPr>
          <w:rFonts w:hint="eastAsia" w:ascii="宋体" w:hAnsi="宋体" w:cs="宋体"/>
          <w:szCs w:val="21"/>
          <w:lang w:val="en-US" w:eastAsia="zh-CN"/>
        </w:rPr>
        <w:t>3、</w:t>
      </w:r>
      <w:r>
        <w:rPr>
          <w:rFonts w:hint="eastAsia" w:ascii="宋体" w:hAnsi="宋体" w:cs="宋体"/>
          <w:szCs w:val="21"/>
        </w:rPr>
        <w:t>如无偏差， 本表可不予填写， 但须在备注中注明完全符合</w:t>
      </w:r>
      <w:r>
        <w:rPr>
          <w:rFonts w:hint="eastAsia" w:ascii="宋体" w:hAnsi="宋体" w:cs="宋体"/>
          <w:szCs w:val="21"/>
          <w:lang w:eastAsia="zh-CN"/>
        </w:rPr>
        <w:t>磋商</w:t>
      </w:r>
      <w:r>
        <w:rPr>
          <w:rFonts w:hint="eastAsia" w:ascii="宋体" w:hAnsi="宋体" w:cs="宋体"/>
          <w:szCs w:val="21"/>
        </w:rPr>
        <w:t>文件要求， 技术规格无偏差。</w:t>
      </w:r>
    </w:p>
    <w:p>
      <w:pPr>
        <w:pStyle w:val="25"/>
        <w:rPr>
          <w:rFonts w:ascii="宋体" w:cs="宋体"/>
          <w:color w:val="auto"/>
          <w:highlight w:val="none"/>
        </w:rPr>
      </w:pPr>
      <w:bookmarkStart w:id="117" w:name="_Toc32385"/>
      <w:r>
        <w:rPr>
          <w:rFonts w:hint="eastAsia" w:ascii="宋体" w:hAnsi="宋体" w:cs="宋体"/>
          <w:color w:val="auto"/>
          <w:highlight w:val="none"/>
          <w:lang w:eastAsia="zh-CN"/>
        </w:rPr>
        <w:t>四</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法定代表人（负责人）身份证明</w:t>
      </w:r>
      <w:bookmarkEnd w:id="117"/>
    </w:p>
    <w:p>
      <w:pPr>
        <w:pStyle w:val="40"/>
        <w:jc w:val="center"/>
        <w:rPr>
          <w:rFonts w:hAnsi="宋体"/>
          <w:b/>
          <w:bCs/>
          <w:color w:val="auto"/>
          <w:kern w:val="28"/>
          <w:sz w:val="28"/>
          <w:szCs w:val="28"/>
          <w:highlight w:val="none"/>
        </w:rPr>
      </w:pP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供应商名称：</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单位性质：</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地址：</w:t>
      </w:r>
      <w:r>
        <w:rPr>
          <w:rFonts w:ascii="宋体" w:hAnsi="宋体" w:cs="宋体"/>
          <w:color w:val="auto"/>
          <w:szCs w:val="21"/>
          <w:highlight w:val="none"/>
          <w:u w:val="single"/>
        </w:rPr>
        <w:t xml:space="preserve">                                   </w:t>
      </w: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成立时间：</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经营期限：</w:t>
      </w:r>
      <w:r>
        <w:rPr>
          <w:rFonts w:ascii="宋体" w:hAnsi="宋体" w:cs="宋体"/>
          <w:color w:val="auto"/>
          <w:szCs w:val="21"/>
          <w:highlight w:val="none"/>
          <w:u w:val="single"/>
        </w:rPr>
        <w:t xml:space="preserve">                               </w:t>
      </w: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姓名：</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性别：</w:t>
      </w:r>
      <w:r>
        <w:rPr>
          <w:rFonts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ascii="宋体" w:hAnsi="宋体" w:cs="宋体"/>
          <w:color w:val="auto"/>
          <w:szCs w:val="21"/>
          <w:highlight w:val="none"/>
          <w:u w:val="single"/>
        </w:rPr>
        <w:t xml:space="preserve">        </w:t>
      </w: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系</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（供应商名称）的法定代表人。</w:t>
      </w:r>
    </w:p>
    <w:p>
      <w:pPr>
        <w:spacing w:line="560" w:lineRule="exact"/>
        <w:ind w:firstLine="420" w:firstLineChars="200"/>
        <w:rPr>
          <w:rFonts w:ascii="宋体" w:cs="宋体"/>
          <w:color w:val="auto"/>
          <w:szCs w:val="21"/>
          <w:highlight w:val="none"/>
        </w:rPr>
      </w:pPr>
      <w:r>
        <w:rPr>
          <w:rFonts w:hint="eastAsia" w:ascii="宋体" w:hAnsi="宋体" w:cs="宋体"/>
          <w:color w:val="auto"/>
          <w:szCs w:val="21"/>
          <w:highlight w:val="none"/>
        </w:rPr>
        <w:t>特此证明。</w:t>
      </w:r>
    </w:p>
    <w:p>
      <w:pPr>
        <w:spacing w:line="560" w:lineRule="exact"/>
        <w:rPr>
          <w:rFonts w:hint="eastAsia" w:ascii="宋体" w:eastAsia="宋体" w:cs="宋体"/>
          <w:color w:val="auto"/>
          <w:szCs w:val="21"/>
          <w:highlight w:val="none"/>
          <w:lang w:eastAsia="zh-CN"/>
        </w:rPr>
      </w:pPr>
      <w:r>
        <w:rPr>
          <w:rFonts w:ascii="宋体" w:hAnsi="宋体" w:cs="宋体"/>
          <w:color w:val="auto"/>
          <w:szCs w:val="21"/>
          <w:highlight w:val="none"/>
        </w:rPr>
        <w:t xml:space="preserve">    </w:t>
      </w:r>
      <w:r>
        <w:rPr>
          <w:rFonts w:hint="eastAsia" w:ascii="宋体" w:hAnsi="宋体" w:cs="宋体"/>
          <w:color w:val="auto"/>
          <w:szCs w:val="21"/>
          <w:highlight w:val="none"/>
        </w:rPr>
        <w:t>法定代表人身份证</w:t>
      </w:r>
      <w:r>
        <w:rPr>
          <w:rFonts w:hint="eastAsia" w:ascii="宋体" w:hAnsi="宋体" w:cs="宋体"/>
          <w:color w:val="auto"/>
          <w:szCs w:val="21"/>
          <w:highlight w:val="none"/>
          <w:lang w:eastAsia="zh-CN"/>
        </w:rPr>
        <w:t>复印件并加盖公章</w:t>
      </w:r>
    </w:p>
    <w:p>
      <w:pPr>
        <w:spacing w:line="560" w:lineRule="exact"/>
        <w:rPr>
          <w:rFonts w:ascii="宋体" w:cs="宋体"/>
          <w:color w:val="auto"/>
          <w:szCs w:val="21"/>
          <w:highlight w:val="none"/>
        </w:rPr>
      </w:pP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rPr>
        <w:t xml:space="preserve">           </w:t>
      </w:r>
    </w:p>
    <w:p>
      <w:pPr>
        <w:pStyle w:val="25"/>
        <w:rPr>
          <w:rFonts w:ascii="宋体" w:cs="宋体"/>
          <w:color w:val="auto"/>
          <w:highlight w:val="none"/>
        </w:rPr>
      </w:pPr>
      <w:r>
        <w:rPr>
          <w:rFonts w:ascii="宋体" w:cs="宋体"/>
          <w:color w:val="auto"/>
          <w:highlight w:val="none"/>
        </w:rPr>
        <w:br w:type="page"/>
      </w:r>
      <w:bookmarkStart w:id="118" w:name="_Toc14665"/>
      <w:bookmarkStart w:id="119" w:name="_Toc15690"/>
      <w:r>
        <w:rPr>
          <w:rFonts w:hint="eastAsia" w:ascii="宋体" w:cs="宋体"/>
          <w:color w:val="auto"/>
          <w:highlight w:val="none"/>
          <w:lang w:eastAsia="zh-CN"/>
        </w:rPr>
        <w:t>（</w:t>
      </w:r>
      <w:r>
        <w:rPr>
          <w:rFonts w:hint="eastAsia" w:ascii="宋体" w:cs="宋体"/>
          <w:color w:val="auto"/>
          <w:highlight w:val="none"/>
          <w:lang w:val="en-US" w:eastAsia="zh-CN"/>
        </w:rPr>
        <w:t>2）</w:t>
      </w:r>
      <w:r>
        <w:rPr>
          <w:rFonts w:hint="eastAsia" w:ascii="宋体" w:hAnsi="宋体" w:cs="宋体"/>
          <w:color w:val="auto"/>
          <w:highlight w:val="none"/>
        </w:rPr>
        <w:t>授权委托书</w:t>
      </w:r>
      <w:bookmarkEnd w:id="118"/>
      <w:bookmarkEnd w:id="119"/>
    </w:p>
    <w:p>
      <w:pPr>
        <w:spacing w:line="440" w:lineRule="exact"/>
        <w:rPr>
          <w:rFonts w:ascii="宋体" w:cs="宋体"/>
          <w:color w:val="auto"/>
          <w:szCs w:val="21"/>
          <w:highlight w:val="none"/>
        </w:rPr>
      </w:pPr>
    </w:p>
    <w:p>
      <w:pPr>
        <w:topLinePunct/>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本人</w:t>
      </w:r>
      <w:r>
        <w:rPr>
          <w:rFonts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（供应商名称）的法定代表人（负责人），现委托</w:t>
      </w:r>
      <w:r>
        <w:rPr>
          <w:rFonts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（项目名称）响应文件、签订合同和处理有关事宜，其法律后果由我方承担。</w:t>
      </w: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委托期限：</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560" w:lineRule="exact"/>
        <w:ind w:firstLine="420" w:firstLineChars="200"/>
        <w:rPr>
          <w:rFonts w:ascii="宋体" w:cs="宋体"/>
          <w:color w:val="auto"/>
          <w:szCs w:val="21"/>
          <w:highlight w:val="none"/>
        </w:rPr>
      </w:pPr>
      <w:r>
        <w:rPr>
          <w:rFonts w:hint="eastAsia" w:ascii="宋体" w:hAnsi="宋体" w:cs="宋体"/>
          <w:color w:val="auto"/>
          <w:szCs w:val="21"/>
          <w:highlight w:val="none"/>
        </w:rPr>
        <w:t>代理人无转委托权。</w:t>
      </w:r>
    </w:p>
    <w:p>
      <w:pPr>
        <w:spacing w:line="560" w:lineRule="exact"/>
        <w:ind w:firstLine="420" w:firstLineChars="200"/>
        <w:rPr>
          <w:rFonts w:hint="eastAsia" w:ascii="宋体" w:eastAsia="宋体" w:cs="宋体"/>
          <w:color w:val="auto"/>
          <w:szCs w:val="21"/>
          <w:highlight w:val="none"/>
          <w:lang w:eastAsia="zh-CN"/>
        </w:rPr>
      </w:pPr>
      <w:r>
        <w:rPr>
          <w:rFonts w:hint="eastAsia" w:ascii="宋体" w:hAnsi="宋体" w:cs="宋体"/>
          <w:color w:val="auto"/>
          <w:szCs w:val="21"/>
          <w:highlight w:val="none"/>
        </w:rPr>
        <w:t>附：委托代理人身份</w:t>
      </w:r>
      <w:r>
        <w:rPr>
          <w:rFonts w:hint="eastAsia" w:ascii="宋体" w:hAnsi="宋体" w:cs="宋体"/>
          <w:color w:val="auto"/>
          <w:szCs w:val="21"/>
          <w:highlight w:val="none"/>
          <w:lang w:eastAsia="zh-CN"/>
        </w:rPr>
        <w:t>证复印件并加盖公章</w:t>
      </w:r>
    </w:p>
    <w:p>
      <w:pPr>
        <w:spacing w:line="560" w:lineRule="exact"/>
        <w:rPr>
          <w:rFonts w:ascii="宋体" w:cs="宋体"/>
          <w:color w:val="auto"/>
          <w:szCs w:val="21"/>
          <w:highlight w:val="none"/>
        </w:rPr>
      </w:pPr>
    </w:p>
    <w:p>
      <w:pPr>
        <w:spacing w:line="560" w:lineRule="exact"/>
        <w:rPr>
          <w:rFonts w:ascii="宋体" w:cs="宋体"/>
          <w:color w:val="auto"/>
          <w:szCs w:val="21"/>
          <w:highlight w:val="none"/>
        </w:rPr>
      </w:pP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560" w:lineRule="exact"/>
        <w:rPr>
          <w:rFonts w:ascii="宋体" w:cs="宋体"/>
          <w:color w:val="auto"/>
          <w:szCs w:val="21"/>
          <w:highlight w:val="none"/>
        </w:rPr>
      </w:pP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pPr>
        <w:spacing w:line="560" w:lineRule="exact"/>
        <w:rPr>
          <w:rFonts w:ascii="宋体" w:cs="宋体"/>
          <w:color w:val="auto"/>
          <w:szCs w:val="21"/>
          <w:highlight w:val="none"/>
        </w:rPr>
      </w:pP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身份证号码：</w:t>
      </w:r>
      <w:r>
        <w:rPr>
          <w:rFonts w:ascii="宋体" w:hAnsi="宋体" w:cs="宋体"/>
          <w:color w:val="auto"/>
          <w:szCs w:val="21"/>
          <w:highlight w:val="none"/>
          <w:u w:val="single"/>
        </w:rPr>
        <w:t xml:space="preserve">                                     </w:t>
      </w:r>
    </w:p>
    <w:p>
      <w:pPr>
        <w:spacing w:line="560" w:lineRule="exact"/>
        <w:rPr>
          <w:rFonts w:ascii="宋体" w:cs="宋体"/>
          <w:color w:val="auto"/>
          <w:szCs w:val="21"/>
          <w:highlight w:val="none"/>
        </w:rPr>
      </w:pP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委托代理人：</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w:t>
      </w:r>
      <w:r>
        <w:rPr>
          <w:rFonts w:ascii="宋体" w:hAnsi="宋体" w:cs="宋体"/>
          <w:color w:val="auto"/>
          <w:szCs w:val="21"/>
          <w:highlight w:val="none"/>
        </w:rPr>
        <w:t xml:space="preserve"> </w:t>
      </w:r>
    </w:p>
    <w:p>
      <w:pPr>
        <w:spacing w:line="560" w:lineRule="exact"/>
        <w:rPr>
          <w:rFonts w:ascii="宋体" w:cs="宋体"/>
          <w:color w:val="auto"/>
          <w:szCs w:val="21"/>
          <w:highlight w:val="none"/>
        </w:rPr>
      </w:pPr>
    </w:p>
    <w:p>
      <w:pPr>
        <w:spacing w:line="56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身份证号码：</w:t>
      </w:r>
      <w:r>
        <w:rPr>
          <w:rFonts w:ascii="宋体" w:hAnsi="宋体" w:cs="宋体"/>
          <w:color w:val="auto"/>
          <w:szCs w:val="21"/>
          <w:highlight w:val="none"/>
          <w:u w:val="single"/>
        </w:rPr>
        <w:t xml:space="preserve">                                      </w:t>
      </w:r>
    </w:p>
    <w:p>
      <w:pPr>
        <w:spacing w:line="560" w:lineRule="exact"/>
        <w:rPr>
          <w:rFonts w:ascii="宋体" w:cs="宋体"/>
          <w:color w:val="auto"/>
          <w:szCs w:val="21"/>
          <w:highlight w:val="none"/>
        </w:rPr>
      </w:pPr>
    </w:p>
    <w:p>
      <w:pPr>
        <w:spacing w:line="560" w:lineRule="exact"/>
        <w:rPr>
          <w:rFonts w:ascii="宋体" w:cs="宋体"/>
          <w:color w:val="auto"/>
          <w:szCs w:val="21"/>
          <w:highlight w:val="none"/>
        </w:rPr>
      </w:pPr>
    </w:p>
    <w:p>
      <w:pPr>
        <w:spacing w:line="560" w:lineRule="exact"/>
        <w:ind w:firstLine="5145" w:firstLineChars="2450"/>
        <w:jc w:val="both"/>
        <w:rPr>
          <w:rFonts w:asci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pPr>
        <w:jc w:val="center"/>
        <w:rPr>
          <w:rFonts w:ascii="宋体" w:cs="宋体"/>
          <w:color w:val="auto"/>
          <w:szCs w:val="21"/>
          <w:highlight w:val="none"/>
        </w:rPr>
      </w:pPr>
      <w:bookmarkStart w:id="120" w:name="_Toc30296"/>
      <w:bookmarkStart w:id="121" w:name="_Toc19605"/>
    </w:p>
    <w:p>
      <w:pPr>
        <w:pStyle w:val="25"/>
        <w:rPr>
          <w:rFonts w:ascii="宋体" w:cs="宋体"/>
          <w:color w:val="auto"/>
          <w:highlight w:val="none"/>
        </w:rPr>
      </w:pPr>
      <w:bookmarkStart w:id="122" w:name="_Toc31094"/>
      <w:r>
        <w:rPr>
          <w:rFonts w:hint="eastAsia" w:ascii="宋体" w:hAnsi="宋体" w:cs="宋体"/>
          <w:color w:val="auto"/>
          <w:highlight w:val="none"/>
          <w:lang w:eastAsia="zh-CN"/>
        </w:rPr>
        <w:t>五</w:t>
      </w:r>
      <w:r>
        <w:rPr>
          <w:rFonts w:hint="eastAsia" w:ascii="宋体" w:hAnsi="宋体" w:cs="宋体"/>
          <w:color w:val="auto"/>
          <w:highlight w:val="none"/>
        </w:rPr>
        <w:t>、供应商基本情况表</w:t>
      </w:r>
      <w:bookmarkEnd w:id="120"/>
      <w:bookmarkEnd w:id="121"/>
      <w:bookmarkEnd w:id="122"/>
    </w:p>
    <w:p>
      <w:pPr>
        <w:spacing w:line="360" w:lineRule="exact"/>
        <w:rPr>
          <w:rFonts w:ascii="宋体" w:cs="宋体"/>
          <w:color w:val="auto"/>
          <w:szCs w:val="21"/>
          <w:highlight w:val="none"/>
        </w:rPr>
      </w:pPr>
    </w:p>
    <w:tbl>
      <w:tblPr>
        <w:tblStyle w:val="29"/>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078"/>
        <w:gridCol w:w="1297"/>
        <w:gridCol w:w="1298"/>
        <w:gridCol w:w="1297"/>
        <w:gridCol w:w="129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75"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投标人名称</w:t>
            </w:r>
          </w:p>
        </w:tc>
        <w:tc>
          <w:tcPr>
            <w:tcW w:w="7366" w:type="dxa"/>
            <w:gridSpan w:val="6"/>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75"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注册地址</w:t>
            </w:r>
          </w:p>
        </w:tc>
        <w:tc>
          <w:tcPr>
            <w:tcW w:w="3673" w:type="dxa"/>
            <w:gridSpan w:val="3"/>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c>
          <w:tcPr>
            <w:tcW w:w="1297"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邮政编码</w:t>
            </w:r>
          </w:p>
        </w:tc>
        <w:tc>
          <w:tcPr>
            <w:tcW w:w="2396" w:type="dxa"/>
            <w:gridSpan w:val="2"/>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75" w:type="dxa"/>
            <w:vMerge w:val="restart"/>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联系方式</w:t>
            </w:r>
          </w:p>
        </w:tc>
        <w:tc>
          <w:tcPr>
            <w:tcW w:w="1078"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联系人</w:t>
            </w:r>
          </w:p>
        </w:tc>
        <w:tc>
          <w:tcPr>
            <w:tcW w:w="2595" w:type="dxa"/>
            <w:gridSpan w:val="2"/>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c>
          <w:tcPr>
            <w:tcW w:w="1297"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 话</w:t>
            </w:r>
          </w:p>
        </w:tc>
        <w:tc>
          <w:tcPr>
            <w:tcW w:w="2396" w:type="dxa"/>
            <w:gridSpan w:val="2"/>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jc w:val="center"/>
        </w:trPr>
        <w:tc>
          <w:tcPr>
            <w:tcW w:w="1375" w:type="dxa"/>
            <w:vMerge w:val="continue"/>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c>
          <w:tcPr>
            <w:tcW w:w="1078"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传  真</w:t>
            </w:r>
          </w:p>
        </w:tc>
        <w:tc>
          <w:tcPr>
            <w:tcW w:w="2595" w:type="dxa"/>
            <w:gridSpan w:val="2"/>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c>
          <w:tcPr>
            <w:tcW w:w="1297"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网 址</w:t>
            </w:r>
          </w:p>
        </w:tc>
        <w:tc>
          <w:tcPr>
            <w:tcW w:w="2396" w:type="dxa"/>
            <w:gridSpan w:val="2"/>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75"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组织结构</w:t>
            </w:r>
          </w:p>
        </w:tc>
        <w:tc>
          <w:tcPr>
            <w:tcW w:w="7366" w:type="dxa"/>
            <w:gridSpan w:val="6"/>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75"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法定代表人（负责人）</w:t>
            </w:r>
          </w:p>
        </w:tc>
        <w:tc>
          <w:tcPr>
            <w:tcW w:w="1078"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p>
        </w:tc>
        <w:tc>
          <w:tcPr>
            <w:tcW w:w="1297"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c>
          <w:tcPr>
            <w:tcW w:w="1298"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技术职称</w:t>
            </w:r>
          </w:p>
        </w:tc>
        <w:tc>
          <w:tcPr>
            <w:tcW w:w="1297"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c>
          <w:tcPr>
            <w:tcW w:w="1298"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电话</w:t>
            </w:r>
          </w:p>
        </w:tc>
        <w:tc>
          <w:tcPr>
            <w:tcW w:w="1098"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75"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成立时间</w:t>
            </w:r>
          </w:p>
        </w:tc>
        <w:tc>
          <w:tcPr>
            <w:tcW w:w="3673" w:type="dxa"/>
            <w:gridSpan w:val="3"/>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c>
          <w:tcPr>
            <w:tcW w:w="3693" w:type="dxa"/>
            <w:gridSpan w:val="3"/>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5"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营业执照号</w:t>
            </w:r>
          </w:p>
        </w:tc>
        <w:tc>
          <w:tcPr>
            <w:tcW w:w="7366" w:type="dxa"/>
            <w:gridSpan w:val="6"/>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75"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注册资金</w:t>
            </w:r>
          </w:p>
        </w:tc>
        <w:tc>
          <w:tcPr>
            <w:tcW w:w="7366" w:type="dxa"/>
            <w:gridSpan w:val="6"/>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4" w:hRule="atLeast"/>
          <w:jc w:val="center"/>
        </w:trPr>
        <w:tc>
          <w:tcPr>
            <w:tcW w:w="1375"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经营范围</w:t>
            </w:r>
          </w:p>
        </w:tc>
        <w:tc>
          <w:tcPr>
            <w:tcW w:w="7366" w:type="dxa"/>
            <w:gridSpan w:val="6"/>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375" w:type="dxa"/>
            <w:vAlign w:val="center"/>
          </w:tcPr>
          <w:p>
            <w:pPr>
              <w:autoSpaceDE w:val="0"/>
              <w:autoSpaceDN w:val="0"/>
              <w:adjustRightInd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w:t>
            </w:r>
          </w:p>
        </w:tc>
        <w:tc>
          <w:tcPr>
            <w:tcW w:w="7366" w:type="dxa"/>
            <w:gridSpan w:val="6"/>
            <w:vAlign w:val="center"/>
          </w:tcPr>
          <w:p>
            <w:pPr>
              <w:autoSpaceDE w:val="0"/>
              <w:autoSpaceDN w:val="0"/>
              <w:adjustRightIn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投标单位</w:t>
            </w:r>
            <w:r>
              <w:rPr>
                <w:rFonts w:hint="eastAsia" w:ascii="宋体" w:hAnsi="宋体" w:cs="宋体"/>
                <w:color w:val="000000" w:themeColor="text1"/>
                <w:kern w:val="0"/>
                <w:szCs w:val="21"/>
                <w:lang w:eastAsia="zh-CN"/>
                <w14:textFill>
                  <w14:solidFill>
                    <w14:schemeClr w14:val="tx1"/>
                  </w14:solidFill>
                </w14:textFill>
              </w:rPr>
              <w:t>可根据</w:t>
            </w:r>
            <w:r>
              <w:rPr>
                <w:rFonts w:hint="eastAsia" w:ascii="宋体" w:hAnsi="宋体" w:cs="宋体"/>
                <w:color w:val="000000" w:themeColor="text1"/>
                <w:kern w:val="0"/>
                <w:szCs w:val="21"/>
                <w14:textFill>
                  <w14:solidFill>
                    <w14:schemeClr w14:val="tx1"/>
                  </w14:solidFill>
                </w14:textFill>
              </w:rPr>
              <w:t>企业实际情况增加或删减填写此表</w:t>
            </w:r>
          </w:p>
        </w:tc>
      </w:tr>
    </w:tbl>
    <w:p>
      <w:pPr>
        <w:spacing w:line="360" w:lineRule="exact"/>
        <w:jc w:val="left"/>
        <w:outlineLvl w:val="1"/>
        <w:rPr>
          <w:rFonts w:ascii="宋体" w:cs="宋体"/>
          <w:color w:val="auto"/>
          <w:sz w:val="28"/>
          <w:szCs w:val="28"/>
          <w:highlight w:val="none"/>
        </w:rPr>
      </w:pPr>
      <w:bookmarkStart w:id="123" w:name="_Toc24712"/>
    </w:p>
    <w:p>
      <w:pPr>
        <w:spacing w:line="360" w:lineRule="auto"/>
        <w:rPr>
          <w:rFonts w:ascii="Times New Roman" w:hAnsi="Times New Roman"/>
          <w:b/>
          <w:color w:val="auto"/>
          <w:sz w:val="28"/>
          <w:highlight w:val="none"/>
        </w:rPr>
      </w:pPr>
      <w:bookmarkStart w:id="124" w:name="_Toc341340664"/>
      <w:bookmarkStart w:id="125" w:name="_Toc355787721"/>
      <w:bookmarkStart w:id="126" w:name="_Hlk450185766"/>
      <w:bookmarkStart w:id="127" w:name="_Toc304388439"/>
    </w:p>
    <w:bookmarkEnd w:id="124"/>
    <w:bookmarkEnd w:id="125"/>
    <w:bookmarkEnd w:id="126"/>
    <w:bookmarkEnd w:id="127"/>
    <w:p>
      <w:pPr>
        <w:pStyle w:val="25"/>
        <w:spacing w:line="460" w:lineRule="exact"/>
        <w:rPr>
          <w:rFonts w:hint="eastAsia" w:ascii="Times New Roman" w:hAnsi="Times New Roman"/>
          <w:color w:val="auto"/>
          <w:sz w:val="28"/>
          <w:szCs w:val="28"/>
          <w:highlight w:val="none"/>
          <w:lang w:eastAsia="zh-CN"/>
        </w:rPr>
      </w:pPr>
      <w:bookmarkStart w:id="128" w:name="_Toc220232402"/>
      <w:bookmarkStart w:id="129" w:name="_Toc355787727"/>
      <w:bookmarkStart w:id="130" w:name="_Toc477765595"/>
      <w:bookmarkStart w:id="131" w:name="_Toc320969915"/>
      <w:bookmarkStart w:id="132" w:name="_Toc341340670"/>
      <w:bookmarkStart w:id="133" w:name="_Toc516969105"/>
      <w:bookmarkStart w:id="134" w:name="_Toc32658"/>
      <w:bookmarkStart w:id="135" w:name="_Toc300210390"/>
    </w:p>
    <w:p>
      <w:pPr>
        <w:pStyle w:val="25"/>
        <w:spacing w:line="460" w:lineRule="exact"/>
        <w:rPr>
          <w:rFonts w:hint="eastAsia" w:ascii="Times New Roman" w:hAnsi="Times New Roman"/>
          <w:color w:val="auto"/>
          <w:sz w:val="28"/>
          <w:szCs w:val="28"/>
          <w:highlight w:val="none"/>
          <w:lang w:eastAsia="zh-CN"/>
        </w:rPr>
      </w:pPr>
      <w:bookmarkStart w:id="136" w:name="_Toc4811"/>
    </w:p>
    <w:p>
      <w:pPr>
        <w:pStyle w:val="25"/>
        <w:spacing w:line="460" w:lineRule="exact"/>
        <w:rPr>
          <w:rFonts w:hint="eastAsia" w:ascii="宋体" w:hAnsi="宋体" w:cs="宋体"/>
          <w:color w:val="auto"/>
          <w:sz w:val="30"/>
          <w:szCs w:val="30"/>
          <w:highlight w:val="none"/>
        </w:rPr>
      </w:pPr>
      <w:r>
        <w:rPr>
          <w:rFonts w:hint="eastAsia" w:ascii="Times New Roman" w:hAnsi="Times New Roman"/>
          <w:color w:val="auto"/>
          <w:sz w:val="28"/>
          <w:szCs w:val="28"/>
          <w:highlight w:val="none"/>
          <w:lang w:eastAsia="zh-CN"/>
        </w:rPr>
        <w:t>六</w:t>
      </w:r>
      <w:r>
        <w:rPr>
          <w:rFonts w:ascii="Times New Roman" w:hAnsi="Times New Roman" w:eastAsia="宋体"/>
          <w:color w:val="auto"/>
          <w:sz w:val="28"/>
          <w:szCs w:val="28"/>
          <w:highlight w:val="none"/>
        </w:rPr>
        <w:t>．</w:t>
      </w:r>
      <w:bookmarkEnd w:id="128"/>
      <w:bookmarkEnd w:id="129"/>
      <w:bookmarkEnd w:id="130"/>
      <w:bookmarkEnd w:id="131"/>
      <w:bookmarkEnd w:id="132"/>
      <w:bookmarkEnd w:id="133"/>
      <w:bookmarkEnd w:id="134"/>
      <w:bookmarkEnd w:id="135"/>
      <w:r>
        <w:rPr>
          <w:rFonts w:hint="eastAsia" w:ascii="宋体" w:hAnsi="宋体" w:cs="宋体"/>
          <w:color w:val="auto"/>
          <w:sz w:val="30"/>
          <w:szCs w:val="30"/>
          <w:highlight w:val="none"/>
        </w:rPr>
        <w:t>企业业绩</w:t>
      </w:r>
      <w:bookmarkEnd w:id="136"/>
    </w:p>
    <w:p>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近年类似业绩（如有）</w:t>
      </w:r>
    </w:p>
    <w:tbl>
      <w:tblPr>
        <w:tblStyle w:val="29"/>
        <w:tblpPr w:leftFromText="180" w:rightFromText="180" w:vertAnchor="text" w:horzAnchor="page" w:tblpXSpec="center" w:tblpY="40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1708"/>
        <w:gridCol w:w="3012"/>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37" w:type="dxa"/>
            <w:noWrap w:val="0"/>
            <w:vAlign w:val="center"/>
          </w:tcPr>
          <w:p>
            <w:pPr>
              <w:spacing w:line="360" w:lineRule="exact"/>
              <w:jc w:val="center"/>
              <w:rPr>
                <w:rFonts w:ascii="宋体" w:cs="宋体"/>
                <w:color w:val="auto"/>
                <w:szCs w:val="21"/>
                <w:highlight w:val="none"/>
              </w:rPr>
            </w:pPr>
            <w:r>
              <w:rPr>
                <w:rFonts w:hint="eastAsia" w:ascii="宋体" w:hAnsi="宋体" w:cs="宋体"/>
                <w:color w:val="auto"/>
                <w:szCs w:val="21"/>
                <w:highlight w:val="none"/>
              </w:rPr>
              <w:t>项目名称</w:t>
            </w:r>
          </w:p>
        </w:tc>
        <w:tc>
          <w:tcPr>
            <w:tcW w:w="1708" w:type="dxa"/>
            <w:noWrap w:val="0"/>
            <w:vAlign w:val="center"/>
          </w:tcPr>
          <w:p>
            <w:pPr>
              <w:spacing w:line="360" w:lineRule="exact"/>
              <w:ind w:left="57"/>
              <w:jc w:val="center"/>
              <w:rPr>
                <w:rFonts w:ascii="宋体" w:cs="宋体"/>
                <w:color w:val="auto"/>
                <w:szCs w:val="21"/>
                <w:highlight w:val="none"/>
              </w:rPr>
            </w:pPr>
            <w:r>
              <w:rPr>
                <w:rFonts w:hint="eastAsia" w:ascii="宋体" w:hAnsi="宋体" w:cs="宋体"/>
                <w:color w:val="auto"/>
                <w:szCs w:val="21"/>
                <w:highlight w:val="none"/>
              </w:rPr>
              <w:t>签约日期</w:t>
            </w:r>
          </w:p>
        </w:tc>
        <w:tc>
          <w:tcPr>
            <w:tcW w:w="3012" w:type="dxa"/>
            <w:noWrap w:val="0"/>
            <w:vAlign w:val="center"/>
          </w:tcPr>
          <w:p>
            <w:pPr>
              <w:spacing w:line="360" w:lineRule="exact"/>
              <w:jc w:val="center"/>
              <w:rPr>
                <w:rFonts w:ascii="宋体" w:cs="宋体"/>
                <w:color w:val="auto"/>
                <w:szCs w:val="21"/>
                <w:highlight w:val="none"/>
              </w:rPr>
            </w:pPr>
            <w:r>
              <w:rPr>
                <w:rFonts w:hint="eastAsia" w:ascii="宋体" w:hAnsi="宋体" w:cs="宋体"/>
                <w:color w:val="auto"/>
                <w:szCs w:val="21"/>
                <w:highlight w:val="none"/>
              </w:rPr>
              <w:t>业绩（合同）</w:t>
            </w:r>
          </w:p>
        </w:tc>
        <w:tc>
          <w:tcPr>
            <w:tcW w:w="1680" w:type="dxa"/>
            <w:noWrap w:val="0"/>
            <w:vAlign w:val="center"/>
          </w:tcPr>
          <w:p>
            <w:pPr>
              <w:spacing w:line="360" w:lineRule="exact"/>
              <w:jc w:val="center"/>
              <w:rPr>
                <w:rFonts w:ascii="宋体" w:cs="宋体"/>
                <w:color w:val="auto"/>
                <w:szCs w:val="21"/>
                <w:highlight w:val="none"/>
              </w:rPr>
            </w:pPr>
            <w:r>
              <w:rPr>
                <w:rFonts w:hint="eastAsia" w:ascii="宋体" w:hAnsi="宋体" w:cs="宋体"/>
                <w:color w:val="auto"/>
                <w:szCs w:val="21"/>
                <w:highlight w:val="none"/>
              </w:rPr>
              <w:t>合同额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137" w:type="dxa"/>
            <w:noWrap w:val="0"/>
            <w:vAlign w:val="top"/>
          </w:tcPr>
          <w:p>
            <w:pPr>
              <w:spacing w:line="360" w:lineRule="exact"/>
              <w:rPr>
                <w:rFonts w:ascii="宋体" w:cs="宋体"/>
                <w:color w:val="auto"/>
                <w:szCs w:val="21"/>
                <w:highlight w:val="none"/>
              </w:rPr>
            </w:pPr>
          </w:p>
        </w:tc>
        <w:tc>
          <w:tcPr>
            <w:tcW w:w="1708" w:type="dxa"/>
            <w:noWrap w:val="0"/>
            <w:vAlign w:val="top"/>
          </w:tcPr>
          <w:p>
            <w:pPr>
              <w:spacing w:line="360" w:lineRule="exact"/>
              <w:rPr>
                <w:rFonts w:ascii="宋体" w:cs="宋体"/>
                <w:color w:val="auto"/>
                <w:szCs w:val="21"/>
                <w:highlight w:val="none"/>
              </w:rPr>
            </w:pPr>
          </w:p>
        </w:tc>
        <w:tc>
          <w:tcPr>
            <w:tcW w:w="3012" w:type="dxa"/>
            <w:noWrap w:val="0"/>
            <w:vAlign w:val="top"/>
          </w:tcPr>
          <w:p>
            <w:pPr>
              <w:spacing w:line="360" w:lineRule="exact"/>
              <w:rPr>
                <w:rFonts w:ascii="宋体" w:cs="宋体"/>
                <w:color w:val="auto"/>
                <w:szCs w:val="21"/>
                <w:highlight w:val="none"/>
              </w:rPr>
            </w:pPr>
          </w:p>
        </w:tc>
        <w:tc>
          <w:tcPr>
            <w:tcW w:w="1680" w:type="dxa"/>
            <w:noWrap w:val="0"/>
            <w:vAlign w:val="top"/>
          </w:tcPr>
          <w:p>
            <w:pPr>
              <w:spacing w:line="360" w:lineRule="exact"/>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137" w:type="dxa"/>
            <w:noWrap w:val="0"/>
            <w:vAlign w:val="top"/>
          </w:tcPr>
          <w:p>
            <w:pPr>
              <w:spacing w:line="360" w:lineRule="exact"/>
              <w:rPr>
                <w:rFonts w:ascii="宋体" w:cs="宋体"/>
                <w:color w:val="auto"/>
                <w:szCs w:val="21"/>
                <w:highlight w:val="none"/>
              </w:rPr>
            </w:pPr>
          </w:p>
        </w:tc>
        <w:tc>
          <w:tcPr>
            <w:tcW w:w="1708" w:type="dxa"/>
            <w:noWrap w:val="0"/>
            <w:vAlign w:val="top"/>
          </w:tcPr>
          <w:p>
            <w:pPr>
              <w:spacing w:line="360" w:lineRule="exact"/>
              <w:rPr>
                <w:rFonts w:ascii="宋体" w:cs="宋体"/>
                <w:color w:val="auto"/>
                <w:szCs w:val="21"/>
                <w:highlight w:val="none"/>
              </w:rPr>
            </w:pPr>
          </w:p>
        </w:tc>
        <w:tc>
          <w:tcPr>
            <w:tcW w:w="3012" w:type="dxa"/>
            <w:noWrap w:val="0"/>
            <w:vAlign w:val="top"/>
          </w:tcPr>
          <w:p>
            <w:pPr>
              <w:spacing w:line="360" w:lineRule="exact"/>
              <w:rPr>
                <w:rFonts w:ascii="宋体" w:cs="宋体"/>
                <w:color w:val="auto"/>
                <w:szCs w:val="21"/>
                <w:highlight w:val="none"/>
              </w:rPr>
            </w:pPr>
          </w:p>
        </w:tc>
        <w:tc>
          <w:tcPr>
            <w:tcW w:w="1680" w:type="dxa"/>
            <w:noWrap w:val="0"/>
            <w:vAlign w:val="top"/>
          </w:tcPr>
          <w:p>
            <w:pPr>
              <w:spacing w:line="360" w:lineRule="exact"/>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137" w:type="dxa"/>
            <w:noWrap w:val="0"/>
            <w:vAlign w:val="top"/>
          </w:tcPr>
          <w:p>
            <w:pPr>
              <w:spacing w:line="360" w:lineRule="exact"/>
              <w:rPr>
                <w:rFonts w:ascii="宋体" w:cs="宋体"/>
                <w:color w:val="auto"/>
                <w:szCs w:val="21"/>
                <w:highlight w:val="none"/>
              </w:rPr>
            </w:pPr>
          </w:p>
        </w:tc>
        <w:tc>
          <w:tcPr>
            <w:tcW w:w="1708" w:type="dxa"/>
            <w:noWrap w:val="0"/>
            <w:vAlign w:val="top"/>
          </w:tcPr>
          <w:p>
            <w:pPr>
              <w:spacing w:line="360" w:lineRule="exact"/>
              <w:rPr>
                <w:rFonts w:ascii="宋体" w:cs="宋体"/>
                <w:color w:val="auto"/>
                <w:szCs w:val="21"/>
                <w:highlight w:val="none"/>
              </w:rPr>
            </w:pPr>
          </w:p>
        </w:tc>
        <w:tc>
          <w:tcPr>
            <w:tcW w:w="3012" w:type="dxa"/>
            <w:noWrap w:val="0"/>
            <w:vAlign w:val="top"/>
          </w:tcPr>
          <w:p>
            <w:pPr>
              <w:spacing w:line="360" w:lineRule="exact"/>
              <w:rPr>
                <w:rFonts w:ascii="宋体" w:cs="宋体"/>
                <w:color w:val="auto"/>
                <w:szCs w:val="21"/>
                <w:highlight w:val="none"/>
              </w:rPr>
            </w:pPr>
          </w:p>
        </w:tc>
        <w:tc>
          <w:tcPr>
            <w:tcW w:w="1680" w:type="dxa"/>
            <w:noWrap w:val="0"/>
            <w:vAlign w:val="top"/>
          </w:tcPr>
          <w:p>
            <w:pPr>
              <w:spacing w:line="360" w:lineRule="exact"/>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137" w:type="dxa"/>
            <w:noWrap w:val="0"/>
            <w:vAlign w:val="top"/>
          </w:tcPr>
          <w:p>
            <w:pPr>
              <w:spacing w:line="360" w:lineRule="exact"/>
              <w:rPr>
                <w:rFonts w:ascii="宋体" w:cs="宋体"/>
                <w:color w:val="auto"/>
                <w:szCs w:val="21"/>
                <w:highlight w:val="none"/>
              </w:rPr>
            </w:pPr>
          </w:p>
        </w:tc>
        <w:tc>
          <w:tcPr>
            <w:tcW w:w="1708" w:type="dxa"/>
            <w:noWrap w:val="0"/>
            <w:vAlign w:val="top"/>
          </w:tcPr>
          <w:p>
            <w:pPr>
              <w:spacing w:line="360" w:lineRule="exact"/>
              <w:rPr>
                <w:rFonts w:ascii="宋体" w:cs="宋体"/>
                <w:color w:val="auto"/>
                <w:szCs w:val="21"/>
                <w:highlight w:val="none"/>
              </w:rPr>
            </w:pPr>
          </w:p>
        </w:tc>
        <w:tc>
          <w:tcPr>
            <w:tcW w:w="3012" w:type="dxa"/>
            <w:noWrap w:val="0"/>
            <w:vAlign w:val="top"/>
          </w:tcPr>
          <w:p>
            <w:pPr>
              <w:spacing w:line="360" w:lineRule="exact"/>
              <w:rPr>
                <w:rFonts w:ascii="宋体" w:cs="宋体"/>
                <w:color w:val="auto"/>
                <w:szCs w:val="21"/>
                <w:highlight w:val="none"/>
              </w:rPr>
            </w:pPr>
          </w:p>
        </w:tc>
        <w:tc>
          <w:tcPr>
            <w:tcW w:w="1680" w:type="dxa"/>
            <w:noWrap w:val="0"/>
            <w:vAlign w:val="top"/>
          </w:tcPr>
          <w:p>
            <w:pPr>
              <w:spacing w:line="360" w:lineRule="exact"/>
              <w:rPr>
                <w:rFonts w:ascii="宋体" w:cs="宋体"/>
                <w:color w:val="auto"/>
                <w:szCs w:val="21"/>
                <w:highlight w:val="none"/>
              </w:rPr>
            </w:pPr>
          </w:p>
        </w:tc>
      </w:tr>
    </w:tbl>
    <w:p>
      <w:pPr>
        <w:ind w:left="721" w:hanging="718" w:hangingChars="342"/>
        <w:rPr>
          <w:rFonts w:ascii="宋体" w:hAnsi="宋体" w:cs="宋体"/>
          <w:color w:val="auto"/>
          <w:highlight w:val="none"/>
        </w:rPr>
      </w:pPr>
    </w:p>
    <w:p>
      <w:pPr>
        <w:pStyle w:val="25"/>
        <w:rPr>
          <w:rFonts w:hint="eastAsia" w:ascii="Times New Roman" w:hAnsi="Times New Roman"/>
          <w:color w:val="auto"/>
          <w:sz w:val="28"/>
          <w:szCs w:val="28"/>
          <w:highlight w:val="none"/>
        </w:rPr>
      </w:pPr>
    </w:p>
    <w:p>
      <w:pPr>
        <w:pStyle w:val="25"/>
        <w:rPr>
          <w:rFonts w:hint="eastAsia" w:ascii="Times New Roman" w:hAnsi="Times New Roman"/>
          <w:color w:val="auto"/>
          <w:sz w:val="28"/>
          <w:szCs w:val="28"/>
          <w:highlight w:val="none"/>
        </w:rPr>
      </w:pPr>
    </w:p>
    <w:p>
      <w:pPr>
        <w:pStyle w:val="25"/>
        <w:rPr>
          <w:rFonts w:hint="eastAsia" w:ascii="Times New Roman" w:hAnsi="Times New Roman"/>
          <w:color w:val="auto"/>
          <w:sz w:val="28"/>
          <w:szCs w:val="28"/>
          <w:highlight w:val="none"/>
        </w:rPr>
      </w:pPr>
    </w:p>
    <w:p>
      <w:pPr>
        <w:pStyle w:val="25"/>
        <w:rPr>
          <w:rFonts w:hint="eastAsia" w:ascii="Times New Roman" w:hAnsi="Times New Roman"/>
          <w:color w:val="auto"/>
          <w:sz w:val="28"/>
          <w:szCs w:val="28"/>
          <w:highlight w:val="none"/>
        </w:rPr>
      </w:pPr>
    </w:p>
    <w:p>
      <w:pPr>
        <w:pStyle w:val="25"/>
        <w:rPr>
          <w:rFonts w:hint="eastAsia" w:ascii="Times New Roman" w:hAnsi="Times New Roman"/>
          <w:color w:val="auto"/>
          <w:sz w:val="28"/>
          <w:szCs w:val="28"/>
          <w:highlight w:val="none"/>
        </w:rPr>
      </w:pPr>
    </w:p>
    <w:p>
      <w:pPr>
        <w:pStyle w:val="25"/>
        <w:rPr>
          <w:rFonts w:hint="eastAsia" w:ascii="Times New Roman" w:hAnsi="Times New Roman"/>
          <w:color w:val="auto"/>
          <w:sz w:val="28"/>
          <w:szCs w:val="28"/>
          <w:highlight w:val="none"/>
        </w:rPr>
      </w:pPr>
    </w:p>
    <w:p>
      <w:pPr>
        <w:pStyle w:val="25"/>
        <w:rPr>
          <w:rFonts w:hint="eastAsia" w:ascii="Times New Roman" w:hAnsi="Times New Roman"/>
          <w:color w:val="auto"/>
          <w:sz w:val="28"/>
          <w:szCs w:val="28"/>
          <w:highlight w:val="none"/>
        </w:rPr>
      </w:pPr>
    </w:p>
    <w:p>
      <w:pPr>
        <w:pStyle w:val="25"/>
        <w:jc w:val="both"/>
        <w:rPr>
          <w:rFonts w:hint="eastAsia" w:ascii="Times New Roman" w:hAnsi="Times New Roman"/>
          <w:color w:val="auto"/>
          <w:sz w:val="28"/>
          <w:szCs w:val="28"/>
          <w:highlight w:val="none"/>
        </w:rPr>
      </w:pPr>
    </w:p>
    <w:p>
      <w:pPr>
        <w:pStyle w:val="25"/>
        <w:rPr>
          <w:rFonts w:hint="eastAsia" w:ascii="Times New Roman" w:hAnsi="Times New Roman"/>
          <w:color w:val="auto"/>
          <w:sz w:val="28"/>
          <w:szCs w:val="28"/>
          <w:highlight w:val="none"/>
          <w:lang w:eastAsia="zh-CN"/>
        </w:rPr>
      </w:pPr>
      <w:bookmarkStart w:id="137" w:name="_Toc30444"/>
    </w:p>
    <w:p>
      <w:pPr>
        <w:pStyle w:val="25"/>
        <w:rPr>
          <w:rFonts w:ascii="宋体" w:hAnsi="宋体" w:cs="宋体"/>
          <w:color w:val="auto"/>
          <w:highlight w:val="none"/>
        </w:rPr>
      </w:pPr>
      <w:r>
        <w:rPr>
          <w:rFonts w:hint="eastAsia" w:ascii="Times New Roman" w:hAnsi="Times New Roman"/>
          <w:color w:val="auto"/>
          <w:sz w:val="28"/>
          <w:szCs w:val="28"/>
          <w:highlight w:val="none"/>
          <w:lang w:eastAsia="zh-CN"/>
        </w:rPr>
        <w:t>七</w:t>
      </w:r>
      <w:r>
        <w:rPr>
          <w:rFonts w:ascii="Times New Roman" w:hAnsi="Times New Roman"/>
          <w:color w:val="auto"/>
          <w:sz w:val="28"/>
          <w:szCs w:val="28"/>
          <w:highlight w:val="none"/>
        </w:rPr>
        <w:t>．</w:t>
      </w:r>
      <w:bookmarkEnd w:id="123"/>
      <w:r>
        <w:rPr>
          <w:rFonts w:hint="eastAsia" w:ascii="宋体" w:hAnsi="宋体" w:cs="宋体"/>
          <w:color w:val="auto"/>
          <w:highlight w:val="none"/>
          <w:lang w:eastAsia="zh-CN"/>
        </w:rPr>
        <w:t>技术及综合部分</w:t>
      </w:r>
      <w:bookmarkEnd w:id="137"/>
    </w:p>
    <w:p>
      <w:pPr>
        <w:spacing w:line="360" w:lineRule="exact"/>
        <w:outlineLvl w:val="1"/>
        <w:rPr>
          <w:rFonts w:ascii="宋体" w:cs="宋体"/>
          <w:color w:val="auto"/>
          <w:szCs w:val="21"/>
          <w:highlight w:val="none"/>
        </w:rPr>
      </w:pPr>
    </w:p>
    <w:p>
      <w:pPr>
        <w:tabs>
          <w:tab w:val="right" w:leader="dot" w:pos="8505"/>
        </w:tabs>
        <w:spacing w:line="360" w:lineRule="auto"/>
        <w:ind w:firstLine="480" w:firstLineChars="200"/>
        <w:rPr>
          <w:rFonts w:ascii="宋体" w:cs="宋体"/>
          <w:color w:val="auto"/>
          <w:sz w:val="24"/>
          <w:highlight w:val="none"/>
        </w:rPr>
      </w:pPr>
    </w:p>
    <w:p>
      <w:pPr>
        <w:pStyle w:val="40"/>
        <w:rPr>
          <w:rFonts w:ascii="宋体" w:cs="宋体"/>
          <w:color w:val="auto"/>
          <w:sz w:val="24"/>
          <w:highlight w:val="none"/>
        </w:rPr>
      </w:pPr>
    </w:p>
    <w:p>
      <w:pPr>
        <w:pStyle w:val="39"/>
        <w:rPr>
          <w:rFonts w:ascii="宋体" w:cs="宋体"/>
          <w:color w:val="auto"/>
          <w:sz w:val="24"/>
          <w:highlight w:val="none"/>
        </w:rPr>
      </w:pPr>
    </w:p>
    <w:p>
      <w:pPr>
        <w:pStyle w:val="3"/>
        <w:rPr>
          <w:rFonts w:ascii="宋体" w:cs="宋体"/>
          <w:color w:val="auto"/>
          <w:sz w:val="24"/>
          <w:highlight w:val="none"/>
        </w:rPr>
      </w:pPr>
    </w:p>
    <w:p>
      <w:pPr>
        <w:pStyle w:val="40"/>
        <w:rPr>
          <w:rFonts w:ascii="宋体" w:cs="宋体"/>
          <w:color w:val="auto"/>
          <w:sz w:val="24"/>
          <w:highlight w:val="none"/>
        </w:rPr>
      </w:pPr>
    </w:p>
    <w:p>
      <w:pPr>
        <w:pStyle w:val="39"/>
        <w:rPr>
          <w:rFonts w:ascii="宋体" w:cs="宋体"/>
          <w:color w:val="auto"/>
          <w:sz w:val="24"/>
          <w:highlight w:val="none"/>
        </w:rPr>
      </w:pPr>
    </w:p>
    <w:p>
      <w:pPr>
        <w:pStyle w:val="3"/>
        <w:rPr>
          <w:rFonts w:ascii="宋体" w:cs="宋体"/>
          <w:color w:val="auto"/>
          <w:sz w:val="24"/>
          <w:highlight w:val="none"/>
        </w:rPr>
      </w:pPr>
    </w:p>
    <w:p>
      <w:pPr>
        <w:pStyle w:val="40"/>
        <w:rPr>
          <w:rFonts w:ascii="宋体" w:cs="宋体"/>
          <w:color w:val="auto"/>
          <w:sz w:val="24"/>
          <w:highlight w:val="none"/>
        </w:rPr>
      </w:pPr>
    </w:p>
    <w:p>
      <w:pPr>
        <w:pStyle w:val="39"/>
        <w:rPr>
          <w:rFonts w:ascii="宋体" w:cs="宋体"/>
          <w:color w:val="auto"/>
          <w:sz w:val="24"/>
          <w:highlight w:val="none"/>
        </w:rPr>
      </w:pPr>
    </w:p>
    <w:p>
      <w:pPr>
        <w:pStyle w:val="3"/>
        <w:rPr>
          <w:rFonts w:ascii="宋体" w:cs="宋体"/>
          <w:color w:val="auto"/>
          <w:sz w:val="24"/>
          <w:highlight w:val="none"/>
        </w:rPr>
      </w:pPr>
    </w:p>
    <w:p>
      <w:pPr>
        <w:pStyle w:val="40"/>
        <w:rPr>
          <w:rFonts w:ascii="宋体" w:cs="宋体"/>
          <w:color w:val="auto"/>
          <w:sz w:val="24"/>
          <w:highlight w:val="none"/>
        </w:rPr>
      </w:pPr>
    </w:p>
    <w:p>
      <w:pPr>
        <w:pStyle w:val="39"/>
        <w:rPr>
          <w:rFonts w:ascii="宋体" w:cs="宋体"/>
          <w:color w:val="auto"/>
          <w:sz w:val="24"/>
          <w:highlight w:val="none"/>
        </w:rPr>
      </w:pPr>
    </w:p>
    <w:p>
      <w:pPr>
        <w:pStyle w:val="3"/>
        <w:rPr>
          <w:rFonts w:ascii="宋体" w:cs="宋体"/>
          <w:color w:val="auto"/>
          <w:sz w:val="24"/>
          <w:highlight w:val="none"/>
        </w:rPr>
      </w:pPr>
    </w:p>
    <w:p>
      <w:pPr>
        <w:pStyle w:val="40"/>
        <w:rPr>
          <w:rFonts w:ascii="宋体" w:cs="宋体"/>
          <w:color w:val="auto"/>
          <w:sz w:val="24"/>
          <w:highlight w:val="none"/>
        </w:rPr>
      </w:pPr>
    </w:p>
    <w:p>
      <w:pPr>
        <w:pStyle w:val="39"/>
        <w:rPr>
          <w:rFonts w:ascii="宋体" w:cs="宋体"/>
          <w:color w:val="auto"/>
          <w:sz w:val="24"/>
          <w:highlight w:val="none"/>
        </w:rPr>
      </w:pPr>
    </w:p>
    <w:p>
      <w:pPr>
        <w:pStyle w:val="3"/>
        <w:rPr>
          <w:rFonts w:ascii="宋体" w:cs="宋体"/>
          <w:color w:val="auto"/>
          <w:sz w:val="24"/>
          <w:highlight w:val="none"/>
        </w:rPr>
      </w:pPr>
    </w:p>
    <w:p>
      <w:pPr>
        <w:pStyle w:val="40"/>
        <w:rPr>
          <w:rFonts w:ascii="宋体" w:cs="宋体"/>
          <w:color w:val="auto"/>
          <w:sz w:val="24"/>
          <w:highlight w:val="none"/>
        </w:rPr>
      </w:pPr>
    </w:p>
    <w:p>
      <w:pPr>
        <w:pStyle w:val="39"/>
        <w:rPr>
          <w:rFonts w:ascii="宋体" w:cs="宋体"/>
          <w:color w:val="auto"/>
          <w:sz w:val="24"/>
          <w:highlight w:val="none"/>
        </w:rPr>
      </w:pPr>
    </w:p>
    <w:p>
      <w:pPr>
        <w:pStyle w:val="3"/>
        <w:rPr>
          <w:rFonts w:ascii="宋体" w:cs="宋体"/>
          <w:color w:val="auto"/>
          <w:sz w:val="24"/>
          <w:highlight w:val="none"/>
        </w:rPr>
      </w:pPr>
    </w:p>
    <w:p>
      <w:pPr>
        <w:pStyle w:val="40"/>
        <w:rPr>
          <w:rFonts w:ascii="宋体" w:cs="宋体"/>
          <w:color w:val="auto"/>
          <w:sz w:val="24"/>
          <w:highlight w:val="none"/>
        </w:rPr>
      </w:pPr>
    </w:p>
    <w:p>
      <w:pPr>
        <w:pStyle w:val="39"/>
        <w:rPr>
          <w:rFonts w:ascii="宋体" w:cs="宋体"/>
          <w:color w:val="auto"/>
          <w:sz w:val="24"/>
          <w:highlight w:val="none"/>
        </w:rPr>
      </w:pPr>
    </w:p>
    <w:p>
      <w:pPr>
        <w:pStyle w:val="3"/>
        <w:rPr>
          <w:color w:val="auto"/>
          <w:highlight w:val="none"/>
        </w:rPr>
      </w:pPr>
    </w:p>
    <w:p>
      <w:pPr>
        <w:spacing w:line="360" w:lineRule="exact"/>
        <w:outlineLvl w:val="1"/>
        <w:rPr>
          <w:rFonts w:ascii="宋体" w:cs="宋体"/>
          <w:color w:val="auto"/>
          <w:szCs w:val="21"/>
          <w:highlight w:val="none"/>
        </w:rPr>
      </w:pPr>
    </w:p>
    <w:p>
      <w:pPr>
        <w:spacing w:line="360" w:lineRule="exact"/>
        <w:outlineLvl w:val="1"/>
        <w:rPr>
          <w:rFonts w:ascii="宋体" w:cs="宋体"/>
          <w:color w:val="auto"/>
          <w:szCs w:val="21"/>
          <w:highlight w:val="none"/>
        </w:rPr>
      </w:pPr>
    </w:p>
    <w:p>
      <w:pPr>
        <w:pStyle w:val="39"/>
        <w:rPr>
          <w:color w:val="auto"/>
          <w:highlight w:val="none"/>
        </w:rPr>
      </w:pPr>
    </w:p>
    <w:p>
      <w:pPr>
        <w:spacing w:line="360" w:lineRule="exact"/>
        <w:outlineLvl w:val="1"/>
        <w:rPr>
          <w:rFonts w:ascii="宋体" w:cs="宋体"/>
          <w:color w:val="auto"/>
          <w:szCs w:val="21"/>
          <w:highlight w:val="none"/>
        </w:rPr>
      </w:pPr>
    </w:p>
    <w:p>
      <w:pPr>
        <w:pStyle w:val="25"/>
        <w:jc w:val="left"/>
        <w:rPr>
          <w:rFonts w:ascii="宋体" w:cs="宋体"/>
          <w:color w:val="auto"/>
          <w:highlight w:val="none"/>
        </w:rPr>
      </w:pPr>
      <w:bookmarkStart w:id="138" w:name="_Toc26740"/>
      <w:r>
        <w:rPr>
          <w:rFonts w:ascii="宋体" w:hAnsi="宋体" w:cs="宋体"/>
          <w:color w:val="auto"/>
          <w:highlight w:val="none"/>
        </w:rPr>
        <w:t xml:space="preserve">              </w:t>
      </w:r>
    </w:p>
    <w:p>
      <w:pPr>
        <w:pStyle w:val="25"/>
        <w:rPr>
          <w:rFonts w:hint="eastAsia" w:ascii="宋体" w:hAnsi="宋体" w:cs="宋体"/>
          <w:color w:val="auto"/>
          <w:highlight w:val="none"/>
          <w:lang w:eastAsia="zh-CN"/>
        </w:rPr>
      </w:pPr>
    </w:p>
    <w:p>
      <w:pPr>
        <w:rPr>
          <w:rFonts w:hint="eastAsia"/>
          <w:lang w:eastAsia="zh-CN"/>
        </w:rPr>
      </w:pPr>
    </w:p>
    <w:p>
      <w:pPr>
        <w:pStyle w:val="25"/>
        <w:rPr>
          <w:rFonts w:ascii="宋体" w:cs="宋体"/>
          <w:color w:val="auto"/>
          <w:highlight w:val="none"/>
        </w:rPr>
      </w:pPr>
      <w:bookmarkStart w:id="139" w:name="_Toc11547"/>
      <w:r>
        <w:rPr>
          <w:rFonts w:hint="eastAsia" w:ascii="宋体" w:hAnsi="宋体" w:cs="宋体"/>
          <w:color w:val="auto"/>
          <w:highlight w:val="none"/>
          <w:lang w:eastAsia="zh-CN"/>
        </w:rPr>
        <w:t>八</w:t>
      </w:r>
      <w:r>
        <w:rPr>
          <w:rFonts w:hint="eastAsia" w:ascii="宋体" w:hAnsi="宋体" w:cs="宋体"/>
          <w:color w:val="auto"/>
          <w:highlight w:val="none"/>
        </w:rPr>
        <w:t>、反商业贿赂承诺书</w:t>
      </w:r>
      <w:bookmarkEnd w:id="138"/>
      <w:bookmarkEnd w:id="139"/>
    </w:p>
    <w:p>
      <w:pPr>
        <w:spacing w:line="360" w:lineRule="exact"/>
        <w:rPr>
          <w:rFonts w:ascii="宋体" w:cs="宋体"/>
          <w:color w:val="auto"/>
          <w:szCs w:val="21"/>
          <w:highlight w:val="none"/>
        </w:rPr>
      </w:pPr>
    </w:p>
    <w:p>
      <w:pPr>
        <w:spacing w:line="600" w:lineRule="exact"/>
        <w:rPr>
          <w:rFonts w:ascii="宋体" w:cs="宋体"/>
          <w:color w:val="auto"/>
          <w:szCs w:val="21"/>
          <w:highlight w:val="none"/>
        </w:rPr>
      </w:pPr>
      <w:r>
        <w:rPr>
          <w:rFonts w:hint="eastAsia" w:ascii="宋体" w:hAnsi="宋体" w:cs="宋体"/>
          <w:color w:val="auto"/>
          <w:szCs w:val="21"/>
          <w:highlight w:val="none"/>
        </w:rPr>
        <w:t>我公司承诺：</w:t>
      </w:r>
      <w:r>
        <w:rPr>
          <w:rFonts w:ascii="宋体" w:cs="宋体"/>
          <w:color w:val="auto"/>
          <w:szCs w:val="21"/>
          <w:highlight w:val="none"/>
        </w:rPr>
        <w:tab/>
      </w:r>
    </w:p>
    <w:p>
      <w:pPr>
        <w:spacing w:line="60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在</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投标活动中，我公司保证做到：</w:t>
      </w:r>
    </w:p>
    <w:p>
      <w:pPr>
        <w:spacing w:line="600" w:lineRule="exact"/>
        <w:ind w:firstLine="420" w:firstLineChars="200"/>
        <w:rPr>
          <w:rFonts w:ascii="宋体" w:cs="宋体"/>
          <w:color w:val="auto"/>
          <w:szCs w:val="21"/>
          <w:highlight w:val="none"/>
        </w:rPr>
      </w:pPr>
      <w:r>
        <w:rPr>
          <w:rFonts w:hint="eastAsia" w:ascii="宋体" w:hAnsi="宋体" w:cs="宋体"/>
          <w:color w:val="auto"/>
          <w:szCs w:val="21"/>
          <w:highlight w:val="none"/>
        </w:rPr>
        <w:t>一、公平参加本次投标活动。</w:t>
      </w:r>
    </w:p>
    <w:p>
      <w:pPr>
        <w:spacing w:line="600" w:lineRule="exact"/>
        <w:ind w:firstLine="420" w:firstLineChars="200"/>
        <w:rPr>
          <w:rFonts w:ascii="宋体" w:cs="宋体"/>
          <w:color w:val="auto"/>
          <w:szCs w:val="21"/>
          <w:highlight w:val="none"/>
        </w:rPr>
      </w:pPr>
      <w:r>
        <w:rPr>
          <w:rFonts w:hint="eastAsia" w:ascii="宋体" w:hAnsi="宋体" w:cs="宋体"/>
          <w:color w:val="auto"/>
          <w:szCs w:val="21"/>
          <w:highlight w:val="none"/>
        </w:rPr>
        <w:t>二、杜绝任何形式的商业贿赂行为。不向国家工作人员、政府采购代理机构工作人员、评审专家及其亲属提供礼品礼金、回扣、佣金等费用。</w:t>
      </w:r>
    </w:p>
    <w:p>
      <w:pPr>
        <w:spacing w:line="600" w:lineRule="exact"/>
        <w:ind w:firstLine="420" w:firstLineChars="200"/>
        <w:rPr>
          <w:rFonts w:ascii="宋体" w:cs="宋体"/>
          <w:color w:val="auto"/>
          <w:szCs w:val="21"/>
          <w:highlight w:val="none"/>
        </w:rPr>
      </w:pPr>
      <w:r>
        <w:rPr>
          <w:rFonts w:hint="eastAsia" w:ascii="宋体" w:hAnsi="宋体" w:cs="宋体"/>
          <w:color w:val="auto"/>
          <w:szCs w:val="21"/>
          <w:highlight w:val="none"/>
        </w:rPr>
        <w:t>三、若出现上述行为，我公司及参与投标的工作人员愿意接受按照国家法律法规等有关规定的处罚。</w:t>
      </w:r>
    </w:p>
    <w:p>
      <w:pPr>
        <w:spacing w:line="600" w:lineRule="exact"/>
        <w:ind w:firstLine="420" w:firstLineChars="200"/>
        <w:rPr>
          <w:rFonts w:ascii="宋体" w:cs="宋体"/>
          <w:color w:val="auto"/>
          <w:szCs w:val="21"/>
          <w:highlight w:val="none"/>
        </w:rPr>
      </w:pPr>
    </w:p>
    <w:p>
      <w:pPr>
        <w:spacing w:line="600" w:lineRule="exact"/>
        <w:ind w:firstLine="420" w:firstLineChars="200"/>
        <w:rPr>
          <w:rFonts w:ascii="宋体" w:cs="宋体"/>
          <w:color w:val="auto"/>
          <w:szCs w:val="21"/>
          <w:highlight w:val="none"/>
        </w:rPr>
      </w:pPr>
    </w:p>
    <w:p>
      <w:pPr>
        <w:spacing w:line="600" w:lineRule="exact"/>
        <w:ind w:firstLine="420" w:firstLineChars="200"/>
        <w:rPr>
          <w:rFonts w:ascii="宋体" w:cs="宋体"/>
          <w:color w:val="auto"/>
          <w:szCs w:val="21"/>
          <w:highlight w:val="none"/>
        </w:rPr>
      </w:pPr>
    </w:p>
    <w:p>
      <w:pPr>
        <w:spacing w:line="600" w:lineRule="exact"/>
        <w:ind w:firstLine="3780" w:firstLineChars="1800"/>
        <w:rPr>
          <w:rFonts w:ascii="宋体" w:cs="宋体"/>
          <w:color w:val="auto"/>
          <w:szCs w:val="21"/>
          <w:highlight w:val="none"/>
        </w:rPr>
      </w:pPr>
      <w:r>
        <w:rPr>
          <w:rFonts w:hint="eastAsia" w:ascii="宋体" w:hAnsi="宋体" w:cs="宋体"/>
          <w:color w:val="auto"/>
          <w:szCs w:val="21"/>
          <w:highlight w:val="none"/>
        </w:rPr>
        <w:t>供应商（公章）</w:t>
      </w:r>
      <w:r>
        <w:rPr>
          <w:rFonts w:hint="eastAsia" w:ascii="宋体" w:hAnsi="宋体" w:cs="宋体"/>
          <w:color w:val="auto"/>
          <w:szCs w:val="21"/>
          <w:highlight w:val="none"/>
          <w:lang w:eastAsia="zh-CN"/>
        </w:rPr>
        <w:t>：</w:t>
      </w:r>
      <w:r>
        <w:rPr>
          <w:rFonts w:ascii="宋体" w:hAnsi="宋体" w:cs="宋体"/>
          <w:color w:val="auto"/>
          <w:szCs w:val="21"/>
          <w:highlight w:val="none"/>
        </w:rPr>
        <w:t xml:space="preserve">                                      </w:t>
      </w:r>
    </w:p>
    <w:p>
      <w:pPr>
        <w:spacing w:line="600" w:lineRule="exact"/>
        <w:ind w:left="4305" w:hanging="4305" w:hangingChars="2050"/>
        <w:rPr>
          <w:rFonts w:ascii="宋体" w:cs="宋体"/>
          <w:color w:val="auto"/>
          <w:szCs w:val="21"/>
          <w:highlight w:val="none"/>
        </w:rPr>
      </w:pPr>
    </w:p>
    <w:p>
      <w:pPr>
        <w:spacing w:line="60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spacing w:line="360" w:lineRule="exact"/>
        <w:rPr>
          <w:rFonts w:ascii="宋体" w:cs="宋体"/>
          <w:color w:val="auto"/>
          <w:szCs w:val="21"/>
          <w:highlight w:val="none"/>
        </w:rPr>
      </w:pPr>
    </w:p>
    <w:p>
      <w:pPr>
        <w:spacing w:line="360" w:lineRule="exact"/>
        <w:jc w:val="center"/>
        <w:rPr>
          <w:rFonts w:ascii="宋体" w:cs="宋体"/>
          <w:b/>
          <w:color w:val="auto"/>
          <w:szCs w:val="21"/>
          <w:highlight w:val="none"/>
        </w:rPr>
      </w:pPr>
    </w:p>
    <w:p>
      <w:pPr>
        <w:spacing w:line="360" w:lineRule="exact"/>
        <w:jc w:val="center"/>
        <w:rPr>
          <w:rFonts w:ascii="宋体" w:cs="宋体"/>
          <w:b/>
          <w:color w:val="auto"/>
          <w:szCs w:val="21"/>
          <w:highlight w:val="none"/>
        </w:rPr>
      </w:pPr>
    </w:p>
    <w:p>
      <w:pPr>
        <w:spacing w:line="360" w:lineRule="exact"/>
        <w:jc w:val="center"/>
        <w:rPr>
          <w:rFonts w:ascii="宋体" w:cs="宋体"/>
          <w:b/>
          <w:color w:val="auto"/>
          <w:szCs w:val="21"/>
          <w:highlight w:val="none"/>
        </w:rPr>
      </w:pPr>
    </w:p>
    <w:p>
      <w:pPr>
        <w:spacing w:line="360" w:lineRule="exact"/>
        <w:jc w:val="center"/>
        <w:rPr>
          <w:rFonts w:ascii="宋体" w:cs="宋体"/>
          <w:b/>
          <w:color w:val="auto"/>
          <w:szCs w:val="21"/>
          <w:highlight w:val="none"/>
        </w:rPr>
      </w:pPr>
    </w:p>
    <w:p>
      <w:pPr>
        <w:spacing w:line="360" w:lineRule="exact"/>
        <w:jc w:val="center"/>
        <w:rPr>
          <w:rFonts w:ascii="宋体" w:cs="宋体"/>
          <w:b/>
          <w:color w:val="auto"/>
          <w:szCs w:val="21"/>
          <w:highlight w:val="none"/>
        </w:rPr>
      </w:pPr>
    </w:p>
    <w:p>
      <w:pPr>
        <w:pStyle w:val="40"/>
        <w:rPr>
          <w:b/>
          <w:color w:val="auto"/>
          <w:szCs w:val="21"/>
          <w:highlight w:val="none"/>
        </w:rPr>
      </w:pPr>
    </w:p>
    <w:p>
      <w:pPr>
        <w:pStyle w:val="40"/>
        <w:rPr>
          <w:b/>
          <w:color w:val="auto"/>
          <w:szCs w:val="21"/>
          <w:highlight w:val="none"/>
        </w:rPr>
      </w:pPr>
    </w:p>
    <w:p>
      <w:pPr>
        <w:pStyle w:val="40"/>
        <w:rPr>
          <w:b/>
          <w:color w:val="auto"/>
          <w:szCs w:val="21"/>
          <w:highlight w:val="none"/>
        </w:rPr>
      </w:pPr>
    </w:p>
    <w:p>
      <w:pPr>
        <w:pStyle w:val="40"/>
        <w:rPr>
          <w:b/>
          <w:color w:val="auto"/>
          <w:szCs w:val="21"/>
          <w:highlight w:val="none"/>
        </w:rPr>
      </w:pPr>
    </w:p>
    <w:p>
      <w:pPr>
        <w:pStyle w:val="40"/>
        <w:rPr>
          <w:b/>
          <w:color w:val="auto"/>
          <w:szCs w:val="21"/>
          <w:highlight w:val="none"/>
        </w:rPr>
      </w:pPr>
    </w:p>
    <w:p>
      <w:pPr>
        <w:pStyle w:val="40"/>
        <w:rPr>
          <w:b/>
          <w:color w:val="auto"/>
          <w:szCs w:val="21"/>
          <w:highlight w:val="none"/>
        </w:rPr>
      </w:pPr>
    </w:p>
    <w:p/>
    <w:p>
      <w:pPr>
        <w:pStyle w:val="25"/>
        <w:rPr>
          <w:rFonts w:hint="eastAsia" w:ascii="宋体" w:hAnsi="宋体" w:cs="宋体"/>
          <w:color w:val="auto"/>
          <w:highlight w:val="none"/>
          <w:lang w:eastAsia="zh-CN"/>
        </w:rPr>
      </w:pPr>
      <w:bookmarkStart w:id="140" w:name="_Toc18958"/>
    </w:p>
    <w:p>
      <w:pPr>
        <w:pStyle w:val="25"/>
        <w:rPr>
          <w:rFonts w:ascii="宋体" w:hAnsi="宋体" w:cs="宋体"/>
          <w:color w:val="auto"/>
          <w:highlight w:val="none"/>
        </w:rPr>
      </w:pPr>
      <w:r>
        <w:rPr>
          <w:rFonts w:hint="eastAsia" w:ascii="宋体" w:hAnsi="宋体" w:cs="宋体"/>
          <w:color w:val="auto"/>
          <w:highlight w:val="none"/>
          <w:lang w:eastAsia="zh-CN"/>
        </w:rPr>
        <w:t>九</w:t>
      </w:r>
      <w:r>
        <w:rPr>
          <w:rFonts w:hint="eastAsia" w:ascii="宋体" w:hAnsi="宋体" w:cs="宋体"/>
          <w:color w:val="auto"/>
          <w:highlight w:val="none"/>
        </w:rPr>
        <w:t>、无行贿犯罪记录承诺书</w:t>
      </w:r>
      <w:bookmarkEnd w:id="140"/>
    </w:p>
    <w:p>
      <w:pPr>
        <w:spacing w:beforeLines="100" w:afterLines="100"/>
        <w:jc w:val="center"/>
        <w:rPr>
          <w:rFonts w:ascii="宋体" w:hAnsi="宋体"/>
          <w:color w:val="auto"/>
          <w:sz w:val="30"/>
          <w:szCs w:val="30"/>
          <w:highlight w:val="none"/>
        </w:rPr>
      </w:pPr>
      <w:r>
        <w:rPr>
          <w:rFonts w:hint="eastAsia" w:ascii="宋体" w:hAnsi="宋体"/>
          <w:color w:val="auto"/>
          <w:sz w:val="30"/>
          <w:szCs w:val="30"/>
          <w:highlight w:val="none"/>
        </w:rPr>
        <w:t>承诺书</w:t>
      </w:r>
    </w:p>
    <w:p>
      <w:pPr>
        <w:spacing w:line="6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（采购人名称）：</w:t>
      </w:r>
    </w:p>
    <w:p>
      <w:pPr>
        <w:spacing w:line="6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我方在此声明，我方在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（项目名称）招投标过程中所涉及的包括企业法人、法定代表人、授权委托人近三年内均无行贿犯罪记录。</w:t>
      </w:r>
    </w:p>
    <w:p>
      <w:pPr>
        <w:spacing w:line="6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我方保证上述信息的真实和准确，并愿意承担因我方就此弄虚作假所引起的一切法律后果。</w:t>
      </w:r>
    </w:p>
    <w:p>
      <w:pPr>
        <w:spacing w:line="600" w:lineRule="exact"/>
        <w:rPr>
          <w:rFonts w:ascii="宋体" w:hAnsi="宋体" w:cs="宋体"/>
          <w:color w:val="auto"/>
          <w:szCs w:val="21"/>
          <w:highlight w:val="none"/>
        </w:rPr>
      </w:pPr>
    </w:p>
    <w:p>
      <w:pPr>
        <w:spacing w:line="6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pPr>
        <w:spacing w:line="600" w:lineRule="exact"/>
        <w:ind w:firstLine="315" w:firstLineChars="150"/>
        <w:rPr>
          <w:rFonts w:ascii="宋体" w:hAnsi="宋体" w:cs="宋体"/>
          <w:color w:val="auto"/>
          <w:szCs w:val="21"/>
          <w:highlight w:val="none"/>
        </w:rPr>
      </w:pPr>
    </w:p>
    <w:p>
      <w:pPr>
        <w:spacing w:line="6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（盖单位章）</w:t>
      </w:r>
    </w:p>
    <w:p>
      <w:pPr>
        <w:spacing w:line="6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法定代表人或授权委托人：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lang w:eastAsia="zh-CN"/>
        </w:rPr>
        <w:t>或盖章</w:t>
      </w:r>
      <w:r>
        <w:rPr>
          <w:rFonts w:hint="eastAsia" w:ascii="宋体" w:hAnsi="宋体" w:cs="宋体"/>
          <w:color w:val="auto"/>
          <w:szCs w:val="21"/>
          <w:highlight w:val="none"/>
        </w:rPr>
        <w:t>）</w:t>
      </w:r>
    </w:p>
    <w:p>
      <w:pPr>
        <w:spacing w:line="600" w:lineRule="exact"/>
        <w:ind w:firstLine="315" w:firstLineChars="150"/>
        <w:rPr>
          <w:rFonts w:ascii="宋体" w:hAnsi="宋体" w:cs="宋体"/>
          <w:color w:val="auto"/>
          <w:szCs w:val="21"/>
          <w:highlight w:val="none"/>
        </w:rPr>
      </w:pPr>
    </w:p>
    <w:p>
      <w:pPr>
        <w:spacing w:line="6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年    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pPr>
        <w:spacing w:line="600" w:lineRule="exact"/>
        <w:ind w:firstLine="315" w:firstLineChars="150"/>
        <w:rPr>
          <w:rFonts w:ascii="宋体" w:hAnsi="宋体" w:cs="宋体"/>
          <w:color w:val="auto"/>
          <w:szCs w:val="21"/>
          <w:highlight w:val="none"/>
        </w:rPr>
      </w:pPr>
    </w:p>
    <w:p>
      <w:pPr>
        <w:spacing w:line="360" w:lineRule="exact"/>
        <w:jc w:val="center"/>
        <w:rPr>
          <w:rFonts w:ascii="宋体" w:cs="宋体"/>
          <w:b/>
          <w:color w:val="auto"/>
          <w:szCs w:val="21"/>
          <w:highlight w:val="none"/>
        </w:rPr>
      </w:pPr>
    </w:p>
    <w:p>
      <w:pPr>
        <w:spacing w:line="360" w:lineRule="exact"/>
        <w:jc w:val="center"/>
        <w:rPr>
          <w:rFonts w:ascii="宋体" w:cs="宋体"/>
          <w:b/>
          <w:color w:val="auto"/>
          <w:szCs w:val="21"/>
          <w:highlight w:val="none"/>
        </w:rPr>
      </w:pPr>
    </w:p>
    <w:p>
      <w:pPr>
        <w:spacing w:line="360" w:lineRule="exact"/>
        <w:jc w:val="center"/>
        <w:rPr>
          <w:rFonts w:ascii="宋体" w:cs="宋体"/>
          <w:b/>
          <w:color w:val="auto"/>
          <w:szCs w:val="21"/>
          <w:highlight w:val="none"/>
        </w:rPr>
      </w:pPr>
    </w:p>
    <w:p>
      <w:pPr>
        <w:pStyle w:val="39"/>
        <w:rPr>
          <w:rFonts w:ascii="宋体" w:cs="宋体"/>
          <w:b/>
          <w:color w:val="auto"/>
          <w:szCs w:val="21"/>
          <w:highlight w:val="none"/>
        </w:rPr>
      </w:pPr>
    </w:p>
    <w:p>
      <w:pPr>
        <w:pStyle w:val="3"/>
        <w:rPr>
          <w:rFonts w:ascii="宋体" w:cs="宋体"/>
          <w:b/>
          <w:color w:val="auto"/>
          <w:szCs w:val="21"/>
          <w:highlight w:val="none"/>
        </w:rPr>
      </w:pPr>
    </w:p>
    <w:p>
      <w:pPr>
        <w:rPr>
          <w:color w:val="auto"/>
          <w:highlight w:val="none"/>
        </w:rPr>
      </w:pPr>
    </w:p>
    <w:p>
      <w:pPr>
        <w:spacing w:line="360" w:lineRule="exact"/>
        <w:jc w:val="center"/>
        <w:rPr>
          <w:rFonts w:ascii="宋体" w:cs="宋体"/>
          <w:b/>
          <w:color w:val="auto"/>
          <w:szCs w:val="21"/>
          <w:highlight w:val="none"/>
        </w:rPr>
      </w:pPr>
    </w:p>
    <w:p>
      <w:pPr>
        <w:spacing w:line="360" w:lineRule="exact"/>
        <w:rPr>
          <w:rFonts w:ascii="宋体" w:cs="宋体"/>
          <w:b/>
          <w:color w:val="auto"/>
          <w:szCs w:val="21"/>
          <w:highlight w:val="none"/>
        </w:rPr>
      </w:pPr>
    </w:p>
    <w:p>
      <w:pPr>
        <w:pStyle w:val="40"/>
        <w:rPr>
          <w:b/>
          <w:color w:val="auto"/>
          <w:szCs w:val="21"/>
          <w:highlight w:val="none"/>
        </w:rPr>
      </w:pPr>
    </w:p>
    <w:p>
      <w:pPr>
        <w:pStyle w:val="39"/>
        <w:rPr>
          <w:rFonts w:ascii="宋体" w:cs="宋体"/>
          <w:b/>
          <w:color w:val="auto"/>
          <w:szCs w:val="21"/>
          <w:highlight w:val="none"/>
        </w:rPr>
      </w:pPr>
    </w:p>
    <w:p>
      <w:pPr>
        <w:pStyle w:val="40"/>
        <w:rPr>
          <w:color w:val="auto"/>
          <w:highlight w:val="none"/>
        </w:rPr>
      </w:pPr>
    </w:p>
    <w:p>
      <w:pPr>
        <w:pStyle w:val="25"/>
        <w:jc w:val="left"/>
        <w:rPr>
          <w:rFonts w:ascii="宋体" w:hAnsi="宋体" w:cs="宋体"/>
          <w:color w:val="auto"/>
          <w:highlight w:val="none"/>
        </w:rPr>
      </w:pPr>
      <w:bookmarkStart w:id="141" w:name="_Toc6331"/>
      <w:r>
        <w:rPr>
          <w:rFonts w:ascii="宋体" w:hAnsi="宋体" w:cs="宋体"/>
          <w:color w:val="auto"/>
          <w:highlight w:val="none"/>
        </w:rPr>
        <w:t xml:space="preserve">            </w:t>
      </w:r>
    </w:p>
    <w:p>
      <w:pPr>
        <w:pStyle w:val="25"/>
        <w:jc w:val="center"/>
        <w:rPr>
          <w:rFonts w:ascii="宋体" w:cs="宋体"/>
          <w:color w:val="auto"/>
          <w:highlight w:val="none"/>
        </w:rPr>
      </w:pPr>
      <w:bookmarkStart w:id="142" w:name="_Toc16164"/>
      <w:r>
        <w:rPr>
          <w:rFonts w:hint="eastAsia" w:ascii="宋体" w:hAnsi="宋体" w:cs="宋体"/>
          <w:color w:val="auto"/>
          <w:highlight w:val="none"/>
          <w:lang w:eastAsia="zh-CN"/>
        </w:rPr>
        <w:t>十</w:t>
      </w: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资</w:t>
      </w:r>
      <w:r>
        <w:rPr>
          <w:rFonts w:ascii="宋体" w:hAnsi="宋体" w:cs="宋体"/>
          <w:color w:val="auto"/>
          <w:highlight w:val="none"/>
        </w:rPr>
        <w:t xml:space="preserve"> </w:t>
      </w:r>
      <w:r>
        <w:rPr>
          <w:rFonts w:hint="eastAsia" w:ascii="宋体" w:hAnsi="宋体" w:cs="宋体"/>
          <w:color w:val="auto"/>
          <w:highlight w:val="none"/>
        </w:rPr>
        <w:t>格</w:t>
      </w:r>
      <w:r>
        <w:rPr>
          <w:rFonts w:ascii="宋体" w:hAnsi="宋体" w:cs="宋体"/>
          <w:color w:val="auto"/>
          <w:highlight w:val="none"/>
        </w:rPr>
        <w:t xml:space="preserve"> </w:t>
      </w:r>
      <w:r>
        <w:rPr>
          <w:rFonts w:hint="eastAsia" w:ascii="宋体" w:hAnsi="宋体" w:cs="宋体"/>
          <w:color w:val="auto"/>
          <w:highlight w:val="none"/>
        </w:rPr>
        <w:t>证</w:t>
      </w:r>
      <w:r>
        <w:rPr>
          <w:rFonts w:ascii="宋体" w:hAnsi="宋体" w:cs="宋体"/>
          <w:color w:val="auto"/>
          <w:highlight w:val="none"/>
        </w:rPr>
        <w:t xml:space="preserve"> </w:t>
      </w:r>
      <w:r>
        <w:rPr>
          <w:rFonts w:hint="eastAsia" w:ascii="宋体" w:hAnsi="宋体" w:cs="宋体"/>
          <w:color w:val="auto"/>
          <w:highlight w:val="none"/>
        </w:rPr>
        <w:t>明</w:t>
      </w:r>
      <w:r>
        <w:rPr>
          <w:rFonts w:ascii="宋体" w:hAnsi="宋体" w:cs="宋体"/>
          <w:color w:val="auto"/>
          <w:highlight w:val="none"/>
        </w:rPr>
        <w:t xml:space="preserve"> </w:t>
      </w:r>
      <w:r>
        <w:rPr>
          <w:rFonts w:hint="eastAsia" w:ascii="宋体" w:hAnsi="宋体" w:cs="宋体"/>
          <w:color w:val="auto"/>
          <w:highlight w:val="none"/>
        </w:rPr>
        <w:t>文</w:t>
      </w:r>
      <w:r>
        <w:rPr>
          <w:rFonts w:ascii="宋体" w:hAnsi="宋体" w:cs="宋体"/>
          <w:color w:val="auto"/>
          <w:highlight w:val="none"/>
        </w:rPr>
        <w:t xml:space="preserve"> </w:t>
      </w:r>
      <w:r>
        <w:rPr>
          <w:rFonts w:hint="eastAsia" w:ascii="宋体" w:hAnsi="宋体" w:cs="宋体"/>
          <w:color w:val="auto"/>
          <w:highlight w:val="none"/>
        </w:rPr>
        <w:t>件</w:t>
      </w:r>
      <w:bookmarkEnd w:id="141"/>
      <w:bookmarkEnd w:id="142"/>
    </w:p>
    <w:p>
      <w:pPr>
        <w:rPr>
          <w:rFonts w:ascii="宋体" w:cs="宋体"/>
          <w:color w:val="auto"/>
          <w:highlight w:val="none"/>
        </w:rPr>
      </w:pPr>
    </w:p>
    <w:p>
      <w:pPr>
        <w:numPr>
          <w:ilvl w:val="0"/>
          <w:numId w:val="6"/>
        </w:numPr>
        <w:spacing w:line="500" w:lineRule="exact"/>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温县政府采购供应商资格信用承诺函（格式附后）</w:t>
      </w:r>
    </w:p>
    <w:p>
      <w:pPr>
        <w:pStyle w:val="14"/>
        <w:numPr>
          <w:ilvl w:val="0"/>
          <w:numId w:val="6"/>
        </w:numPr>
        <w:ind w:left="0" w:leftChars="0"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法定代表人证明或法定代表人有效委托书及本人身份证；</w:t>
      </w:r>
    </w:p>
    <w:p>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3.供应商须具有有效的营业执照（副本）、税务登记证（副本）、组织机构代码证（副本）（或三证合一营业执照）；</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根据《关于在政府采购活动中查询及使用信用记录有关问题的通知》</w:t>
      </w:r>
      <w:r>
        <w:rPr>
          <w:rFonts w:hint="eastAsia" w:ascii="宋体" w:hAnsi="宋体" w:cs="宋体"/>
          <w:color w:val="auto"/>
          <w:szCs w:val="21"/>
          <w:highlight w:val="none"/>
          <w:lang w:eastAsia="zh-CN"/>
        </w:rPr>
        <w:t>（</w:t>
      </w:r>
      <w:r>
        <w:rPr>
          <w:rFonts w:hint="eastAsia" w:ascii="宋体" w:hAnsi="宋体" w:cs="宋体"/>
          <w:color w:val="auto"/>
          <w:szCs w:val="21"/>
          <w:highlight w:val="none"/>
        </w:rPr>
        <w:t>财库[2016]125号</w:t>
      </w:r>
      <w:r>
        <w:rPr>
          <w:rFonts w:hint="eastAsia" w:ascii="宋体" w:hAnsi="宋体" w:cs="宋体"/>
          <w:color w:val="auto"/>
          <w:szCs w:val="21"/>
          <w:highlight w:val="none"/>
          <w:lang w:eastAsia="zh-CN"/>
        </w:rPr>
        <w:t>）</w:t>
      </w:r>
      <w:r>
        <w:rPr>
          <w:rFonts w:hint="eastAsia" w:ascii="宋体" w:hAnsi="宋体" w:cs="宋体"/>
          <w:color w:val="auto"/>
          <w:szCs w:val="21"/>
          <w:highlight w:val="none"/>
        </w:rPr>
        <w:t>的规定，</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通过“信用中国”网（www.creditchina.gov.cn）、中国政府采购网（www.ccgp.gov.cn）等渠道在资格审查环节查询投标人信用记录，被列入失信被执行人、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、政府采购严重违法失信行为记录名单的单位将被拒绝参与本项目政府采购活动；信用信息查询记录和证据将同采购文件等资料一同归档保存。（网站查询时间为磋商公告发布之后）；</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必须提供无行贿犯罪记录承诺书，若有行贿犯罪记录则取消其投标资格；</w:t>
      </w:r>
    </w:p>
    <w:p>
      <w:pPr>
        <w:spacing w:line="360" w:lineRule="auto"/>
        <w:ind w:firstLine="420" w:firstLineChars="200"/>
        <w:rPr>
          <w:rFonts w:hint="eastAsia" w:ascii="宋体" w:cs="宋体"/>
          <w:color w:val="auto"/>
          <w:szCs w:val="22"/>
          <w:highlight w:val="none"/>
        </w:rPr>
      </w:pPr>
      <w:r>
        <w:rPr>
          <w:rFonts w:hint="eastAsia" w:ascii="宋体" w:cs="宋体"/>
          <w:color w:val="auto"/>
          <w:szCs w:val="22"/>
          <w:highlight w:val="none"/>
          <w:lang w:val="en-US" w:eastAsia="zh-CN"/>
        </w:rPr>
        <w:t>6、</w:t>
      </w:r>
      <w:r>
        <w:rPr>
          <w:rFonts w:hint="eastAsia" w:ascii="宋体" w:cs="宋体"/>
          <w:color w:val="auto"/>
          <w:szCs w:val="22"/>
          <w:highlight w:val="none"/>
          <w:lang w:eastAsia="zh-CN"/>
        </w:rPr>
        <w:t>磋商</w:t>
      </w:r>
      <w:r>
        <w:rPr>
          <w:rFonts w:hint="eastAsia" w:ascii="宋体" w:cs="宋体"/>
          <w:color w:val="auto"/>
          <w:szCs w:val="22"/>
          <w:highlight w:val="none"/>
        </w:rPr>
        <w:t>文件中规定的其他资料以及投标单位认为有必要提供的其他材料。</w:t>
      </w:r>
    </w:p>
    <w:p>
      <w:pPr>
        <w:spacing w:line="360" w:lineRule="auto"/>
        <w:rPr>
          <w:rFonts w:hint="eastAsia" w:ascii="宋体" w:hAnsi="Times New Roman" w:cs="宋体"/>
          <w:b/>
          <w:bCs/>
          <w:color w:val="auto"/>
          <w:szCs w:val="22"/>
          <w:highlight w:val="none"/>
        </w:rPr>
      </w:pPr>
    </w:p>
    <w:p>
      <w:pPr>
        <w:spacing w:line="360" w:lineRule="auto"/>
        <w:rPr>
          <w:rFonts w:hint="eastAsia" w:ascii="宋体" w:hAnsi="Times New Roman" w:eastAsia="宋体" w:cs="宋体"/>
          <w:b/>
          <w:bCs/>
          <w:color w:val="auto"/>
          <w:szCs w:val="22"/>
          <w:highlight w:val="none"/>
          <w:lang w:eastAsia="zh-CN"/>
        </w:rPr>
      </w:pPr>
      <w:r>
        <w:rPr>
          <w:rFonts w:hint="eastAsia" w:ascii="宋体" w:hAnsi="Times New Roman" w:cs="宋体"/>
          <w:b/>
          <w:bCs/>
          <w:color w:val="auto"/>
          <w:szCs w:val="22"/>
          <w:highlight w:val="none"/>
        </w:rPr>
        <w:t>以上</w:t>
      </w:r>
      <w:r>
        <w:rPr>
          <w:rFonts w:hint="eastAsia" w:ascii="宋体" w:hAnsi="Times New Roman" w:cs="宋体"/>
          <w:b/>
          <w:bCs/>
          <w:color w:val="auto"/>
          <w:szCs w:val="22"/>
          <w:highlight w:val="none"/>
          <w:lang w:eastAsia="zh-CN"/>
        </w:rPr>
        <w:t>证</w:t>
      </w:r>
      <w:r>
        <w:rPr>
          <w:rFonts w:hint="eastAsia" w:ascii="宋体" w:hAnsi="Times New Roman" w:cs="宋体"/>
          <w:b/>
          <w:bCs/>
          <w:color w:val="auto"/>
          <w:szCs w:val="22"/>
          <w:highlight w:val="none"/>
        </w:rPr>
        <w:t>件必须加盖单位公章</w:t>
      </w:r>
    </w:p>
    <w:p>
      <w:pPr>
        <w:spacing w:line="600" w:lineRule="exact"/>
        <w:ind w:firstLine="210" w:firstLineChars="100"/>
        <w:rPr>
          <w:rFonts w:ascii="宋体" w:hAnsi="宋体" w:cs="宋体"/>
          <w:color w:val="auto"/>
          <w:szCs w:val="21"/>
          <w:highlight w:val="none"/>
        </w:rPr>
      </w:pPr>
    </w:p>
    <w:p>
      <w:pPr>
        <w:spacing w:line="360" w:lineRule="exact"/>
        <w:rPr>
          <w:rFonts w:ascii="宋体" w:cs="宋体"/>
          <w:b/>
          <w:color w:val="auto"/>
          <w:szCs w:val="21"/>
          <w:highlight w:val="none"/>
        </w:rPr>
      </w:pPr>
      <w:r>
        <w:rPr>
          <w:rFonts w:ascii="宋体" w:hAnsi="宋体" w:cs="宋体"/>
          <w:b/>
          <w:color w:val="auto"/>
          <w:szCs w:val="21"/>
          <w:highlight w:val="none"/>
        </w:rPr>
        <w:t xml:space="preserve"> </w:t>
      </w:r>
    </w:p>
    <w:p>
      <w:pPr>
        <w:tabs>
          <w:tab w:val="left" w:pos="3037"/>
        </w:tabs>
        <w:spacing w:line="360" w:lineRule="exact"/>
        <w:jc w:val="left"/>
        <w:rPr>
          <w:rFonts w:ascii="宋体" w:cs="宋体"/>
          <w:b/>
          <w:color w:val="auto"/>
          <w:szCs w:val="21"/>
          <w:highlight w:val="none"/>
        </w:rPr>
      </w:pPr>
      <w:r>
        <w:rPr>
          <w:rFonts w:hint="eastAsia" w:ascii="宋体" w:cs="宋体"/>
          <w:b/>
          <w:color w:val="auto"/>
          <w:szCs w:val="21"/>
          <w:highlight w:val="none"/>
        </w:rPr>
        <w:tab/>
      </w:r>
    </w:p>
    <w:p>
      <w:pPr>
        <w:spacing w:line="360" w:lineRule="exact"/>
        <w:jc w:val="center"/>
        <w:rPr>
          <w:rFonts w:ascii="宋体" w:cs="宋体"/>
          <w:b/>
          <w:color w:val="auto"/>
          <w:szCs w:val="21"/>
          <w:highlight w:val="none"/>
        </w:rPr>
      </w:pPr>
    </w:p>
    <w:p>
      <w:pPr>
        <w:spacing w:line="360" w:lineRule="exact"/>
        <w:jc w:val="center"/>
        <w:rPr>
          <w:rFonts w:ascii="宋体" w:cs="宋体"/>
          <w:b/>
          <w:color w:val="auto"/>
          <w:szCs w:val="21"/>
          <w:highlight w:val="none"/>
        </w:rPr>
      </w:pPr>
    </w:p>
    <w:p>
      <w:pPr>
        <w:spacing w:line="360" w:lineRule="exact"/>
        <w:rPr>
          <w:rFonts w:ascii="宋体" w:cs="宋体"/>
          <w:b/>
          <w:color w:val="auto"/>
          <w:szCs w:val="21"/>
          <w:highlight w:val="none"/>
        </w:rPr>
      </w:pPr>
    </w:p>
    <w:p>
      <w:pPr>
        <w:pStyle w:val="40"/>
        <w:rPr>
          <w:b/>
          <w:color w:val="auto"/>
          <w:szCs w:val="21"/>
          <w:highlight w:val="none"/>
        </w:rPr>
      </w:pPr>
    </w:p>
    <w:p>
      <w:pPr>
        <w:pStyle w:val="39"/>
        <w:rPr>
          <w:rFonts w:ascii="宋体" w:cs="宋体"/>
          <w:b/>
          <w:color w:val="auto"/>
          <w:szCs w:val="21"/>
          <w:highlight w:val="none"/>
        </w:rPr>
      </w:pPr>
    </w:p>
    <w:p>
      <w:pPr>
        <w:pStyle w:val="3"/>
        <w:rPr>
          <w:rFonts w:ascii="宋体" w:cs="宋体"/>
          <w:b/>
          <w:color w:val="auto"/>
          <w:szCs w:val="21"/>
          <w:highlight w:val="none"/>
        </w:rPr>
      </w:pPr>
    </w:p>
    <w:p>
      <w:pPr>
        <w:rPr>
          <w:color w:val="auto"/>
          <w:highlight w:val="none"/>
        </w:rPr>
      </w:pPr>
    </w:p>
    <w:p>
      <w:pPr>
        <w:pStyle w:val="39"/>
        <w:rPr>
          <w:color w:val="auto"/>
          <w:highlight w:val="none"/>
        </w:rPr>
      </w:pPr>
    </w:p>
    <w:p>
      <w:pPr>
        <w:pStyle w:val="3"/>
        <w:rPr>
          <w:color w:val="auto"/>
          <w:highlight w:val="none"/>
        </w:rPr>
      </w:pPr>
    </w:p>
    <w:p>
      <w:pPr>
        <w:jc w:val="center"/>
        <w:rPr>
          <w:rFonts w:hint="eastAsia" w:ascii="宋体" w:hAnsi="宋体" w:eastAsia="宋体" w:cs="宋体"/>
          <w:b/>
          <w:bCs/>
          <w:color w:val="auto"/>
          <w:kern w:val="0"/>
          <w:sz w:val="31"/>
          <w:szCs w:val="31"/>
          <w:highlight w:val="none"/>
          <w:lang w:val="en-US" w:eastAsia="zh-CN" w:bidi="ar"/>
        </w:rPr>
      </w:pPr>
      <w:bookmarkStart w:id="143" w:name="_Toc20577"/>
    </w:p>
    <w:p>
      <w:pPr>
        <w:jc w:val="center"/>
        <w:rPr>
          <w:rFonts w:hint="eastAsia" w:ascii="宋体" w:hAnsi="宋体" w:eastAsia="宋体" w:cs="宋体"/>
          <w:b/>
          <w:bCs/>
          <w:color w:val="auto"/>
          <w:kern w:val="0"/>
          <w:sz w:val="31"/>
          <w:szCs w:val="31"/>
          <w:highlight w:val="none"/>
          <w:lang w:val="en-US" w:eastAsia="zh-CN" w:bidi="ar"/>
        </w:rPr>
      </w:pPr>
    </w:p>
    <w:p>
      <w:pPr>
        <w:jc w:val="center"/>
        <w:rPr>
          <w:rFonts w:hint="eastAsia" w:ascii="宋体" w:hAnsi="宋体" w:eastAsia="宋体" w:cs="宋体"/>
          <w:b/>
          <w:bCs/>
          <w:color w:val="auto"/>
          <w:kern w:val="0"/>
          <w:sz w:val="31"/>
          <w:szCs w:val="31"/>
          <w:highlight w:val="none"/>
          <w:lang w:val="en-US" w:eastAsia="zh-CN" w:bidi="ar"/>
        </w:rPr>
      </w:pPr>
    </w:p>
    <w:p>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auto"/>
          <w:kern w:val="0"/>
          <w:sz w:val="31"/>
          <w:szCs w:val="31"/>
          <w:highlight w:val="none"/>
          <w:lang w:val="en-US" w:eastAsia="zh-CN" w:bidi="ar"/>
        </w:rPr>
        <w:t xml:space="preserve">十一、 </w:t>
      </w:r>
      <w:bookmarkStart w:id="144" w:name="_Toc2290"/>
      <w:r>
        <w:rPr>
          <w:rFonts w:hint="eastAsia" w:ascii="宋体" w:hAnsi="宋体" w:eastAsia="宋体" w:cs="宋体"/>
          <w:b/>
          <w:bCs/>
          <w:color w:val="000000" w:themeColor="text1"/>
          <w:sz w:val="28"/>
          <w:szCs w:val="28"/>
          <w14:textFill>
            <w14:solidFill>
              <w14:schemeClr w14:val="tx1"/>
            </w14:solidFill>
          </w14:textFill>
        </w:rPr>
        <w:t>中小企业声明函</w:t>
      </w:r>
      <w:bookmarkEnd w:id="144"/>
      <w:r>
        <w:rPr>
          <w:rFonts w:hint="eastAsia" w:ascii="宋体" w:hAnsi="宋体" w:eastAsia="宋体" w:cs="宋体"/>
          <w:b/>
          <w:bCs/>
          <w:color w:val="000000" w:themeColor="text1"/>
          <w:sz w:val="28"/>
          <w:szCs w:val="28"/>
          <w14:textFill>
            <w14:solidFill>
              <w14:schemeClr w14:val="tx1"/>
            </w14:solidFill>
          </w14:textFill>
        </w:rPr>
        <w:t>（货物）</w:t>
      </w:r>
    </w:p>
    <w:p>
      <w:pPr>
        <w:snapToGrid w:val="0"/>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本公司（联合体）郑重声明，根据《政府采购促进中小企业发展管理办法》（财库﹝2020﹞46 号）的规定，本公司（联合体）</w:t>
      </w:r>
      <w:r>
        <w:rPr>
          <w:rFonts w:hint="eastAsia" w:ascii="宋体" w:hAnsi="宋体" w:cs="宋体"/>
          <w:color w:val="000000" w:themeColor="text1"/>
          <w:szCs w:val="21"/>
          <w14:textFill>
            <w14:solidFill>
              <w14:schemeClr w14:val="tx1"/>
            </w14:solidFill>
          </w14:textFill>
        </w:rPr>
        <w:t>参加</w:t>
      </w:r>
      <w:r>
        <w:rPr>
          <w:rFonts w:hint="eastAsia" w:ascii="宋体" w:hAnsi="宋体" w:cs="宋体"/>
          <w:color w:val="000000" w:themeColor="text1"/>
          <w:szCs w:val="21"/>
          <w:u w:val="single"/>
          <w14:textFill>
            <w14:solidFill>
              <w14:schemeClr w14:val="tx1"/>
            </w14:solidFill>
          </w14:textFill>
        </w:rPr>
        <w:t>（单位名称）</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u w:val="single"/>
          <w14:textFill>
            <w14:solidFill>
              <w14:schemeClr w14:val="tx1"/>
            </w14:solidFill>
          </w14:textFill>
        </w:rPr>
        <w:t>（项目名称 ）</w:t>
      </w:r>
      <w:r>
        <w:rPr>
          <w:rFonts w:hint="eastAsia" w:ascii="宋体" w:hAnsi="宋体" w:cs="宋体"/>
          <w:color w:val="000000" w:themeColor="text1"/>
          <w:szCs w:val="21"/>
          <w:u w:val="single"/>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活动</w:t>
      </w:r>
      <w:r>
        <w:rPr>
          <w:rFonts w:hint="eastAsia"/>
          <w:color w:val="000000" w:themeColor="text1"/>
          <w14:textFill>
            <w14:solidFill>
              <w14:schemeClr w14:val="tx1"/>
            </w14:solidFill>
          </w14:textFill>
        </w:rPr>
        <w:t>，提供的货物全部由符合政策要求的中小企业制造。相关企业（含联合体中的中小企业、签订分包意向协议的中小企业）的具体情况如下：</w:t>
      </w:r>
    </w:p>
    <w:p>
      <w:pPr>
        <w:numPr>
          <w:ilvl w:val="0"/>
          <w:numId w:val="7"/>
        </w:numPr>
        <w:snapToGrid w:val="0"/>
        <w:spacing w:line="500" w:lineRule="exact"/>
        <w:ind w:left="420" w:leftChars="200"/>
        <w:jc w:val="left"/>
        <w:rPr>
          <w:rFonts w:hint="eastAsia"/>
          <w:color w:val="000000" w:themeColor="text1"/>
          <w14:textFill>
            <w14:solidFill>
              <w14:schemeClr w14:val="tx1"/>
            </w14:solidFill>
          </w14:textFill>
        </w:rPr>
      </w:pPr>
      <w:r>
        <w:rPr>
          <w:rFonts w:hint="eastAsia"/>
          <w:color w:val="000000" w:themeColor="text1"/>
          <w:u w:val="single"/>
          <w14:textFill>
            <w14:solidFill>
              <w14:schemeClr w14:val="tx1"/>
            </w14:solidFill>
          </w14:textFill>
        </w:rPr>
        <w:t>（标的名称）</w:t>
      </w:r>
      <w:r>
        <w:rPr>
          <w:rFonts w:hint="eastAsia"/>
          <w:color w:val="000000" w:themeColor="text1"/>
          <w14:textFill>
            <w14:solidFill>
              <w14:schemeClr w14:val="tx1"/>
            </w14:solidFill>
          </w14:textFill>
        </w:rPr>
        <w:t xml:space="preserve"> ，属于</w:t>
      </w:r>
      <w:r>
        <w:rPr>
          <w:rFonts w:hint="eastAsia"/>
          <w:color w:val="000000" w:themeColor="text1"/>
          <w:u w:val="single"/>
          <w14:textFill>
            <w14:solidFill>
              <w14:schemeClr w14:val="tx1"/>
            </w14:solidFill>
          </w14:textFill>
        </w:rPr>
        <w:t>（采购文件中明确的所属行业）</w:t>
      </w:r>
      <w:r>
        <w:rPr>
          <w:rFonts w:hint="eastAsia"/>
          <w:color w:val="000000" w:themeColor="text1"/>
          <w14:textFill>
            <w14:solidFill>
              <w14:schemeClr w14:val="tx1"/>
            </w14:solidFill>
          </w14:textFill>
        </w:rPr>
        <w:t xml:space="preserve">；制造商为 </w:t>
      </w:r>
      <w:r>
        <w:rPr>
          <w:rFonts w:hint="eastAsia"/>
          <w:color w:val="000000" w:themeColor="text1"/>
          <w:u w:val="single"/>
          <w14:textFill>
            <w14:solidFill>
              <w14:schemeClr w14:val="tx1"/>
            </w14:solidFill>
          </w14:textFill>
        </w:rPr>
        <w:t>（企业名称）</w:t>
      </w:r>
      <w:r>
        <w:rPr>
          <w:rFonts w:hint="eastAsia"/>
          <w:color w:val="000000" w:themeColor="text1"/>
          <w14:textFill>
            <w14:solidFill>
              <w14:schemeClr w14:val="tx1"/>
            </w14:solidFill>
          </w14:textFill>
        </w:rPr>
        <w:t>，从业人员</w:t>
      </w:r>
    </w:p>
    <w:p>
      <w:pPr>
        <w:numPr>
          <w:ilvl w:val="0"/>
          <w:numId w:val="0"/>
        </w:numPr>
        <w:snapToGrid w:val="0"/>
        <w:spacing w:line="500" w:lineRule="exact"/>
        <w:jc w:val="left"/>
        <w:rPr>
          <w:rFonts w:hint="eastAsia"/>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人，营业收入为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万元，资产总额为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万元，属于</w:t>
      </w:r>
      <w:r>
        <w:rPr>
          <w:rFonts w:hint="eastAsia"/>
          <w:color w:val="000000" w:themeColor="text1"/>
          <w:u w:val="single"/>
          <w14:textFill>
            <w14:solidFill>
              <w14:schemeClr w14:val="tx1"/>
            </w14:solidFill>
          </w14:textFill>
        </w:rPr>
        <w:t xml:space="preserve"> （中型企业、小型企业、微型企业）</w:t>
      </w:r>
      <w:r>
        <w:rPr>
          <w:rFonts w:hint="eastAsia"/>
          <w:color w:val="000000" w:themeColor="text1"/>
          <w14:textFill>
            <w14:solidFill>
              <w14:schemeClr w14:val="tx1"/>
            </w14:solidFill>
          </w14:textFill>
        </w:rPr>
        <w:t>；</w:t>
      </w:r>
    </w:p>
    <w:p>
      <w:pPr>
        <w:numPr>
          <w:ilvl w:val="0"/>
          <w:numId w:val="7"/>
        </w:numPr>
        <w:snapToGrid w:val="0"/>
        <w:spacing w:line="500" w:lineRule="exact"/>
        <w:ind w:left="420" w:leftChars="200" w:firstLine="0" w:firstLineChars="0"/>
        <w:jc w:val="left"/>
        <w:rPr>
          <w:rFonts w:hint="eastAsia"/>
          <w:color w:val="000000" w:themeColor="text1"/>
          <w14:textFill>
            <w14:solidFill>
              <w14:schemeClr w14:val="tx1"/>
            </w14:solidFill>
          </w14:textFill>
        </w:rPr>
      </w:pPr>
      <w:r>
        <w:rPr>
          <w:rFonts w:hint="eastAsia"/>
          <w:color w:val="000000" w:themeColor="text1"/>
          <w:u w:val="single"/>
          <w14:textFill>
            <w14:solidFill>
              <w14:schemeClr w14:val="tx1"/>
            </w14:solidFill>
          </w14:textFill>
        </w:rPr>
        <w:t>（标的名称）</w:t>
      </w:r>
      <w:r>
        <w:rPr>
          <w:rFonts w:hint="eastAsia"/>
          <w:color w:val="000000" w:themeColor="text1"/>
          <w14:textFill>
            <w14:solidFill>
              <w14:schemeClr w14:val="tx1"/>
            </w14:solidFill>
          </w14:textFill>
        </w:rPr>
        <w:t xml:space="preserve"> ，属于</w:t>
      </w:r>
      <w:r>
        <w:rPr>
          <w:rFonts w:hint="eastAsia"/>
          <w:color w:val="000000" w:themeColor="text1"/>
          <w:u w:val="single"/>
          <w14:textFill>
            <w14:solidFill>
              <w14:schemeClr w14:val="tx1"/>
            </w14:solidFill>
          </w14:textFill>
        </w:rPr>
        <w:t>（采购文件中明确的所属行业）</w:t>
      </w:r>
      <w:r>
        <w:rPr>
          <w:rFonts w:hint="eastAsia"/>
          <w:color w:val="000000" w:themeColor="text1"/>
          <w14:textFill>
            <w14:solidFill>
              <w14:schemeClr w14:val="tx1"/>
            </w14:solidFill>
          </w14:textFill>
        </w:rPr>
        <w:t xml:space="preserve">；制造商为 </w:t>
      </w:r>
      <w:r>
        <w:rPr>
          <w:rFonts w:hint="eastAsia"/>
          <w:color w:val="000000" w:themeColor="text1"/>
          <w:u w:val="single"/>
          <w14:textFill>
            <w14:solidFill>
              <w14:schemeClr w14:val="tx1"/>
            </w14:solidFill>
          </w14:textFill>
        </w:rPr>
        <w:t>（企业名称）</w:t>
      </w:r>
      <w:r>
        <w:rPr>
          <w:rFonts w:hint="eastAsia"/>
          <w:color w:val="000000" w:themeColor="text1"/>
          <w14:textFill>
            <w14:solidFill>
              <w14:schemeClr w14:val="tx1"/>
            </w14:solidFill>
          </w14:textFill>
        </w:rPr>
        <w:t>，从业人员</w:t>
      </w:r>
    </w:p>
    <w:p>
      <w:pPr>
        <w:numPr>
          <w:ilvl w:val="0"/>
          <w:numId w:val="0"/>
        </w:numPr>
        <w:snapToGrid w:val="0"/>
        <w:spacing w:line="500" w:lineRule="exact"/>
        <w:jc w:val="left"/>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人，营业收入为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万元，资产总额为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万元，属于</w:t>
      </w:r>
      <w:r>
        <w:rPr>
          <w:rFonts w:hint="eastAsia"/>
          <w:color w:val="000000" w:themeColor="text1"/>
          <w:u w:val="single"/>
          <w14:textFill>
            <w14:solidFill>
              <w14:schemeClr w14:val="tx1"/>
            </w14:solidFill>
          </w14:textFill>
        </w:rPr>
        <w:t xml:space="preserve"> （中型企业、小型企业、微型企业）</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pPr>
        <w:snapToGrid w:val="0"/>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以上企业，不属于大企业的分支机构，不存在控股股东为大企业的情形，也不存在与大企业的负责人为同一人的情形。</w:t>
      </w:r>
    </w:p>
    <w:p>
      <w:pPr>
        <w:snapToGrid w:val="0"/>
        <w:spacing w:line="500" w:lineRule="exact"/>
        <w:ind w:firstLine="420" w:firstLineChars="200"/>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本企业对上述声明内容的真实性负责。如有虚假，将依法承担相应责任</w:t>
      </w:r>
      <w:r>
        <w:rPr>
          <w:rFonts w:hint="eastAsia"/>
          <w:color w:val="000000" w:themeColor="text1"/>
          <w:lang w:eastAsia="zh-CN"/>
          <w14:textFill>
            <w14:solidFill>
              <w14:schemeClr w14:val="tx1"/>
            </w14:solidFill>
          </w14:textFill>
        </w:rPr>
        <w:t>。</w:t>
      </w:r>
    </w:p>
    <w:p>
      <w:pPr>
        <w:spacing w:line="500" w:lineRule="exact"/>
        <w:ind w:left="4210" w:leftChars="1900" w:hanging="220" w:hangingChars="100"/>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供应商名称：（盖单位公章）                                </w:t>
      </w:r>
    </w:p>
    <w:p>
      <w:pPr>
        <w:pStyle w:val="68"/>
        <w:spacing w:line="500" w:lineRule="exact"/>
        <w:ind w:firstLine="4200" w:firstLineChars="20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   期： 年 月 日</w:t>
      </w:r>
    </w:p>
    <w:p>
      <w:pPr>
        <w:spacing w:line="600" w:lineRule="exact"/>
        <w:ind w:firstLine="420"/>
        <w:rPr>
          <w:rFonts w:ascii="宋体" w:hAnsi="宋体" w:cs="宋体"/>
          <w:color w:val="000000" w:themeColor="text1"/>
          <w:kern w:val="0"/>
          <w:szCs w:val="21"/>
          <w14:textFill>
            <w14:solidFill>
              <w14:schemeClr w14:val="tx1"/>
            </w14:solidFill>
          </w14:textFill>
        </w:rPr>
      </w:pPr>
    </w:p>
    <w:p>
      <w:pPr>
        <w:snapToGrid w:val="0"/>
        <w:spacing w:line="500" w:lineRule="exact"/>
        <w:ind w:firstLine="420" w:firstLineChars="200"/>
        <w:jc w:val="center"/>
        <w:rPr>
          <w:color w:val="000000" w:themeColor="text1"/>
          <w14:textFill>
            <w14:solidFill>
              <w14:schemeClr w14:val="tx1"/>
            </w14:solidFill>
          </w14:textFill>
        </w:rPr>
      </w:pPr>
    </w:p>
    <w:p>
      <w:pPr>
        <w:snapToGrid w:val="0"/>
        <w:spacing w:line="50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从业人员、营业收入、资产总额填报上一年度数据，无上一年度数据的新成立企业可不填报</w:t>
      </w:r>
    </w:p>
    <w:p>
      <w:pPr>
        <w:snapToGrid w:val="0"/>
        <w:spacing w:line="50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提醒：1、如果供应商不满足小型、微型企业的认定标准，或所投产品的制造商不符合小型、微型企业认定标准的，则不需要</w:t>
      </w:r>
      <w:r>
        <w:rPr>
          <w:rFonts w:hint="eastAsia" w:ascii="宋体" w:hAnsi="宋体" w:cs="宋体"/>
          <w:bCs/>
          <w:color w:val="000000" w:themeColor="text1"/>
          <w:szCs w:val="21"/>
          <w:lang w:eastAsia="zh-CN"/>
          <w14:textFill>
            <w14:solidFill>
              <w14:schemeClr w14:val="tx1"/>
            </w14:solidFill>
          </w14:textFill>
        </w:rPr>
        <w:t>填写</w:t>
      </w:r>
      <w:r>
        <w:rPr>
          <w:rFonts w:hint="eastAsia" w:ascii="宋体" w:hAnsi="宋体" w:cs="宋体"/>
          <w:bCs/>
          <w:color w:val="000000" w:themeColor="text1"/>
          <w:szCs w:val="21"/>
          <w14:textFill>
            <w14:solidFill>
              <w14:schemeClr w14:val="tx1"/>
            </w14:solidFill>
          </w14:textFill>
        </w:rPr>
        <w:t>《中小企业声明函》</w:t>
      </w:r>
      <w:r>
        <w:rPr>
          <w:rFonts w:hint="eastAsia" w:ascii="宋体" w:hAnsi="宋体" w:cs="宋体"/>
          <w:bCs/>
          <w:color w:val="000000" w:themeColor="text1"/>
          <w:szCs w:val="21"/>
          <w:lang w:eastAsia="zh-CN"/>
          <w14:textFill>
            <w14:solidFill>
              <w14:schemeClr w14:val="tx1"/>
            </w14:solidFill>
          </w14:textFill>
        </w:rPr>
        <w:t>，按文件要求盖章</w:t>
      </w:r>
      <w:r>
        <w:rPr>
          <w:rFonts w:hint="eastAsia" w:ascii="宋体" w:hAnsi="宋体" w:cs="宋体"/>
          <w:bCs/>
          <w:color w:val="000000" w:themeColor="text1"/>
          <w:szCs w:val="21"/>
          <w14:textFill>
            <w14:solidFill>
              <w14:schemeClr w14:val="tx1"/>
            </w14:solidFill>
          </w14:textFill>
        </w:rPr>
        <w:t>。</w:t>
      </w:r>
    </w:p>
    <w:p>
      <w:pPr>
        <w:spacing w:line="500" w:lineRule="exact"/>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本项目标的物所属行业：</w:t>
      </w:r>
      <w:r>
        <w:rPr>
          <w:rFonts w:hint="eastAsia" w:ascii="宋体" w:hAnsi="宋体" w:cs="宋体"/>
          <w:color w:val="auto"/>
          <w:sz w:val="21"/>
          <w:szCs w:val="21"/>
          <w:highlight w:val="none"/>
          <w:lang w:eastAsia="zh-CN"/>
        </w:rPr>
        <w:t>其他未列明行业</w:t>
      </w:r>
      <w:r>
        <w:rPr>
          <w:rFonts w:hint="eastAsia" w:ascii="宋体" w:hAnsi="宋体" w:cs="宋体"/>
          <w:color w:val="auto"/>
          <w:sz w:val="21"/>
          <w:szCs w:val="21"/>
          <w:highlight w:val="none"/>
        </w:rPr>
        <w:t>。</w:t>
      </w:r>
    </w:p>
    <w:p>
      <w:pPr>
        <w:rPr>
          <w:rFonts w:hint="eastAsia" w:ascii="宋体" w:hAnsi="宋体" w:cs="宋体"/>
          <w:b/>
          <w:color w:val="auto"/>
          <w:kern w:val="0"/>
          <w:sz w:val="32"/>
          <w:szCs w:val="32"/>
          <w:highlight w:val="none"/>
        </w:rPr>
      </w:pPr>
      <w:r>
        <w:rPr>
          <w:rFonts w:hint="eastAsia" w:ascii="宋体" w:hAnsi="宋体" w:cs="宋体"/>
          <w:b/>
          <w:bCs/>
          <w:color w:val="auto"/>
          <w:kern w:val="28"/>
          <w:sz w:val="21"/>
          <w:szCs w:val="21"/>
          <w:highlight w:val="none"/>
        </w:rPr>
        <w:br w:type="page"/>
      </w:r>
    </w:p>
    <w:p>
      <w:pPr>
        <w:numPr>
          <w:ilvl w:val="0"/>
          <w:numId w:val="8"/>
        </w:numPr>
        <w:jc w:val="center"/>
        <w:outlineLvl w:val="1"/>
        <w:rPr>
          <w:rFonts w:hint="eastAsia" w:ascii="宋体" w:hAnsi="宋体" w:cs="宋体"/>
          <w:b/>
          <w:color w:val="auto"/>
          <w:kern w:val="0"/>
          <w:sz w:val="32"/>
          <w:szCs w:val="32"/>
          <w:highlight w:val="none"/>
          <w:lang w:eastAsia="zh-CN"/>
        </w:rPr>
      </w:pPr>
      <w:bookmarkStart w:id="145" w:name="_Toc7361"/>
      <w:r>
        <w:rPr>
          <w:rFonts w:hint="eastAsia" w:ascii="宋体" w:hAnsi="宋体" w:cs="宋体"/>
          <w:b/>
          <w:color w:val="auto"/>
          <w:kern w:val="0"/>
          <w:sz w:val="32"/>
          <w:szCs w:val="32"/>
          <w:highlight w:val="none"/>
        </w:rPr>
        <w:t>温县政府采购供应商资格信用</w:t>
      </w:r>
      <w:r>
        <w:rPr>
          <w:rFonts w:hint="eastAsia" w:ascii="宋体" w:hAnsi="宋体" w:cs="宋体"/>
          <w:b/>
          <w:color w:val="auto"/>
          <w:kern w:val="0"/>
          <w:sz w:val="32"/>
          <w:szCs w:val="32"/>
          <w:highlight w:val="none"/>
          <w:lang w:eastAsia="zh-CN"/>
        </w:rPr>
        <w:t>承诺函</w:t>
      </w:r>
      <w:bookmarkEnd w:id="145"/>
    </w:p>
    <w:p>
      <w:pPr>
        <w:rPr>
          <w:rFonts w:hint="eastAsia"/>
          <w:lang w:eastAsia="zh-CN"/>
        </w:rPr>
      </w:pPr>
    </w:p>
    <w:p>
      <w:pPr>
        <w:keepNext w:val="0"/>
        <w:keepLines w:val="0"/>
        <w:pageBreakBefore w:val="0"/>
        <w:widowControl w:val="0"/>
        <w:kinsoku/>
        <w:wordWrap/>
        <w:overflowPunct w:val="0"/>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szCs w:val="32"/>
          <w:highlight w:val="none"/>
          <w:u w:val="none"/>
        </w:rPr>
      </w:pPr>
      <w:r>
        <w:rPr>
          <w:rFonts w:hint="eastAsia" w:ascii="宋体" w:hAnsi="宋体" w:eastAsia="宋体" w:cs="宋体"/>
          <w:color w:val="auto"/>
          <w:szCs w:val="32"/>
          <w:highlight w:val="none"/>
        </w:rPr>
        <w:t>致：</w:t>
      </w:r>
      <w:r>
        <w:rPr>
          <w:rFonts w:hint="eastAsia" w:ascii="宋体" w:hAnsi="宋体" w:eastAsia="宋体" w:cs="宋体"/>
          <w:color w:val="auto"/>
          <w:szCs w:val="32"/>
          <w:highlight w:val="none"/>
          <w:u w:val="single"/>
          <w:lang w:val="en-US" w:eastAsia="zh-CN"/>
        </w:rPr>
        <w:t xml:space="preserve">             </w:t>
      </w:r>
      <w:r>
        <w:rPr>
          <w:rFonts w:hint="eastAsia" w:ascii="宋体" w:hAnsi="宋体" w:cs="宋体"/>
          <w:color w:val="auto"/>
          <w:szCs w:val="32"/>
          <w:highlight w:val="none"/>
          <w:u w:val="single"/>
          <w:lang w:val="en-US" w:eastAsia="zh-CN"/>
        </w:rPr>
        <w:t xml:space="preserve">              </w:t>
      </w:r>
      <w:r>
        <w:rPr>
          <w:rFonts w:hint="eastAsia" w:ascii="宋体" w:hAnsi="宋体" w:eastAsia="宋体" w:cs="宋体"/>
          <w:color w:val="auto"/>
          <w:szCs w:val="32"/>
          <w:highlight w:val="none"/>
          <w:u w:val="none"/>
        </w:rPr>
        <w:t xml:space="preserve">（采购人或采购代理机构） </w:t>
      </w:r>
    </w:p>
    <w:p>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供应商名称：</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w:t>
      </w:r>
    </w:p>
    <w:p>
      <w:pPr>
        <w:keepNext w:val="0"/>
        <w:keepLines w:val="0"/>
        <w:pageBreakBefore w:val="0"/>
        <w:widowControl w:val="0"/>
        <w:kinsoku/>
        <w:wordWrap/>
        <w:overflowPunct w:val="0"/>
        <w:topLinePunct w:val="0"/>
        <w:autoSpaceDE/>
        <w:autoSpaceDN/>
        <w:bidi w:val="0"/>
        <w:adjustRightInd w:val="0"/>
        <w:snapToGrid w:val="0"/>
        <w:spacing w:line="480" w:lineRule="exact"/>
        <w:textAlignment w:val="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统一社会信用代码：</w:t>
      </w:r>
      <w:r>
        <w:rPr>
          <w:rFonts w:hint="eastAsia" w:ascii="宋体" w:hAnsi="宋体" w:eastAsia="宋体" w:cs="宋体"/>
          <w:color w:val="auto"/>
          <w:szCs w:val="32"/>
          <w:highlight w:val="none"/>
          <w:u w:val="single"/>
        </w:rPr>
        <w:t xml:space="preserve">                                 </w:t>
      </w:r>
      <w:r>
        <w:rPr>
          <w:rFonts w:hint="eastAsia" w:ascii="宋体" w:hAnsi="宋体" w:cs="宋体"/>
          <w:color w:val="auto"/>
          <w:szCs w:val="32"/>
          <w:highlight w:val="none"/>
          <w:u w:val="single"/>
          <w:lang w:val="en-US" w:eastAsia="zh-CN"/>
        </w:rPr>
        <w:t xml:space="preserve">  </w:t>
      </w:r>
      <w:r>
        <w:rPr>
          <w:rFonts w:hint="eastAsia" w:ascii="宋体" w:hAnsi="宋体" w:eastAsia="宋体" w:cs="宋体"/>
          <w:color w:val="auto"/>
          <w:szCs w:val="32"/>
          <w:highlight w:val="none"/>
        </w:rPr>
        <w:t xml:space="preserve">                            </w:t>
      </w:r>
    </w:p>
    <w:p>
      <w:pPr>
        <w:spacing w:line="600" w:lineRule="exact"/>
        <w:ind w:firstLine="210" w:firstLineChars="100"/>
        <w:rPr>
          <w:rFonts w:ascii="宋体" w:hAnsi="宋体"/>
          <w:color w:val="auto"/>
          <w:szCs w:val="21"/>
          <w:highlight w:val="none"/>
        </w:rPr>
      </w:pPr>
      <w:r>
        <w:rPr>
          <w:rFonts w:hint="eastAsia" w:ascii="宋体" w:hAnsi="宋体" w:eastAsia="宋体" w:cs="宋体"/>
          <w:color w:val="auto"/>
          <w:szCs w:val="32"/>
          <w:highlight w:val="none"/>
        </w:rPr>
        <w:t xml:space="preserve">  供应商地址：</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 xml:space="preserve"> </w:t>
      </w:r>
      <w:r>
        <w:rPr>
          <w:rFonts w:ascii="宋体" w:hAnsi="宋体"/>
          <w:color w:val="auto"/>
          <w:szCs w:val="21"/>
          <w:highlight w:val="none"/>
        </w:rPr>
        <w:t xml:space="preserve">                           </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pacing w:line="6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我单位具有符合采购文件资格要求独立承担民事责任的能力。</w:t>
      </w:r>
    </w:p>
    <w:p>
      <w:pPr>
        <w:spacing w:line="6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我单位具有符合采购文件资格要求的财务状况报告。</w:t>
      </w:r>
    </w:p>
    <w:p>
      <w:pPr>
        <w:spacing w:line="6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我单位具有符合采购文件资格要求的依法缴纳税收和社会保障记录的良好记录。</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我单位具有符合采购文件资格要求履行合同所必需的设备和专业技术能力。</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参加政府采购活动前三年内，</w:t>
      </w:r>
      <w:r>
        <w:rPr>
          <w:rFonts w:hint="eastAsia" w:ascii="宋体" w:hAnsi="宋体"/>
          <w:color w:val="auto"/>
          <w:szCs w:val="21"/>
          <w:highlight w:val="none"/>
          <w:lang w:eastAsia="zh-CN"/>
        </w:rPr>
        <w:t>在</w:t>
      </w:r>
      <w:r>
        <w:rPr>
          <w:rFonts w:hint="eastAsia" w:ascii="宋体" w:hAnsi="宋体"/>
          <w:color w:val="auto"/>
          <w:szCs w:val="21"/>
          <w:highlight w:val="none"/>
        </w:rPr>
        <w:t>经营活动中没有重大违法记录。</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若我单位承诺不实，自愿承担提供虚假材料谋取中标、成交的法律责任。</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承诺供应商（全称并加盖公章）： </w:t>
      </w:r>
      <w:r>
        <w:rPr>
          <w:rFonts w:ascii="宋体" w:hAnsi="宋体"/>
          <w:color w:val="auto"/>
          <w:szCs w:val="21"/>
          <w:highlight w:val="none"/>
        </w:rPr>
        <w:t xml:space="preserve">              </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法定代表人或授权代表（签字）： </w:t>
      </w:r>
      <w:r>
        <w:rPr>
          <w:rFonts w:ascii="宋体" w:hAnsi="宋体"/>
          <w:color w:val="auto"/>
          <w:szCs w:val="21"/>
          <w:highlight w:val="none"/>
        </w:rPr>
        <w:t xml:space="preserve">    </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日期： </w:t>
      </w:r>
      <w:r>
        <w:rPr>
          <w:rFonts w:ascii="宋体" w:hAnsi="宋体"/>
          <w:color w:val="auto"/>
          <w:szCs w:val="21"/>
          <w:highlight w:val="none"/>
        </w:rPr>
        <w:t xml:space="preserve"> </w:t>
      </w:r>
      <w:r>
        <w:rPr>
          <w:rFonts w:hint="eastAsia" w:ascii="宋体" w:hAnsi="宋体"/>
          <w:color w:val="auto"/>
          <w:szCs w:val="21"/>
          <w:highlight w:val="none"/>
        </w:rPr>
        <w:t xml:space="preserve">年 </w:t>
      </w:r>
      <w:r>
        <w:rPr>
          <w:rFonts w:ascii="宋体" w:hAnsi="宋体"/>
          <w:color w:val="auto"/>
          <w:szCs w:val="21"/>
          <w:highlight w:val="none"/>
        </w:rPr>
        <w:t xml:space="preserve"> </w:t>
      </w:r>
      <w:r>
        <w:rPr>
          <w:rFonts w:hint="eastAsia" w:ascii="宋体" w:hAnsi="宋体"/>
          <w:color w:val="auto"/>
          <w:szCs w:val="21"/>
          <w:highlight w:val="none"/>
        </w:rPr>
        <w:t xml:space="preserve">月 </w:t>
      </w:r>
      <w:r>
        <w:rPr>
          <w:rFonts w:ascii="宋体" w:hAnsi="宋体"/>
          <w:color w:val="auto"/>
          <w:szCs w:val="21"/>
          <w:highlight w:val="none"/>
        </w:rPr>
        <w:t xml:space="preserve"> </w:t>
      </w:r>
      <w:r>
        <w:rPr>
          <w:rFonts w:hint="eastAsia" w:ascii="宋体" w:hAnsi="宋体"/>
          <w:color w:val="auto"/>
          <w:szCs w:val="21"/>
          <w:highlight w:val="none"/>
        </w:rPr>
        <w:t>日</w:t>
      </w:r>
    </w:p>
    <w:p>
      <w:pPr>
        <w:spacing w:line="600" w:lineRule="exact"/>
        <w:ind w:firstLine="420" w:firstLineChars="200"/>
        <w:rPr>
          <w:rFonts w:ascii="宋体" w:hAnsi="宋体"/>
          <w:color w:val="auto"/>
          <w:szCs w:val="21"/>
          <w:highlight w:val="none"/>
        </w:rPr>
      </w:pP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供应商须在投标文件中按此模板提供承诺函，未提供视为未实质性响应招标文件要求，按无效投标处理。</w:t>
      </w:r>
    </w:p>
    <w:p>
      <w:pPr>
        <w:spacing w:line="600" w:lineRule="exact"/>
        <w:ind w:firstLine="840" w:firstLineChars="400"/>
        <w:rPr>
          <w:rFonts w:hint="eastAsia" w:ascii="宋体" w:hAnsi="宋体" w:eastAsia="宋体" w:cs="宋体"/>
          <w:color w:val="auto"/>
          <w:highlight w:val="none"/>
          <w:lang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供应商的法定代表人（其他组织的为负责人）或者授权代表的签字或盖章应真实、有效，如由授权代表签字或盖章的，应提供</w:t>
      </w:r>
      <w:r>
        <w:rPr>
          <w:rFonts w:hint="eastAsia" w:ascii="宋体" w:hAnsi="宋体"/>
          <w:color w:val="auto"/>
          <w:szCs w:val="21"/>
          <w:highlight w:val="none"/>
          <w:lang w:eastAsia="zh-CN"/>
        </w:rPr>
        <w:t>“</w:t>
      </w:r>
      <w:r>
        <w:rPr>
          <w:rFonts w:hint="eastAsia" w:ascii="宋体" w:hAnsi="宋体"/>
          <w:color w:val="auto"/>
          <w:szCs w:val="21"/>
          <w:highlight w:val="none"/>
        </w:rPr>
        <w:t>法定代表人授权书</w:t>
      </w:r>
      <w:r>
        <w:rPr>
          <w:rFonts w:hint="eastAsia" w:ascii="宋体" w:hAnsi="宋体"/>
          <w:color w:val="auto"/>
          <w:szCs w:val="21"/>
          <w:highlight w:val="none"/>
          <w:lang w:eastAsia="zh-CN"/>
        </w:rPr>
        <w:t>”</w:t>
      </w:r>
    </w:p>
    <w:p>
      <w:pPr>
        <w:pStyle w:val="25"/>
        <w:rPr>
          <w:rFonts w:hint="eastAsia" w:ascii="宋体" w:hAnsi="宋体" w:cs="宋体"/>
          <w:color w:val="auto"/>
          <w:highlight w:val="none"/>
        </w:rPr>
      </w:pPr>
      <w:bookmarkStart w:id="146" w:name="_Toc11069"/>
    </w:p>
    <w:p>
      <w:pPr>
        <w:pStyle w:val="25"/>
        <w:numPr>
          <w:ilvl w:val="0"/>
          <w:numId w:val="8"/>
        </w:numPr>
        <w:tabs>
          <w:tab w:val="left" w:pos="8820"/>
        </w:tabs>
        <w:ind w:left="0" w:leftChars="0" w:right="252" w:rightChars="120" w:firstLine="0" w:firstLineChars="0"/>
      </w:pPr>
      <w:r>
        <w:rPr>
          <w:rFonts w:hint="eastAsia" w:ascii="宋体" w:hAnsi="宋体" w:cs="宋体"/>
          <w:color w:val="auto"/>
          <w:highlight w:val="none"/>
        </w:rPr>
        <w:t>供应商认为需要提供</w:t>
      </w:r>
      <w:r>
        <w:rPr>
          <w:rFonts w:hint="eastAsia" w:ascii="宋体" w:hAnsi="宋体" w:cs="宋体"/>
          <w:color w:val="auto"/>
          <w:highlight w:val="none"/>
          <w:lang w:eastAsia="zh-CN"/>
        </w:rPr>
        <w:t>的其他</w:t>
      </w:r>
      <w:r>
        <w:rPr>
          <w:rFonts w:hint="eastAsia" w:ascii="宋体" w:hAnsi="宋体" w:cs="宋体"/>
          <w:color w:val="auto"/>
          <w:highlight w:val="none"/>
        </w:rPr>
        <w:t>材料</w:t>
      </w:r>
      <w:bookmarkEnd w:id="143"/>
      <w:bookmarkEnd w:id="146"/>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center"/>
        <w:rPr>
          <w:b/>
          <w:bCs/>
          <w:color w:val="auto"/>
          <w:sz w:val="28"/>
          <w:szCs w:val="28"/>
          <w:highlight w:val="none"/>
        </w:rPr>
      </w:pPr>
    </w:p>
    <w:p>
      <w:pPr>
        <w:jc w:val="both"/>
        <w:rPr>
          <w:rFonts w:hint="eastAsia"/>
          <w:b/>
          <w:bCs/>
          <w:color w:val="auto"/>
          <w:sz w:val="28"/>
          <w:szCs w:val="28"/>
          <w:highlight w:val="none"/>
        </w:rPr>
      </w:pPr>
    </w:p>
    <w:p>
      <w:pPr>
        <w:jc w:val="center"/>
        <w:rPr>
          <w:rFonts w:hint="eastAsia"/>
          <w:b/>
          <w:bCs/>
          <w:color w:val="auto"/>
          <w:sz w:val="28"/>
          <w:szCs w:val="28"/>
          <w:highlight w:val="none"/>
        </w:rPr>
      </w:pPr>
    </w:p>
    <w:p>
      <w:pPr>
        <w:jc w:val="center"/>
        <w:rPr>
          <w:rFonts w:hint="eastAsia"/>
          <w:b/>
          <w:bCs/>
          <w:color w:val="auto"/>
          <w:sz w:val="28"/>
          <w:szCs w:val="28"/>
          <w:highlight w:val="none"/>
        </w:rPr>
      </w:pPr>
    </w:p>
    <w:p>
      <w:pPr>
        <w:jc w:val="center"/>
        <w:rPr>
          <w:b/>
          <w:bCs/>
          <w:color w:val="auto"/>
          <w:sz w:val="28"/>
          <w:szCs w:val="28"/>
          <w:highlight w:val="none"/>
        </w:rPr>
      </w:pPr>
      <w:r>
        <w:rPr>
          <w:rFonts w:hint="eastAsia"/>
          <w:b/>
          <w:bCs/>
          <w:color w:val="auto"/>
          <w:sz w:val="28"/>
          <w:szCs w:val="28"/>
          <w:highlight w:val="none"/>
        </w:rPr>
        <w:t>最终磋商报价表</w:t>
      </w:r>
    </w:p>
    <w:p>
      <w:pPr>
        <w:spacing w:line="360" w:lineRule="exact"/>
        <w:jc w:val="center"/>
        <w:rPr>
          <w:rFonts w:ascii="宋体" w:cs="宋体"/>
          <w:b/>
          <w:color w:val="auto"/>
          <w:szCs w:val="21"/>
          <w:highlight w:val="none"/>
        </w:rPr>
      </w:pPr>
    </w:p>
    <w:tbl>
      <w:tblPr>
        <w:tblStyle w:val="29"/>
        <w:tblW w:w="8803" w:type="dxa"/>
        <w:jc w:val="center"/>
        <w:tblLayout w:type="fixed"/>
        <w:tblCellMar>
          <w:top w:w="0" w:type="dxa"/>
          <w:left w:w="0" w:type="dxa"/>
          <w:bottom w:w="0" w:type="dxa"/>
          <w:right w:w="0" w:type="dxa"/>
        </w:tblCellMar>
      </w:tblPr>
      <w:tblGrid>
        <w:gridCol w:w="1583"/>
        <w:gridCol w:w="3532"/>
        <w:gridCol w:w="1372"/>
        <w:gridCol w:w="2316"/>
      </w:tblGrid>
      <w:tr>
        <w:tblPrEx>
          <w:tblCellMar>
            <w:top w:w="0" w:type="dxa"/>
            <w:left w:w="0" w:type="dxa"/>
            <w:bottom w:w="0" w:type="dxa"/>
            <w:right w:w="0" w:type="dxa"/>
          </w:tblCellMar>
        </w:tblPrEx>
        <w:trPr>
          <w:cantSplit/>
          <w:trHeight w:val="1017" w:hRule="atLeast"/>
          <w:jc w:val="center"/>
        </w:trPr>
        <w:tc>
          <w:tcPr>
            <w:tcW w:w="15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r>
              <w:rPr>
                <w:rFonts w:hint="eastAsia" w:ascii="宋体" w:hAnsi="宋体" w:cs="宋体"/>
                <w:color w:val="auto"/>
                <w:szCs w:val="21"/>
                <w:highlight w:val="none"/>
              </w:rPr>
              <w:t>项目名称</w:t>
            </w:r>
          </w:p>
        </w:tc>
        <w:tc>
          <w:tcPr>
            <w:tcW w:w="353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p>
        </w:tc>
        <w:tc>
          <w:tcPr>
            <w:tcW w:w="137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cs="宋体"/>
                <w:color w:val="auto"/>
                <w:szCs w:val="21"/>
                <w:highlight w:val="none"/>
              </w:rPr>
            </w:pPr>
            <w:r>
              <w:rPr>
                <w:rFonts w:hint="eastAsia" w:ascii="宋体" w:hAnsi="宋体" w:cs="宋体"/>
                <w:color w:val="auto"/>
                <w:szCs w:val="21"/>
                <w:highlight w:val="none"/>
              </w:rPr>
              <w:t>项目编号</w:t>
            </w:r>
          </w:p>
        </w:tc>
        <w:tc>
          <w:tcPr>
            <w:tcW w:w="2316" w:type="dxa"/>
            <w:tcBorders>
              <w:top w:val="single" w:color="auto" w:sz="4" w:space="0"/>
              <w:left w:val="nil"/>
              <w:bottom w:val="single" w:color="auto" w:sz="4" w:space="0"/>
              <w:right w:val="single" w:color="auto" w:sz="4" w:space="0"/>
            </w:tcBorders>
            <w:vAlign w:val="center"/>
          </w:tcPr>
          <w:p>
            <w:pPr>
              <w:spacing w:line="360" w:lineRule="exact"/>
              <w:jc w:val="center"/>
              <w:rPr>
                <w:rFonts w:ascii="宋体" w:cs="宋体"/>
                <w:color w:val="auto"/>
                <w:szCs w:val="21"/>
                <w:highlight w:val="none"/>
              </w:rPr>
            </w:pPr>
          </w:p>
        </w:tc>
      </w:tr>
      <w:tr>
        <w:tblPrEx>
          <w:tblCellMar>
            <w:top w:w="0" w:type="dxa"/>
            <w:left w:w="0" w:type="dxa"/>
            <w:bottom w:w="0" w:type="dxa"/>
            <w:right w:w="0" w:type="dxa"/>
          </w:tblCellMar>
        </w:tblPrEx>
        <w:trPr>
          <w:cantSplit/>
          <w:trHeight w:val="1566" w:hRule="atLeast"/>
          <w:jc w:val="center"/>
        </w:trPr>
        <w:tc>
          <w:tcPr>
            <w:tcW w:w="158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r>
              <w:rPr>
                <w:rFonts w:hint="eastAsia" w:ascii="宋体" w:hAnsi="宋体" w:cs="宋体"/>
                <w:color w:val="auto"/>
                <w:szCs w:val="21"/>
                <w:highlight w:val="none"/>
              </w:rPr>
              <w:t>磋商报价</w:t>
            </w:r>
            <w:r>
              <w:rPr>
                <w:rFonts w:ascii="宋体" w:hAnsi="宋体" w:cs="宋体"/>
                <w:color w:val="auto"/>
                <w:szCs w:val="21"/>
                <w:highlight w:val="none"/>
              </w:rPr>
              <w:t xml:space="preserve"> </w:t>
            </w:r>
            <w:r>
              <w:rPr>
                <w:rFonts w:hint="eastAsia" w:ascii="宋体" w:hAnsi="宋体" w:cs="宋体"/>
                <w:color w:val="auto"/>
                <w:szCs w:val="21"/>
                <w:highlight w:val="none"/>
              </w:rPr>
              <w:t>（元）</w:t>
            </w:r>
          </w:p>
        </w:tc>
        <w:tc>
          <w:tcPr>
            <w:tcW w:w="7220"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ind w:firstLine="210" w:firstLineChars="100"/>
              <w:rPr>
                <w:rFonts w:ascii="宋体" w:hAnsi="宋体" w:cs="宋体"/>
                <w:color w:val="auto"/>
                <w:szCs w:val="21"/>
                <w:highlight w:val="none"/>
                <w:u w:val="single"/>
              </w:rPr>
            </w:pPr>
            <w:r>
              <w:rPr>
                <w:rFonts w:hint="eastAsia" w:ascii="宋体" w:hAnsi="宋体" w:cs="宋体"/>
                <w:color w:val="auto"/>
                <w:szCs w:val="21"/>
                <w:highlight w:val="none"/>
              </w:rPr>
              <w:t>总报价：人民币大写：</w:t>
            </w:r>
            <w:r>
              <w:rPr>
                <w:rFonts w:ascii="宋体" w:hAnsi="宋体" w:cs="宋体"/>
                <w:color w:val="auto"/>
                <w:szCs w:val="21"/>
                <w:highlight w:val="none"/>
                <w:u w:val="single"/>
              </w:rPr>
              <w:t xml:space="preserve">                 </w:t>
            </w:r>
            <w:r>
              <w:rPr>
                <w:rFonts w:hint="eastAsia" w:ascii="宋体" w:hAnsi="宋体" w:cs="宋体"/>
                <w:color w:val="auto"/>
                <w:szCs w:val="21"/>
                <w:highlight w:val="none"/>
              </w:rPr>
              <w:t>；小写：</w:t>
            </w:r>
            <w:r>
              <w:rPr>
                <w:rFonts w:ascii="宋体" w:hAnsi="宋体" w:cs="宋体"/>
                <w:color w:val="auto"/>
                <w:szCs w:val="21"/>
                <w:highlight w:val="none"/>
                <w:u w:val="single"/>
              </w:rPr>
              <w:t xml:space="preserve">                 </w:t>
            </w:r>
          </w:p>
        </w:tc>
      </w:tr>
      <w:tr>
        <w:tblPrEx>
          <w:tblCellMar>
            <w:top w:w="0" w:type="dxa"/>
            <w:left w:w="0" w:type="dxa"/>
            <w:bottom w:w="0" w:type="dxa"/>
            <w:right w:w="0" w:type="dxa"/>
          </w:tblCellMar>
        </w:tblPrEx>
        <w:trPr>
          <w:cantSplit/>
          <w:trHeight w:val="915" w:hRule="atLeast"/>
          <w:jc w:val="center"/>
        </w:trPr>
        <w:tc>
          <w:tcPr>
            <w:tcW w:w="15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r>
              <w:rPr>
                <w:rFonts w:hint="eastAsia" w:ascii="宋体" w:hAnsi="宋体" w:cs="宋体"/>
                <w:color w:val="auto"/>
                <w:szCs w:val="21"/>
                <w:highlight w:val="none"/>
              </w:rPr>
              <w:t>合同履行期限</w:t>
            </w:r>
          </w:p>
        </w:tc>
        <w:tc>
          <w:tcPr>
            <w:tcW w:w="722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p>
        </w:tc>
      </w:tr>
      <w:tr>
        <w:tblPrEx>
          <w:tblCellMar>
            <w:top w:w="0" w:type="dxa"/>
            <w:left w:w="0" w:type="dxa"/>
            <w:bottom w:w="0" w:type="dxa"/>
            <w:right w:w="0" w:type="dxa"/>
          </w:tblCellMar>
        </w:tblPrEx>
        <w:trPr>
          <w:cantSplit/>
          <w:trHeight w:val="1006" w:hRule="atLeast"/>
          <w:jc w:val="center"/>
        </w:trPr>
        <w:tc>
          <w:tcPr>
            <w:tcW w:w="15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722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p>
        </w:tc>
      </w:tr>
      <w:tr>
        <w:tblPrEx>
          <w:tblCellMar>
            <w:top w:w="0" w:type="dxa"/>
            <w:left w:w="0" w:type="dxa"/>
            <w:bottom w:w="0" w:type="dxa"/>
            <w:right w:w="0" w:type="dxa"/>
          </w:tblCellMar>
        </w:tblPrEx>
        <w:trPr>
          <w:cantSplit/>
          <w:trHeight w:val="902" w:hRule="atLeast"/>
          <w:jc w:val="center"/>
        </w:trPr>
        <w:tc>
          <w:tcPr>
            <w:tcW w:w="15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宋体" w:cs="宋体"/>
                <w:color w:val="auto"/>
                <w:szCs w:val="21"/>
                <w:highlight w:val="none"/>
              </w:rPr>
            </w:pPr>
            <w:r>
              <w:rPr>
                <w:rFonts w:hint="eastAsia" w:ascii="宋体" w:hAnsi="宋体" w:eastAsia="宋体" w:cs="宋体"/>
                <w:color w:val="auto"/>
                <w:szCs w:val="21"/>
                <w:highlight w:val="none"/>
              </w:rPr>
              <w:t>磋商有效期</w:t>
            </w:r>
          </w:p>
        </w:tc>
        <w:tc>
          <w:tcPr>
            <w:tcW w:w="722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left"/>
              <w:rPr>
                <w:rFonts w:ascii="宋体" w:cs="宋体"/>
                <w:color w:val="auto"/>
                <w:szCs w:val="21"/>
                <w:highlight w:val="none"/>
              </w:rPr>
            </w:pPr>
          </w:p>
        </w:tc>
      </w:tr>
      <w:tr>
        <w:tblPrEx>
          <w:tblCellMar>
            <w:top w:w="0" w:type="dxa"/>
            <w:left w:w="0" w:type="dxa"/>
            <w:bottom w:w="0" w:type="dxa"/>
            <w:right w:w="0" w:type="dxa"/>
          </w:tblCellMar>
        </w:tblPrEx>
        <w:trPr>
          <w:cantSplit/>
          <w:trHeight w:val="1033" w:hRule="atLeast"/>
          <w:jc w:val="center"/>
        </w:trPr>
        <w:tc>
          <w:tcPr>
            <w:tcW w:w="15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tc>
        <w:tc>
          <w:tcPr>
            <w:tcW w:w="722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left"/>
              <w:rPr>
                <w:rFonts w:ascii="宋体" w:cs="宋体"/>
                <w:color w:val="auto"/>
                <w:szCs w:val="21"/>
                <w:highlight w:val="none"/>
              </w:rPr>
            </w:pPr>
          </w:p>
        </w:tc>
      </w:tr>
    </w:tbl>
    <w:p>
      <w:pPr>
        <w:spacing w:line="52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供应商名称（公章）：</w:t>
      </w:r>
    </w:p>
    <w:p>
      <w:pPr>
        <w:spacing w:line="520" w:lineRule="exac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法定代表人或授权委托人签字</w:t>
      </w:r>
      <w:r>
        <w:rPr>
          <w:rFonts w:hint="eastAsia" w:ascii="宋体" w:hAnsi="宋体" w:cs="宋体"/>
          <w:color w:val="auto"/>
          <w:szCs w:val="21"/>
          <w:highlight w:val="none"/>
          <w:lang w:eastAsia="zh-CN"/>
        </w:rPr>
        <w:t>：</w:t>
      </w:r>
    </w:p>
    <w:p>
      <w:pPr>
        <w:spacing w:line="360" w:lineRule="exact"/>
        <w:ind w:left="420" w:leftChars="200"/>
        <w:rPr>
          <w:rFonts w:ascii="宋体" w:cs="宋体"/>
          <w:color w:val="auto"/>
          <w:szCs w:val="21"/>
          <w:highlight w:val="none"/>
        </w:rPr>
      </w:pPr>
    </w:p>
    <w:p>
      <w:pPr>
        <w:spacing w:line="360" w:lineRule="exact"/>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日</w:t>
      </w:r>
    </w:p>
    <w:p/>
    <w:p>
      <w:pPr>
        <w:spacing w:line="360" w:lineRule="auto"/>
        <w:rPr>
          <w:rFonts w:hint="eastAsia"/>
          <w:lang w:val="en-US" w:eastAsia="zh-CN"/>
        </w:rPr>
      </w:pPr>
      <w:r>
        <w:rPr>
          <w:rFonts w:hint="eastAsia"/>
        </w:rPr>
        <w:t>注：</w:t>
      </w:r>
      <w:r>
        <w:rPr>
          <w:rFonts w:hint="eastAsia"/>
          <w:lang w:val="en-US" w:eastAsia="zh-CN"/>
        </w:rPr>
        <w:t>1、报价应包括磋商文件所确定的采购范围内的全部费用。</w:t>
      </w:r>
    </w:p>
    <w:p>
      <w:pPr>
        <w:spacing w:line="360" w:lineRule="auto"/>
        <w:ind w:firstLine="420" w:firstLineChars="200"/>
      </w:pPr>
      <w:r>
        <w:rPr>
          <w:rFonts w:hint="eastAsia"/>
          <w:lang w:val="en-US" w:eastAsia="zh-CN"/>
        </w:rPr>
        <w:t>2、</w:t>
      </w:r>
      <w:r>
        <w:rPr>
          <w:rFonts w:hint="eastAsia"/>
          <w:lang w:val="zh-CN" w:eastAsia="zh-CN"/>
        </w:rPr>
        <w:t>供应商应当对竞争性磋商的最终报价在焦作市公共资源交易平台</w:t>
      </w:r>
      <w:r>
        <w:rPr>
          <w:rFonts w:hint="eastAsia"/>
          <w:lang w:val="en-US" w:eastAsia="zh-CN"/>
        </w:rPr>
        <w:t>系统</w:t>
      </w:r>
      <w:r>
        <w:rPr>
          <w:rFonts w:hint="eastAsia"/>
          <w:lang w:val="zh-CN" w:eastAsia="zh-CN"/>
        </w:rPr>
        <w:t>进行</w:t>
      </w:r>
      <w:r>
        <w:rPr>
          <w:rFonts w:hint="eastAsia"/>
          <w:lang w:val="en-US" w:eastAsia="zh-CN"/>
        </w:rPr>
        <w:t>签章</w:t>
      </w:r>
      <w:r>
        <w:rPr>
          <w:rFonts w:hint="eastAsia"/>
          <w:lang w:val="zh-CN" w:eastAsia="zh-CN"/>
        </w:rPr>
        <w:t>确认，在规定的时限内</w:t>
      </w:r>
      <w:r>
        <w:rPr>
          <w:rFonts w:hint="eastAsia"/>
          <w:lang w:val="en-US" w:eastAsia="zh-CN"/>
        </w:rPr>
        <w:t>上传</w:t>
      </w:r>
      <w:r>
        <w:rPr>
          <w:rFonts w:hint="eastAsia"/>
          <w:lang w:val="zh-CN" w:eastAsia="zh-CN"/>
        </w:rPr>
        <w:t>给竞争性磋商小组，</w:t>
      </w:r>
      <w:r>
        <w:rPr>
          <w:rFonts w:hint="eastAsia"/>
          <w:lang w:val="en-US" w:eastAsia="zh-CN"/>
        </w:rPr>
        <w:t>未在规定时间提供最后报价，由供应商自行承担相关责任。</w:t>
      </w:r>
    </w:p>
    <w:p/>
    <w:sectPr>
      <w:footerReference r:id="rId10" w:type="default"/>
      <w:pgSz w:w="11906" w:h="16838"/>
      <w:pgMar w:top="1440" w:right="1669" w:bottom="1440"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260" w:firstLineChars="600"/>
      <w:rPr>
        <w:rFonts w:ascii="仿宋_GB2312" w:eastAsia="仿宋_GB2312"/>
        <w:b/>
        <w:color w:val="000000"/>
        <w:sz w:val="32"/>
        <w:szCs w:val="32"/>
        <w:lang w:val="zh-CN"/>
      </w:rPr>
    </w:pPr>
    <w:r>
      <w:t xml:space="preserve">    </w:t>
    </w:r>
    <w:r>
      <w:rPr>
        <w:sz w:val="18"/>
        <w:szCs w:val="18"/>
      </w:rPr>
      <w:t xml:space="preserve"> </w:t>
    </w:r>
    <w:r>
      <w:rPr>
        <w:sz w:val="18"/>
        <w:szCs w:val="18"/>
      </w:rPr>
      <mc:AlternateContent>
        <mc:Choice Requires="wps">
          <w:drawing>
            <wp:anchor distT="0" distB="0" distL="114300" distR="114300" simplePos="0" relativeHeight="251659264" behindDoc="0" locked="0" layoutInCell="1" allowOverlap="1">
              <wp:simplePos x="0" y="0"/>
              <wp:positionH relativeFrom="margin">
                <wp:posOffset>4817745</wp:posOffset>
              </wp:positionH>
              <wp:positionV relativeFrom="paragraph">
                <wp:posOffset>123825</wp:posOffset>
              </wp:positionV>
              <wp:extent cx="103505" cy="139700"/>
              <wp:effectExtent l="0" t="0" r="0" b="0"/>
              <wp:wrapNone/>
              <wp:docPr id="4" name="文本框3"/>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wps:spPr>
                    <wps:txbx>
                      <w:txbxContent>
                        <w:p>
                          <w:pPr>
                            <w:snapToGrid w:val="0"/>
                            <w:rPr>
                              <w:sz w:val="1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379.35pt;margin-top:9.75pt;height:11pt;width:8.15pt;mso-position-horizontal-relative:margin;mso-wrap-style:none;z-index:251659264;mso-width-relative:page;mso-height-relative:page;" filled="f" stroked="f" coordsize="21600,21600" o:gfxdata="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N8wIdUAAAAJAQAADwAAAAAAAAABACAAAAAiAAAAZHJz&#10;L2Rvd25yZXYueG1sUEsBAhQAFAAAAAgAh07iQPj/q6rOAQAAlgMAAA4AAAAAAAAAAQAgAAAAJAEA&#10;AGRycy9lMm9Eb2MueG1sUEsFBgAAAAAGAAYAWQEAAGQ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p>
    <w:pPr>
      <w:pStyle w:val="20"/>
      <w:pBdr>
        <w:top w:val="thickThinSmallGap" w:color="auto" w:sz="24" w:space="1"/>
      </w:pBd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y1MrR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zy9B5qzLr3mBeH927ApZnvAS8T60EGk77Ih2AcxT1fxRVDJDw9qlZVVWKIY2x2EL94fO4D&#10;xA/CGZKMhgacXhaVnT5BHFPnlFTNujuldZ6gtqRH1HX1bp1fXEOIri0WSSzGbpMVh/0wUdu79ozM&#10;elyBhlrceEr0R4sKp22ZjTAb+9k4+qAOXV6n1Ar422PEdnKXqcIIOxXG2WWe056l5fjXz1mP/9b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p8tTK0QEAAKMDAAAOAAAAAAAAAAEAIAAAACIB&#10;AABkcnMvZTJvRG9jLnhtbFBLBQYAAAAABgAGAFkBAABlBQAAAAA=&#10;">
              <v:fill on="f" focussize="0,0"/>
              <v:stroke on="f" weight="1.25pt"/>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2xPlzSAQAAow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skT++hxqwnj3lxeO8GXJr5HvAysR5kMOmLfAjGUdzTRVwxRMLTo2pVVSWGOMZmB/GL5+c+&#10;QHwQzpBkNDTg9LKo7PgB4pg6p6Rq1t0rrfMEtSU9ot5Utz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bE+X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260" w:firstLineChars="600"/>
      <w:rPr>
        <w:rFonts w:hint="default" w:eastAsia="宋体"/>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t xml:space="preserve">    </w:t>
    </w:r>
    <w:r>
      <w:rPr>
        <w:sz w:val="18"/>
        <w:szCs w:val="18"/>
      </w:rPr>
      <w:t xml:space="preserve"> </w: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4817745</wp:posOffset>
              </wp:positionH>
              <wp:positionV relativeFrom="paragraph">
                <wp:posOffset>123825</wp:posOffset>
              </wp:positionV>
              <wp:extent cx="103505" cy="1397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wps:spPr>
                    <wps:txbx>
                      <w:txbxContent>
                        <w:p>
                          <w:pPr>
                            <w:snapToGrid w:val="0"/>
                            <w:rPr>
                              <w:sz w:val="1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379.35pt;margin-top:9.75pt;height:11pt;width:8.15pt;mso-position-horizontal-relative:margin;mso-wrap-style:none;z-index:251662336;mso-width-relative:page;mso-height-relative:page;" filled="f" stroked="f" coordsize="21600,21600" o:gfxdata="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A3zAh1QAAAAkBAAAPAAAAAAAAAAEAIAAAACIAAABkcnMv&#10;ZG93bnJldi54bWxQSwECFAAUAAAACACHTuJAMZHJ780BAACWAwAADgAAAAAAAAABACAAAAAkAQAA&#10;ZHJzL2Uyb0RvYy54bWxQSwUGAAAAAAYABgBZAQAAYw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spacing w:line="160" w:lineRule="atLeast"/>
      <w:jc w:val="both"/>
      <w:rPr>
        <w:rFonts w:hint="eastAsia" w:ascii="楷体_GB2312" w:eastAsia="楷体_GB2312"/>
        <w:sz w:val="2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ind w:right="0"/>
      <w:jc w:val="both"/>
      <w:rPr>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4096"/>
        <w:tab w:val="clear" w:pos="4153"/>
      </w:tabs>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94432"/>
    <w:multiLevelType w:val="singleLevel"/>
    <w:tmpl w:val="90A94432"/>
    <w:lvl w:ilvl="0" w:tentative="0">
      <w:start w:val="2"/>
      <w:numFmt w:val="chineseCounting"/>
      <w:suff w:val="nothing"/>
      <w:lvlText w:val="（%1）"/>
      <w:lvlJc w:val="left"/>
      <w:rPr>
        <w:rFonts w:hint="eastAsia"/>
      </w:rPr>
    </w:lvl>
  </w:abstractNum>
  <w:abstractNum w:abstractNumId="1">
    <w:nsid w:val="ABA1FD34"/>
    <w:multiLevelType w:val="singleLevel"/>
    <w:tmpl w:val="ABA1FD34"/>
    <w:lvl w:ilvl="0" w:tentative="0">
      <w:start w:val="1"/>
      <w:numFmt w:val="decimal"/>
      <w:suff w:val="space"/>
      <w:lvlText w:val="%1."/>
      <w:lvlJc w:val="left"/>
    </w:lvl>
  </w:abstractNum>
  <w:abstractNum w:abstractNumId="2">
    <w:nsid w:val="C5325128"/>
    <w:multiLevelType w:val="singleLevel"/>
    <w:tmpl w:val="C5325128"/>
    <w:lvl w:ilvl="0" w:tentative="0">
      <w:start w:val="12"/>
      <w:numFmt w:val="chineseCounting"/>
      <w:suff w:val="nothing"/>
      <w:lvlText w:val="%1、"/>
      <w:lvlJc w:val="left"/>
      <w:rPr>
        <w:rFonts w:hint="eastAsia"/>
      </w:rPr>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singleLevel"/>
    <w:tmpl w:val="00000002"/>
    <w:lvl w:ilvl="0" w:tentative="0">
      <w:start w:val="4"/>
      <w:numFmt w:val="chineseCounting"/>
      <w:suff w:val="space"/>
      <w:lvlText w:val="第%1章"/>
      <w:lvlJc w:val="left"/>
      <w:rPr>
        <w:rFonts w:hint="eastAsia"/>
      </w:rPr>
    </w:lvl>
  </w:abstractNum>
  <w:abstractNum w:abstractNumId="5">
    <w:nsid w:val="0AD5F6DE"/>
    <w:multiLevelType w:val="singleLevel"/>
    <w:tmpl w:val="0AD5F6DE"/>
    <w:lvl w:ilvl="0" w:tentative="0">
      <w:start w:val="5"/>
      <w:numFmt w:val="decimal"/>
      <w:lvlText w:val="%1."/>
      <w:lvlJc w:val="left"/>
      <w:pPr>
        <w:tabs>
          <w:tab w:val="left" w:pos="312"/>
        </w:tabs>
      </w:pPr>
    </w:lvl>
  </w:abstractNum>
  <w:abstractNum w:abstractNumId="6">
    <w:nsid w:val="33903934"/>
    <w:multiLevelType w:val="singleLevel"/>
    <w:tmpl w:val="33903934"/>
    <w:lvl w:ilvl="0" w:tentative="0">
      <w:start w:val="1"/>
      <w:numFmt w:val="decimal"/>
      <w:suff w:val="nothing"/>
      <w:lvlText w:val="%1、"/>
      <w:lvlJc w:val="left"/>
    </w:lvl>
  </w:abstractNum>
  <w:abstractNum w:abstractNumId="7">
    <w:nsid w:val="7439063C"/>
    <w:multiLevelType w:val="singleLevel"/>
    <w:tmpl w:val="7439063C"/>
    <w:lvl w:ilvl="0" w:tentative="0">
      <w:start w:val="2"/>
      <w:numFmt w:val="decimal"/>
      <w:suff w:val="nothing"/>
      <w:lvlText w:val="（%1）"/>
      <w:lvlJc w:val="left"/>
      <w:rPr>
        <w:rFonts w:cs="Times New Roman"/>
      </w:rPr>
    </w:lvl>
  </w:abstractNum>
  <w:num w:numId="1">
    <w:abstractNumId w:val="5"/>
  </w:num>
  <w:num w:numId="2">
    <w:abstractNumId w:val="7"/>
  </w:num>
  <w:num w:numId="3">
    <w:abstractNumId w:val="6"/>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TZiNDk5ZDE4OTdjZTU2NmVmNjE5NTc2MmQ5OGUifQ=="/>
  </w:docVars>
  <w:rsids>
    <w:rsidRoot w:val="00172A27"/>
    <w:rsid w:val="00103897"/>
    <w:rsid w:val="00127E6A"/>
    <w:rsid w:val="001562D7"/>
    <w:rsid w:val="00172E78"/>
    <w:rsid w:val="001D5DBB"/>
    <w:rsid w:val="00237A6E"/>
    <w:rsid w:val="00285085"/>
    <w:rsid w:val="002B6923"/>
    <w:rsid w:val="00307A95"/>
    <w:rsid w:val="003532FE"/>
    <w:rsid w:val="003577A2"/>
    <w:rsid w:val="00366D6D"/>
    <w:rsid w:val="003740BD"/>
    <w:rsid w:val="003B6032"/>
    <w:rsid w:val="003D42F8"/>
    <w:rsid w:val="005148EC"/>
    <w:rsid w:val="005214EA"/>
    <w:rsid w:val="005409D3"/>
    <w:rsid w:val="005539A0"/>
    <w:rsid w:val="00555DA2"/>
    <w:rsid w:val="00586FEC"/>
    <w:rsid w:val="005A7208"/>
    <w:rsid w:val="005C088A"/>
    <w:rsid w:val="005D4603"/>
    <w:rsid w:val="005E5F7E"/>
    <w:rsid w:val="005F037B"/>
    <w:rsid w:val="00645991"/>
    <w:rsid w:val="006D7932"/>
    <w:rsid w:val="006E6810"/>
    <w:rsid w:val="006F60C7"/>
    <w:rsid w:val="007A51B4"/>
    <w:rsid w:val="007E4CA5"/>
    <w:rsid w:val="007F27CB"/>
    <w:rsid w:val="00816543"/>
    <w:rsid w:val="008624D4"/>
    <w:rsid w:val="008C6C96"/>
    <w:rsid w:val="009049D8"/>
    <w:rsid w:val="00950240"/>
    <w:rsid w:val="009A13B3"/>
    <w:rsid w:val="00A364B9"/>
    <w:rsid w:val="00A40E93"/>
    <w:rsid w:val="00A73C15"/>
    <w:rsid w:val="00A94C31"/>
    <w:rsid w:val="00AC7CBE"/>
    <w:rsid w:val="00BC07D2"/>
    <w:rsid w:val="00CF0B16"/>
    <w:rsid w:val="00D11957"/>
    <w:rsid w:val="00D12B0E"/>
    <w:rsid w:val="00D155F9"/>
    <w:rsid w:val="00D64097"/>
    <w:rsid w:val="00DB20F7"/>
    <w:rsid w:val="00E52F76"/>
    <w:rsid w:val="00E60A9C"/>
    <w:rsid w:val="00E635F0"/>
    <w:rsid w:val="00E6364D"/>
    <w:rsid w:val="00ED2375"/>
    <w:rsid w:val="00EF16FF"/>
    <w:rsid w:val="00F036C9"/>
    <w:rsid w:val="01101675"/>
    <w:rsid w:val="011253ED"/>
    <w:rsid w:val="011424BD"/>
    <w:rsid w:val="011473B7"/>
    <w:rsid w:val="01154EDD"/>
    <w:rsid w:val="011E1FE4"/>
    <w:rsid w:val="012D0FAF"/>
    <w:rsid w:val="013C06BC"/>
    <w:rsid w:val="013C7109"/>
    <w:rsid w:val="01505F15"/>
    <w:rsid w:val="01536131"/>
    <w:rsid w:val="015E6884"/>
    <w:rsid w:val="016F4967"/>
    <w:rsid w:val="017B11E4"/>
    <w:rsid w:val="01810F86"/>
    <w:rsid w:val="018856AF"/>
    <w:rsid w:val="018A58CB"/>
    <w:rsid w:val="018C0F93"/>
    <w:rsid w:val="018C33F1"/>
    <w:rsid w:val="018F4C90"/>
    <w:rsid w:val="019422A6"/>
    <w:rsid w:val="01981D96"/>
    <w:rsid w:val="019E4ED3"/>
    <w:rsid w:val="01A050EF"/>
    <w:rsid w:val="01A22C15"/>
    <w:rsid w:val="01A324E9"/>
    <w:rsid w:val="01A56261"/>
    <w:rsid w:val="01A60261"/>
    <w:rsid w:val="01A85D51"/>
    <w:rsid w:val="01AA6A3B"/>
    <w:rsid w:val="01AF5332"/>
    <w:rsid w:val="01B666C0"/>
    <w:rsid w:val="01C012ED"/>
    <w:rsid w:val="01C25065"/>
    <w:rsid w:val="01C34939"/>
    <w:rsid w:val="01CF7968"/>
    <w:rsid w:val="01D628BE"/>
    <w:rsid w:val="01E274B5"/>
    <w:rsid w:val="01E301A6"/>
    <w:rsid w:val="01E4322D"/>
    <w:rsid w:val="01EB45BC"/>
    <w:rsid w:val="01EC20E2"/>
    <w:rsid w:val="01EC5C3E"/>
    <w:rsid w:val="01F60B22"/>
    <w:rsid w:val="01F62F61"/>
    <w:rsid w:val="01F82835"/>
    <w:rsid w:val="01FB0577"/>
    <w:rsid w:val="020236B3"/>
    <w:rsid w:val="02050E58"/>
    <w:rsid w:val="0227311A"/>
    <w:rsid w:val="02337B59"/>
    <w:rsid w:val="023F66B6"/>
    <w:rsid w:val="02467A44"/>
    <w:rsid w:val="0247556A"/>
    <w:rsid w:val="024A0BB7"/>
    <w:rsid w:val="024B6E08"/>
    <w:rsid w:val="0250441F"/>
    <w:rsid w:val="02551A35"/>
    <w:rsid w:val="02555ED9"/>
    <w:rsid w:val="025A529E"/>
    <w:rsid w:val="02641C78"/>
    <w:rsid w:val="02671768"/>
    <w:rsid w:val="02696135"/>
    <w:rsid w:val="026D3223"/>
    <w:rsid w:val="0270061D"/>
    <w:rsid w:val="02750329"/>
    <w:rsid w:val="02753E85"/>
    <w:rsid w:val="027C5214"/>
    <w:rsid w:val="0280729A"/>
    <w:rsid w:val="028B5457"/>
    <w:rsid w:val="028E6378"/>
    <w:rsid w:val="02A1111E"/>
    <w:rsid w:val="02AF27D6"/>
    <w:rsid w:val="02AF69EA"/>
    <w:rsid w:val="02B36000"/>
    <w:rsid w:val="02B7624C"/>
    <w:rsid w:val="02B938A0"/>
    <w:rsid w:val="02BC6D47"/>
    <w:rsid w:val="02CB619B"/>
    <w:rsid w:val="02CC162C"/>
    <w:rsid w:val="02CE3596"/>
    <w:rsid w:val="02DD2F85"/>
    <w:rsid w:val="02E03AE7"/>
    <w:rsid w:val="02E1776D"/>
    <w:rsid w:val="02E73723"/>
    <w:rsid w:val="02F53218"/>
    <w:rsid w:val="02F76F9A"/>
    <w:rsid w:val="02F94AB6"/>
    <w:rsid w:val="03011BBD"/>
    <w:rsid w:val="03045209"/>
    <w:rsid w:val="03062D2F"/>
    <w:rsid w:val="03151A9A"/>
    <w:rsid w:val="031B0E71"/>
    <w:rsid w:val="032A4C70"/>
    <w:rsid w:val="032C3AFD"/>
    <w:rsid w:val="032F04D8"/>
    <w:rsid w:val="03343D40"/>
    <w:rsid w:val="03353615"/>
    <w:rsid w:val="03394EB3"/>
    <w:rsid w:val="03483348"/>
    <w:rsid w:val="034C72DC"/>
    <w:rsid w:val="03500056"/>
    <w:rsid w:val="03525F75"/>
    <w:rsid w:val="035A5C54"/>
    <w:rsid w:val="03640B3E"/>
    <w:rsid w:val="036839EA"/>
    <w:rsid w:val="036C34DA"/>
    <w:rsid w:val="036D2DAF"/>
    <w:rsid w:val="036F4D79"/>
    <w:rsid w:val="037378F0"/>
    <w:rsid w:val="0374238F"/>
    <w:rsid w:val="03773C2D"/>
    <w:rsid w:val="037E320E"/>
    <w:rsid w:val="0382669A"/>
    <w:rsid w:val="038A1BB2"/>
    <w:rsid w:val="038A3361"/>
    <w:rsid w:val="038A4E92"/>
    <w:rsid w:val="03993C05"/>
    <w:rsid w:val="039B56F9"/>
    <w:rsid w:val="03A054F0"/>
    <w:rsid w:val="03AC38D7"/>
    <w:rsid w:val="03B91098"/>
    <w:rsid w:val="03BB1D6C"/>
    <w:rsid w:val="03C40994"/>
    <w:rsid w:val="03C84CE7"/>
    <w:rsid w:val="03D15DD9"/>
    <w:rsid w:val="03D270B5"/>
    <w:rsid w:val="03DD389B"/>
    <w:rsid w:val="03E80687"/>
    <w:rsid w:val="03EE0333"/>
    <w:rsid w:val="03F97151"/>
    <w:rsid w:val="04025BED"/>
    <w:rsid w:val="040A2CF3"/>
    <w:rsid w:val="04272011"/>
    <w:rsid w:val="042A6EF2"/>
    <w:rsid w:val="042E69E2"/>
    <w:rsid w:val="04406715"/>
    <w:rsid w:val="04455AD9"/>
    <w:rsid w:val="04505729"/>
    <w:rsid w:val="04540EEE"/>
    <w:rsid w:val="045B52FD"/>
    <w:rsid w:val="046248DD"/>
    <w:rsid w:val="04657F2A"/>
    <w:rsid w:val="04696F9E"/>
    <w:rsid w:val="046C48D8"/>
    <w:rsid w:val="047343F5"/>
    <w:rsid w:val="047437E5"/>
    <w:rsid w:val="047A5783"/>
    <w:rsid w:val="04814D63"/>
    <w:rsid w:val="048D195A"/>
    <w:rsid w:val="04906C14"/>
    <w:rsid w:val="04912ACD"/>
    <w:rsid w:val="04932CE9"/>
    <w:rsid w:val="04A02142"/>
    <w:rsid w:val="04A10F62"/>
    <w:rsid w:val="04B50CCB"/>
    <w:rsid w:val="04B57590"/>
    <w:rsid w:val="04B85403"/>
    <w:rsid w:val="04BC5D9C"/>
    <w:rsid w:val="04BD56EC"/>
    <w:rsid w:val="04C05BB5"/>
    <w:rsid w:val="04C5022A"/>
    <w:rsid w:val="04C66D99"/>
    <w:rsid w:val="04C94624"/>
    <w:rsid w:val="04D8694E"/>
    <w:rsid w:val="04DD2CD2"/>
    <w:rsid w:val="04DE0E34"/>
    <w:rsid w:val="04DF5587"/>
    <w:rsid w:val="04ED76E2"/>
    <w:rsid w:val="04F03C97"/>
    <w:rsid w:val="04F80D9E"/>
    <w:rsid w:val="05027E0B"/>
    <w:rsid w:val="05052D25"/>
    <w:rsid w:val="051A51B8"/>
    <w:rsid w:val="05294AA1"/>
    <w:rsid w:val="052D5F8D"/>
    <w:rsid w:val="053A3329"/>
    <w:rsid w:val="053F73B1"/>
    <w:rsid w:val="05483AD3"/>
    <w:rsid w:val="05597A8E"/>
    <w:rsid w:val="055B0BE2"/>
    <w:rsid w:val="05666D2E"/>
    <w:rsid w:val="056D2553"/>
    <w:rsid w:val="05704DD8"/>
    <w:rsid w:val="05774B10"/>
    <w:rsid w:val="0584475F"/>
    <w:rsid w:val="05880374"/>
    <w:rsid w:val="058D208D"/>
    <w:rsid w:val="05924D4E"/>
    <w:rsid w:val="05992C19"/>
    <w:rsid w:val="05A30D9B"/>
    <w:rsid w:val="05A36F5B"/>
    <w:rsid w:val="05B11678"/>
    <w:rsid w:val="05B22E31"/>
    <w:rsid w:val="05B253F0"/>
    <w:rsid w:val="05B2719F"/>
    <w:rsid w:val="05B90EFE"/>
    <w:rsid w:val="05B93982"/>
    <w:rsid w:val="05BB2735"/>
    <w:rsid w:val="05CA273A"/>
    <w:rsid w:val="05CC0260"/>
    <w:rsid w:val="05D215EF"/>
    <w:rsid w:val="05D27738"/>
    <w:rsid w:val="05D82FAD"/>
    <w:rsid w:val="05DA2889"/>
    <w:rsid w:val="05DB66F5"/>
    <w:rsid w:val="05DD06BF"/>
    <w:rsid w:val="05DE0ED6"/>
    <w:rsid w:val="05E41A4E"/>
    <w:rsid w:val="05E57574"/>
    <w:rsid w:val="05E57D1D"/>
    <w:rsid w:val="05F81055"/>
    <w:rsid w:val="05F8421E"/>
    <w:rsid w:val="05FA5BE4"/>
    <w:rsid w:val="05FB6D97"/>
    <w:rsid w:val="0604196C"/>
    <w:rsid w:val="06127C3D"/>
    <w:rsid w:val="062E2CC9"/>
    <w:rsid w:val="064060BE"/>
    <w:rsid w:val="064C13A1"/>
    <w:rsid w:val="064F49ED"/>
    <w:rsid w:val="06523909"/>
    <w:rsid w:val="06530982"/>
    <w:rsid w:val="06683779"/>
    <w:rsid w:val="066A1827"/>
    <w:rsid w:val="067033F2"/>
    <w:rsid w:val="06734B80"/>
    <w:rsid w:val="0679102E"/>
    <w:rsid w:val="06802AF8"/>
    <w:rsid w:val="068B011B"/>
    <w:rsid w:val="068C5C42"/>
    <w:rsid w:val="069A035E"/>
    <w:rsid w:val="069F0A0E"/>
    <w:rsid w:val="06A729EB"/>
    <w:rsid w:val="06A765D7"/>
    <w:rsid w:val="06B17456"/>
    <w:rsid w:val="06BC6527"/>
    <w:rsid w:val="06BD229F"/>
    <w:rsid w:val="06BF1B73"/>
    <w:rsid w:val="06C15CEB"/>
    <w:rsid w:val="06C24DF7"/>
    <w:rsid w:val="06D25D4A"/>
    <w:rsid w:val="06D3561E"/>
    <w:rsid w:val="06D37733"/>
    <w:rsid w:val="06E710CA"/>
    <w:rsid w:val="06EE06AA"/>
    <w:rsid w:val="06F35CC1"/>
    <w:rsid w:val="06F71A01"/>
    <w:rsid w:val="06FA2BAB"/>
    <w:rsid w:val="070103DE"/>
    <w:rsid w:val="070E1A54"/>
    <w:rsid w:val="07126147"/>
    <w:rsid w:val="071A324D"/>
    <w:rsid w:val="071A4FFB"/>
    <w:rsid w:val="07310CDA"/>
    <w:rsid w:val="0733430F"/>
    <w:rsid w:val="073755EB"/>
    <w:rsid w:val="073C7C63"/>
    <w:rsid w:val="073D0CEA"/>
    <w:rsid w:val="074B1659"/>
    <w:rsid w:val="07500A1D"/>
    <w:rsid w:val="075524D7"/>
    <w:rsid w:val="075B71B2"/>
    <w:rsid w:val="07632E46"/>
    <w:rsid w:val="0764271A"/>
    <w:rsid w:val="07666DC2"/>
    <w:rsid w:val="076D15CF"/>
    <w:rsid w:val="076F5347"/>
    <w:rsid w:val="07726BE5"/>
    <w:rsid w:val="07746E01"/>
    <w:rsid w:val="077B5848"/>
    <w:rsid w:val="077C5361"/>
    <w:rsid w:val="077C5CB6"/>
    <w:rsid w:val="07807554"/>
    <w:rsid w:val="07854B6B"/>
    <w:rsid w:val="07866B35"/>
    <w:rsid w:val="0787503B"/>
    <w:rsid w:val="078E3664"/>
    <w:rsid w:val="078F7797"/>
    <w:rsid w:val="079254DA"/>
    <w:rsid w:val="079528D4"/>
    <w:rsid w:val="07A74336"/>
    <w:rsid w:val="07A90384"/>
    <w:rsid w:val="07AA45D1"/>
    <w:rsid w:val="07AB012E"/>
    <w:rsid w:val="07AD2313"/>
    <w:rsid w:val="07C62981"/>
    <w:rsid w:val="07C82CA9"/>
    <w:rsid w:val="07CD4764"/>
    <w:rsid w:val="07CF4038"/>
    <w:rsid w:val="07CF5DE6"/>
    <w:rsid w:val="07D21D7A"/>
    <w:rsid w:val="07E15B19"/>
    <w:rsid w:val="07EF6488"/>
    <w:rsid w:val="07F67816"/>
    <w:rsid w:val="07FE491D"/>
    <w:rsid w:val="08010C5F"/>
    <w:rsid w:val="08084414"/>
    <w:rsid w:val="0808579C"/>
    <w:rsid w:val="0809228B"/>
    <w:rsid w:val="08123F24"/>
    <w:rsid w:val="08147C9D"/>
    <w:rsid w:val="0816418F"/>
    <w:rsid w:val="081D2FF5"/>
    <w:rsid w:val="081E6D6D"/>
    <w:rsid w:val="08233ED0"/>
    <w:rsid w:val="08253C58"/>
    <w:rsid w:val="08345D51"/>
    <w:rsid w:val="0839318D"/>
    <w:rsid w:val="08404F36"/>
    <w:rsid w:val="084542FA"/>
    <w:rsid w:val="084557CB"/>
    <w:rsid w:val="085046CA"/>
    <w:rsid w:val="08517143"/>
    <w:rsid w:val="085207C5"/>
    <w:rsid w:val="0854278F"/>
    <w:rsid w:val="0854453D"/>
    <w:rsid w:val="08585DDB"/>
    <w:rsid w:val="085D7896"/>
    <w:rsid w:val="086230FE"/>
    <w:rsid w:val="08634780"/>
    <w:rsid w:val="086C1BEB"/>
    <w:rsid w:val="08803584"/>
    <w:rsid w:val="0882554E"/>
    <w:rsid w:val="0884335C"/>
    <w:rsid w:val="088A61B1"/>
    <w:rsid w:val="08901A19"/>
    <w:rsid w:val="089A729B"/>
    <w:rsid w:val="089F1C5C"/>
    <w:rsid w:val="08A6123D"/>
    <w:rsid w:val="08AA0601"/>
    <w:rsid w:val="08B51480"/>
    <w:rsid w:val="08B82D1E"/>
    <w:rsid w:val="08B84ACC"/>
    <w:rsid w:val="08B90536"/>
    <w:rsid w:val="08BF40AC"/>
    <w:rsid w:val="08C16076"/>
    <w:rsid w:val="08C276F9"/>
    <w:rsid w:val="08CF1E16"/>
    <w:rsid w:val="08D119D4"/>
    <w:rsid w:val="08D12032"/>
    <w:rsid w:val="08D5567E"/>
    <w:rsid w:val="08D8516E"/>
    <w:rsid w:val="08DC4C5E"/>
    <w:rsid w:val="08DD2784"/>
    <w:rsid w:val="08EE137B"/>
    <w:rsid w:val="08F64F1D"/>
    <w:rsid w:val="08F90BB6"/>
    <w:rsid w:val="08FD6983"/>
    <w:rsid w:val="08FE25C8"/>
    <w:rsid w:val="08FF042B"/>
    <w:rsid w:val="09023F99"/>
    <w:rsid w:val="09035013"/>
    <w:rsid w:val="091837BC"/>
    <w:rsid w:val="091D1F66"/>
    <w:rsid w:val="09265ED9"/>
    <w:rsid w:val="092D370C"/>
    <w:rsid w:val="092E1232"/>
    <w:rsid w:val="09336848"/>
    <w:rsid w:val="09376242"/>
    <w:rsid w:val="09383E5F"/>
    <w:rsid w:val="093F51ED"/>
    <w:rsid w:val="09410F65"/>
    <w:rsid w:val="09460264"/>
    <w:rsid w:val="094840A2"/>
    <w:rsid w:val="09545244"/>
    <w:rsid w:val="09570789"/>
    <w:rsid w:val="095962AF"/>
    <w:rsid w:val="09615163"/>
    <w:rsid w:val="09684744"/>
    <w:rsid w:val="096B6C5E"/>
    <w:rsid w:val="096D1D5A"/>
    <w:rsid w:val="09747085"/>
    <w:rsid w:val="09750C0F"/>
    <w:rsid w:val="09772BD9"/>
    <w:rsid w:val="09774987"/>
    <w:rsid w:val="097924AD"/>
    <w:rsid w:val="097C01EF"/>
    <w:rsid w:val="098350DA"/>
    <w:rsid w:val="098470A4"/>
    <w:rsid w:val="098826F0"/>
    <w:rsid w:val="09905A49"/>
    <w:rsid w:val="0992531D"/>
    <w:rsid w:val="09997736"/>
    <w:rsid w:val="099A2423"/>
    <w:rsid w:val="099F5C8C"/>
    <w:rsid w:val="09A1009E"/>
    <w:rsid w:val="09A3577C"/>
    <w:rsid w:val="09A514F4"/>
    <w:rsid w:val="09A80FE4"/>
    <w:rsid w:val="09A908B8"/>
    <w:rsid w:val="09AF4121"/>
    <w:rsid w:val="09B305E8"/>
    <w:rsid w:val="09B41737"/>
    <w:rsid w:val="09B63701"/>
    <w:rsid w:val="09B74D83"/>
    <w:rsid w:val="09B93830"/>
    <w:rsid w:val="09BE3B4D"/>
    <w:rsid w:val="09C22729"/>
    <w:rsid w:val="09C44C48"/>
    <w:rsid w:val="09CD27F9"/>
    <w:rsid w:val="09D92F4C"/>
    <w:rsid w:val="09DE3D12"/>
    <w:rsid w:val="09DE67B4"/>
    <w:rsid w:val="09DF1358"/>
    <w:rsid w:val="09E07509"/>
    <w:rsid w:val="09E22B15"/>
    <w:rsid w:val="09E243E7"/>
    <w:rsid w:val="09E3201C"/>
    <w:rsid w:val="09E57B43"/>
    <w:rsid w:val="09E81BAE"/>
    <w:rsid w:val="09EA6F07"/>
    <w:rsid w:val="09EB0ED1"/>
    <w:rsid w:val="09FE29B2"/>
    <w:rsid w:val="0A0124A3"/>
    <w:rsid w:val="0A014251"/>
    <w:rsid w:val="0A03446D"/>
    <w:rsid w:val="0A067AB9"/>
    <w:rsid w:val="0A0A57FB"/>
    <w:rsid w:val="0A0C1573"/>
    <w:rsid w:val="0A130D49"/>
    <w:rsid w:val="0A1952B6"/>
    <w:rsid w:val="0A1B5312"/>
    <w:rsid w:val="0A1B645D"/>
    <w:rsid w:val="0A1C72DC"/>
    <w:rsid w:val="0A1E12A6"/>
    <w:rsid w:val="0A232419"/>
    <w:rsid w:val="0A2801DC"/>
    <w:rsid w:val="0A283ED3"/>
    <w:rsid w:val="0A285C81"/>
    <w:rsid w:val="0A2D08B3"/>
    <w:rsid w:val="0A310FDA"/>
    <w:rsid w:val="0A375FF0"/>
    <w:rsid w:val="0A434869"/>
    <w:rsid w:val="0A4C7BC2"/>
    <w:rsid w:val="0A4F1C78"/>
    <w:rsid w:val="0A4F76B2"/>
    <w:rsid w:val="0A5847B8"/>
    <w:rsid w:val="0A5B1BB3"/>
    <w:rsid w:val="0A6767AA"/>
    <w:rsid w:val="0A697C22"/>
    <w:rsid w:val="0A6A168C"/>
    <w:rsid w:val="0A6A3EC4"/>
    <w:rsid w:val="0A6E45E1"/>
    <w:rsid w:val="0A7964DD"/>
    <w:rsid w:val="0A7C3448"/>
    <w:rsid w:val="0A825391"/>
    <w:rsid w:val="0A886720"/>
    <w:rsid w:val="0A8F3F52"/>
    <w:rsid w:val="0A914502"/>
    <w:rsid w:val="0A951569"/>
    <w:rsid w:val="0A9A74D8"/>
    <w:rsid w:val="0AA96DC2"/>
    <w:rsid w:val="0AAC3A20"/>
    <w:rsid w:val="0AAE7C10"/>
    <w:rsid w:val="0AAF1EFF"/>
    <w:rsid w:val="0AAF29E3"/>
    <w:rsid w:val="0AB01373"/>
    <w:rsid w:val="0ABB2FF3"/>
    <w:rsid w:val="0AC51722"/>
    <w:rsid w:val="0ACA6D38"/>
    <w:rsid w:val="0ACE2AFB"/>
    <w:rsid w:val="0AD4662A"/>
    <w:rsid w:val="0AD57BB7"/>
    <w:rsid w:val="0AE20526"/>
    <w:rsid w:val="0AE55920"/>
    <w:rsid w:val="0AEA2F37"/>
    <w:rsid w:val="0AF11877"/>
    <w:rsid w:val="0AFA761E"/>
    <w:rsid w:val="0AFD0EBC"/>
    <w:rsid w:val="0B097861"/>
    <w:rsid w:val="0B0C3222"/>
    <w:rsid w:val="0B154457"/>
    <w:rsid w:val="0B1D50BA"/>
    <w:rsid w:val="0B293A5F"/>
    <w:rsid w:val="0B30303F"/>
    <w:rsid w:val="0B3362C6"/>
    <w:rsid w:val="0B350656"/>
    <w:rsid w:val="0B41524D"/>
    <w:rsid w:val="0B44732B"/>
    <w:rsid w:val="0B470389"/>
    <w:rsid w:val="0B486A8C"/>
    <w:rsid w:val="0B4E1717"/>
    <w:rsid w:val="0B505490"/>
    <w:rsid w:val="0B512FB6"/>
    <w:rsid w:val="0B52745A"/>
    <w:rsid w:val="0B542740"/>
    <w:rsid w:val="0B550CF8"/>
    <w:rsid w:val="0B5B3F3C"/>
    <w:rsid w:val="0B5C5BE2"/>
    <w:rsid w:val="0B5E5DFE"/>
    <w:rsid w:val="0B6E1DBA"/>
    <w:rsid w:val="0B733B8E"/>
    <w:rsid w:val="0B745622"/>
    <w:rsid w:val="0B7E6D73"/>
    <w:rsid w:val="0B81389B"/>
    <w:rsid w:val="0B8B63F2"/>
    <w:rsid w:val="0B9335CE"/>
    <w:rsid w:val="0B954C3D"/>
    <w:rsid w:val="0B9673C3"/>
    <w:rsid w:val="0BA37CB5"/>
    <w:rsid w:val="0BA61553"/>
    <w:rsid w:val="0BA963EA"/>
    <w:rsid w:val="0BB23749"/>
    <w:rsid w:val="0BB377CC"/>
    <w:rsid w:val="0BBE3CB1"/>
    <w:rsid w:val="0BBE689D"/>
    <w:rsid w:val="0BC713D3"/>
    <w:rsid w:val="0BC83278"/>
    <w:rsid w:val="0BCC3E0D"/>
    <w:rsid w:val="0BCF59F4"/>
    <w:rsid w:val="0BD47E6F"/>
    <w:rsid w:val="0BD64902"/>
    <w:rsid w:val="0BDA3897"/>
    <w:rsid w:val="0BDE2A1F"/>
    <w:rsid w:val="0BF26547"/>
    <w:rsid w:val="0C0A7D34"/>
    <w:rsid w:val="0C0B7912"/>
    <w:rsid w:val="0C0D0767"/>
    <w:rsid w:val="0C0F70F9"/>
    <w:rsid w:val="0C19409D"/>
    <w:rsid w:val="0C23726D"/>
    <w:rsid w:val="0C26093E"/>
    <w:rsid w:val="0C2A7A8F"/>
    <w:rsid w:val="0C30706F"/>
    <w:rsid w:val="0C3628D7"/>
    <w:rsid w:val="0C395F24"/>
    <w:rsid w:val="0C403756"/>
    <w:rsid w:val="0C412C5B"/>
    <w:rsid w:val="0C476893"/>
    <w:rsid w:val="0C542D5E"/>
    <w:rsid w:val="0C592378"/>
    <w:rsid w:val="0C5E1E2E"/>
    <w:rsid w:val="0C604464"/>
    <w:rsid w:val="0C6531BD"/>
    <w:rsid w:val="0C6C5F4D"/>
    <w:rsid w:val="0C73269E"/>
    <w:rsid w:val="0C796D86"/>
    <w:rsid w:val="0C7B653C"/>
    <w:rsid w:val="0C851169"/>
    <w:rsid w:val="0C873133"/>
    <w:rsid w:val="0C915D60"/>
    <w:rsid w:val="0C943AA2"/>
    <w:rsid w:val="0C9475FE"/>
    <w:rsid w:val="0C965124"/>
    <w:rsid w:val="0C9B098C"/>
    <w:rsid w:val="0C9F66CF"/>
    <w:rsid w:val="0CB33F28"/>
    <w:rsid w:val="0CB63A18"/>
    <w:rsid w:val="0CC25F19"/>
    <w:rsid w:val="0CC46135"/>
    <w:rsid w:val="0CC779D3"/>
    <w:rsid w:val="0CD345CA"/>
    <w:rsid w:val="0CDD47C2"/>
    <w:rsid w:val="0CED208A"/>
    <w:rsid w:val="0CED322C"/>
    <w:rsid w:val="0CED42B7"/>
    <w:rsid w:val="0CF14A50"/>
    <w:rsid w:val="0CF91BBE"/>
    <w:rsid w:val="0CFA1B57"/>
    <w:rsid w:val="0CFF716D"/>
    <w:rsid w:val="0D013BBD"/>
    <w:rsid w:val="0D0429D6"/>
    <w:rsid w:val="0D057601"/>
    <w:rsid w:val="0D0C53E6"/>
    <w:rsid w:val="0D0E73B0"/>
    <w:rsid w:val="0D136775"/>
    <w:rsid w:val="0D147219"/>
    <w:rsid w:val="0D162709"/>
    <w:rsid w:val="0D166265"/>
    <w:rsid w:val="0D187AA3"/>
    <w:rsid w:val="0D244E26"/>
    <w:rsid w:val="0D29243C"/>
    <w:rsid w:val="0D2C7836"/>
    <w:rsid w:val="0D314E4D"/>
    <w:rsid w:val="0D335069"/>
    <w:rsid w:val="0D3F57BC"/>
    <w:rsid w:val="0D41259D"/>
    <w:rsid w:val="0D417786"/>
    <w:rsid w:val="0D49663A"/>
    <w:rsid w:val="0D5B1F6A"/>
    <w:rsid w:val="0D5C45C0"/>
    <w:rsid w:val="0D643474"/>
    <w:rsid w:val="0D676AC1"/>
    <w:rsid w:val="0D780CCE"/>
    <w:rsid w:val="0D782A7C"/>
    <w:rsid w:val="0D7D4536"/>
    <w:rsid w:val="0D821994"/>
    <w:rsid w:val="0D86163D"/>
    <w:rsid w:val="0D8E2FA1"/>
    <w:rsid w:val="0D9F26FE"/>
    <w:rsid w:val="0DB0769E"/>
    <w:rsid w:val="0DB34217"/>
    <w:rsid w:val="0DB34ADC"/>
    <w:rsid w:val="0DB5782C"/>
    <w:rsid w:val="0DC21F49"/>
    <w:rsid w:val="0DCA2A4D"/>
    <w:rsid w:val="0DCB52A1"/>
    <w:rsid w:val="0DD26630"/>
    <w:rsid w:val="0DD405FA"/>
    <w:rsid w:val="0DD95C10"/>
    <w:rsid w:val="0DDA3736"/>
    <w:rsid w:val="0DDC74AE"/>
    <w:rsid w:val="0DE02DBF"/>
    <w:rsid w:val="0DE6032D"/>
    <w:rsid w:val="0DE819AF"/>
    <w:rsid w:val="0DEA3152"/>
    <w:rsid w:val="0DF041F6"/>
    <w:rsid w:val="0DF30354"/>
    <w:rsid w:val="0DFE11D3"/>
    <w:rsid w:val="0DFF319D"/>
    <w:rsid w:val="0E017A76"/>
    <w:rsid w:val="0E0362E7"/>
    <w:rsid w:val="0E0726B3"/>
    <w:rsid w:val="0E0D7668"/>
    <w:rsid w:val="0E0F33E0"/>
    <w:rsid w:val="0E215675"/>
    <w:rsid w:val="0E2B5D40"/>
    <w:rsid w:val="0E2B7FF4"/>
    <w:rsid w:val="0E3B2427"/>
    <w:rsid w:val="0E415563"/>
    <w:rsid w:val="0E431A2D"/>
    <w:rsid w:val="0E4D5CB6"/>
    <w:rsid w:val="0E4F1A2E"/>
    <w:rsid w:val="0E7E40C2"/>
    <w:rsid w:val="0E8042DE"/>
    <w:rsid w:val="0E807E3A"/>
    <w:rsid w:val="0E813BB2"/>
    <w:rsid w:val="0E88775D"/>
    <w:rsid w:val="0E925500"/>
    <w:rsid w:val="0E947D89"/>
    <w:rsid w:val="0E963B01"/>
    <w:rsid w:val="0E9B0C86"/>
    <w:rsid w:val="0E9B4C74"/>
    <w:rsid w:val="0E9B6FD9"/>
    <w:rsid w:val="0E9E6512"/>
    <w:rsid w:val="0EA10058"/>
    <w:rsid w:val="0EA53D44"/>
    <w:rsid w:val="0EA578A0"/>
    <w:rsid w:val="0EAA3109"/>
    <w:rsid w:val="0EAC50D3"/>
    <w:rsid w:val="0EAF071F"/>
    <w:rsid w:val="0EB14497"/>
    <w:rsid w:val="0EB21FBD"/>
    <w:rsid w:val="0EB6385C"/>
    <w:rsid w:val="0EBE277E"/>
    <w:rsid w:val="0ECD574A"/>
    <w:rsid w:val="0ED40186"/>
    <w:rsid w:val="0ED42D25"/>
    <w:rsid w:val="0ED46E49"/>
    <w:rsid w:val="0EDB7766"/>
    <w:rsid w:val="0EDD528C"/>
    <w:rsid w:val="0EE02FCE"/>
    <w:rsid w:val="0EE24651"/>
    <w:rsid w:val="0EE505E5"/>
    <w:rsid w:val="0EE77EB9"/>
    <w:rsid w:val="0EEE7499"/>
    <w:rsid w:val="0EF6339A"/>
    <w:rsid w:val="0F022F45"/>
    <w:rsid w:val="0F031B93"/>
    <w:rsid w:val="0F0A004B"/>
    <w:rsid w:val="0F20161D"/>
    <w:rsid w:val="0F220EF1"/>
    <w:rsid w:val="0F2C6214"/>
    <w:rsid w:val="0F3257A0"/>
    <w:rsid w:val="0F396D0C"/>
    <w:rsid w:val="0F3A26DF"/>
    <w:rsid w:val="0F3A448D"/>
    <w:rsid w:val="0F3F363C"/>
    <w:rsid w:val="0F44530B"/>
    <w:rsid w:val="0F481A0C"/>
    <w:rsid w:val="0F5337A0"/>
    <w:rsid w:val="0F592C04"/>
    <w:rsid w:val="0F5A28E4"/>
    <w:rsid w:val="0F615EBD"/>
    <w:rsid w:val="0F64150A"/>
    <w:rsid w:val="0F657030"/>
    <w:rsid w:val="0F672DA8"/>
    <w:rsid w:val="0F67724C"/>
    <w:rsid w:val="0F68598D"/>
    <w:rsid w:val="0F6C3505"/>
    <w:rsid w:val="0F6C4862"/>
    <w:rsid w:val="0F6F22E3"/>
    <w:rsid w:val="0F7200CA"/>
    <w:rsid w:val="0F7234C7"/>
    <w:rsid w:val="0F7301AD"/>
    <w:rsid w:val="0F76123D"/>
    <w:rsid w:val="0F7660E1"/>
    <w:rsid w:val="0F786D63"/>
    <w:rsid w:val="0F7E1320"/>
    <w:rsid w:val="0F930041"/>
    <w:rsid w:val="0F931DEF"/>
    <w:rsid w:val="0F96368D"/>
    <w:rsid w:val="0F98134C"/>
    <w:rsid w:val="0FA60A8C"/>
    <w:rsid w:val="0FA8716B"/>
    <w:rsid w:val="0FB32491"/>
    <w:rsid w:val="0FB47E00"/>
    <w:rsid w:val="0FB56209"/>
    <w:rsid w:val="0FBC7598"/>
    <w:rsid w:val="0FCB3337"/>
    <w:rsid w:val="0FCD3553"/>
    <w:rsid w:val="0FCE5F07"/>
    <w:rsid w:val="0FD04DF1"/>
    <w:rsid w:val="0FD146C5"/>
    <w:rsid w:val="0FD53874"/>
    <w:rsid w:val="0FD80633"/>
    <w:rsid w:val="0FD91EF8"/>
    <w:rsid w:val="0FDA5C49"/>
    <w:rsid w:val="0FE07928"/>
    <w:rsid w:val="0FF023A7"/>
    <w:rsid w:val="0FF02D9D"/>
    <w:rsid w:val="0FF07241"/>
    <w:rsid w:val="0FF3288D"/>
    <w:rsid w:val="0FFF7484"/>
    <w:rsid w:val="0FFF7FE2"/>
    <w:rsid w:val="10010D21"/>
    <w:rsid w:val="10060813"/>
    <w:rsid w:val="10150A56"/>
    <w:rsid w:val="101C3B92"/>
    <w:rsid w:val="101D0A65"/>
    <w:rsid w:val="102313C5"/>
    <w:rsid w:val="10260EB5"/>
    <w:rsid w:val="102A0350"/>
    <w:rsid w:val="102E5902"/>
    <w:rsid w:val="1030763E"/>
    <w:rsid w:val="10333682"/>
    <w:rsid w:val="10376C1E"/>
    <w:rsid w:val="10401F77"/>
    <w:rsid w:val="104135F9"/>
    <w:rsid w:val="104456F6"/>
    <w:rsid w:val="10480E2B"/>
    <w:rsid w:val="104B4477"/>
    <w:rsid w:val="10556C90"/>
    <w:rsid w:val="105816ED"/>
    <w:rsid w:val="10596B94"/>
    <w:rsid w:val="105F7F23"/>
    <w:rsid w:val="10637A13"/>
    <w:rsid w:val="106D0892"/>
    <w:rsid w:val="106F0C81"/>
    <w:rsid w:val="10705412"/>
    <w:rsid w:val="107514F4"/>
    <w:rsid w:val="107E2A9F"/>
    <w:rsid w:val="108856CC"/>
    <w:rsid w:val="1090632E"/>
    <w:rsid w:val="109202F8"/>
    <w:rsid w:val="109E4E4B"/>
    <w:rsid w:val="10A34904"/>
    <w:rsid w:val="10A456A7"/>
    <w:rsid w:val="10AB1F4F"/>
    <w:rsid w:val="10AD6EE0"/>
    <w:rsid w:val="10AD7440"/>
    <w:rsid w:val="10B13159"/>
    <w:rsid w:val="10B464C1"/>
    <w:rsid w:val="10B820FF"/>
    <w:rsid w:val="10C304B2"/>
    <w:rsid w:val="10CA5CE4"/>
    <w:rsid w:val="10D500D4"/>
    <w:rsid w:val="10DE353E"/>
    <w:rsid w:val="10E41F84"/>
    <w:rsid w:val="10E753D1"/>
    <w:rsid w:val="10EC5073"/>
    <w:rsid w:val="10ED552F"/>
    <w:rsid w:val="10FD1C16"/>
    <w:rsid w:val="10FE2A9B"/>
    <w:rsid w:val="10FF6608"/>
    <w:rsid w:val="110747EA"/>
    <w:rsid w:val="1111746F"/>
    <w:rsid w:val="111807FE"/>
    <w:rsid w:val="11196324"/>
    <w:rsid w:val="111E4A8C"/>
    <w:rsid w:val="111F7DDE"/>
    <w:rsid w:val="112E0021"/>
    <w:rsid w:val="11355E05"/>
    <w:rsid w:val="113969C6"/>
    <w:rsid w:val="113E3FDC"/>
    <w:rsid w:val="113F222E"/>
    <w:rsid w:val="115D0906"/>
    <w:rsid w:val="11627CCB"/>
    <w:rsid w:val="11667325"/>
    <w:rsid w:val="116C28F7"/>
    <w:rsid w:val="116E041E"/>
    <w:rsid w:val="11731ED8"/>
    <w:rsid w:val="118045F5"/>
    <w:rsid w:val="11827731"/>
    <w:rsid w:val="118E6D12"/>
    <w:rsid w:val="119841B1"/>
    <w:rsid w:val="11A40260"/>
    <w:rsid w:val="11AC63B3"/>
    <w:rsid w:val="11B038B5"/>
    <w:rsid w:val="11B04EDA"/>
    <w:rsid w:val="11B06C88"/>
    <w:rsid w:val="11B81FE1"/>
    <w:rsid w:val="11C444E1"/>
    <w:rsid w:val="11D0182F"/>
    <w:rsid w:val="11D0732A"/>
    <w:rsid w:val="11D87F8D"/>
    <w:rsid w:val="11DC7A7D"/>
    <w:rsid w:val="11E15093"/>
    <w:rsid w:val="11E85CAC"/>
    <w:rsid w:val="11F32CD3"/>
    <w:rsid w:val="11F33019"/>
    <w:rsid w:val="11F76665"/>
    <w:rsid w:val="11FD5C45"/>
    <w:rsid w:val="12011292"/>
    <w:rsid w:val="1202325C"/>
    <w:rsid w:val="12064F12"/>
    <w:rsid w:val="12071515"/>
    <w:rsid w:val="12073B15"/>
    <w:rsid w:val="12094BBC"/>
    <w:rsid w:val="120B0362"/>
    <w:rsid w:val="120B2110"/>
    <w:rsid w:val="120E1C01"/>
    <w:rsid w:val="121219F6"/>
    <w:rsid w:val="1212349F"/>
    <w:rsid w:val="121A05A5"/>
    <w:rsid w:val="121B7B26"/>
    <w:rsid w:val="121E62E8"/>
    <w:rsid w:val="121F5BBC"/>
    <w:rsid w:val="12217B86"/>
    <w:rsid w:val="122356AC"/>
    <w:rsid w:val="12280F14"/>
    <w:rsid w:val="122B3799"/>
    <w:rsid w:val="122C1851"/>
    <w:rsid w:val="12301B77"/>
    <w:rsid w:val="12407964"/>
    <w:rsid w:val="124675EC"/>
    <w:rsid w:val="12483BB9"/>
    <w:rsid w:val="12486EC1"/>
    <w:rsid w:val="124A70DD"/>
    <w:rsid w:val="124D44D7"/>
    <w:rsid w:val="124D6CD3"/>
    <w:rsid w:val="124F030C"/>
    <w:rsid w:val="12502219"/>
    <w:rsid w:val="1256394F"/>
    <w:rsid w:val="125B36A2"/>
    <w:rsid w:val="12606087"/>
    <w:rsid w:val="126C5517"/>
    <w:rsid w:val="12747CB6"/>
    <w:rsid w:val="12751B21"/>
    <w:rsid w:val="127557DC"/>
    <w:rsid w:val="1279351E"/>
    <w:rsid w:val="127C4DBC"/>
    <w:rsid w:val="127F665A"/>
    <w:rsid w:val="12A32349"/>
    <w:rsid w:val="12A367ED"/>
    <w:rsid w:val="12A8795F"/>
    <w:rsid w:val="12BA7692"/>
    <w:rsid w:val="12C66037"/>
    <w:rsid w:val="12CA3D79"/>
    <w:rsid w:val="12D149BF"/>
    <w:rsid w:val="12D22C2E"/>
    <w:rsid w:val="12D4739C"/>
    <w:rsid w:val="12D77CF6"/>
    <w:rsid w:val="12DD1CFF"/>
    <w:rsid w:val="12DF1935"/>
    <w:rsid w:val="12F47048"/>
    <w:rsid w:val="1305241F"/>
    <w:rsid w:val="13070611"/>
    <w:rsid w:val="13077910"/>
    <w:rsid w:val="130C358B"/>
    <w:rsid w:val="130F3E82"/>
    <w:rsid w:val="131B2827"/>
    <w:rsid w:val="13225964"/>
    <w:rsid w:val="132E667C"/>
    <w:rsid w:val="13313DF9"/>
    <w:rsid w:val="133219FE"/>
    <w:rsid w:val="13391AF9"/>
    <w:rsid w:val="133D09EF"/>
    <w:rsid w:val="133D4586"/>
    <w:rsid w:val="134358DA"/>
    <w:rsid w:val="134F24D1"/>
    <w:rsid w:val="13581385"/>
    <w:rsid w:val="135C112A"/>
    <w:rsid w:val="135C3E9A"/>
    <w:rsid w:val="13620456"/>
    <w:rsid w:val="13637D2A"/>
    <w:rsid w:val="136B34D0"/>
    <w:rsid w:val="136B5A6C"/>
    <w:rsid w:val="13767A5D"/>
    <w:rsid w:val="137E6912"/>
    <w:rsid w:val="13851BA5"/>
    <w:rsid w:val="13854144"/>
    <w:rsid w:val="13877EBC"/>
    <w:rsid w:val="138C7F7B"/>
    <w:rsid w:val="138F0B1F"/>
    <w:rsid w:val="139525D9"/>
    <w:rsid w:val="139D1805"/>
    <w:rsid w:val="13A4281C"/>
    <w:rsid w:val="13A53180"/>
    <w:rsid w:val="13AF2F6F"/>
    <w:rsid w:val="13B51FA4"/>
    <w:rsid w:val="13BF7656"/>
    <w:rsid w:val="13CE7899"/>
    <w:rsid w:val="13E175CD"/>
    <w:rsid w:val="13EE5846"/>
    <w:rsid w:val="13F15269"/>
    <w:rsid w:val="13F310AE"/>
    <w:rsid w:val="13F90C6C"/>
    <w:rsid w:val="14043122"/>
    <w:rsid w:val="14043627"/>
    <w:rsid w:val="140C03C2"/>
    <w:rsid w:val="14123C2A"/>
    <w:rsid w:val="141D612B"/>
    <w:rsid w:val="14255AC1"/>
    <w:rsid w:val="1437543F"/>
    <w:rsid w:val="14383989"/>
    <w:rsid w:val="144A2F4F"/>
    <w:rsid w:val="14504752"/>
    <w:rsid w:val="14537D9F"/>
    <w:rsid w:val="145737AD"/>
    <w:rsid w:val="145A470C"/>
    <w:rsid w:val="145C70E9"/>
    <w:rsid w:val="14630F79"/>
    <w:rsid w:val="146879A0"/>
    <w:rsid w:val="147A532B"/>
    <w:rsid w:val="14833BE1"/>
    <w:rsid w:val="148461AA"/>
    <w:rsid w:val="14956609"/>
    <w:rsid w:val="14A037FB"/>
    <w:rsid w:val="14A16D5C"/>
    <w:rsid w:val="14A405FA"/>
    <w:rsid w:val="14A612C9"/>
    <w:rsid w:val="14A8037D"/>
    <w:rsid w:val="14AB37A8"/>
    <w:rsid w:val="14B57350"/>
    <w:rsid w:val="14B670F9"/>
    <w:rsid w:val="14C33176"/>
    <w:rsid w:val="14C359E0"/>
    <w:rsid w:val="14C842E9"/>
    <w:rsid w:val="14CA0061"/>
    <w:rsid w:val="14CB4340"/>
    <w:rsid w:val="14D62EA9"/>
    <w:rsid w:val="14E1184E"/>
    <w:rsid w:val="14E22985"/>
    <w:rsid w:val="14E60C13"/>
    <w:rsid w:val="14E87A0F"/>
    <w:rsid w:val="14EA3590"/>
    <w:rsid w:val="14EA425F"/>
    <w:rsid w:val="14EB6229"/>
    <w:rsid w:val="14ED01F3"/>
    <w:rsid w:val="14EE6F80"/>
    <w:rsid w:val="15001CD4"/>
    <w:rsid w:val="15023C9F"/>
    <w:rsid w:val="15035321"/>
    <w:rsid w:val="151632A6"/>
    <w:rsid w:val="15231615"/>
    <w:rsid w:val="15233C15"/>
    <w:rsid w:val="152A6D51"/>
    <w:rsid w:val="153100E0"/>
    <w:rsid w:val="15311924"/>
    <w:rsid w:val="15347BD0"/>
    <w:rsid w:val="15363948"/>
    <w:rsid w:val="153B4DDE"/>
    <w:rsid w:val="153D72A5"/>
    <w:rsid w:val="154F0566"/>
    <w:rsid w:val="154F4A0A"/>
    <w:rsid w:val="155E69FB"/>
    <w:rsid w:val="156A1E3B"/>
    <w:rsid w:val="156C1118"/>
    <w:rsid w:val="156F0C08"/>
    <w:rsid w:val="15765A27"/>
    <w:rsid w:val="158C17BA"/>
    <w:rsid w:val="15AC59B8"/>
    <w:rsid w:val="15B34F99"/>
    <w:rsid w:val="15B8435D"/>
    <w:rsid w:val="15C26F8A"/>
    <w:rsid w:val="15CB7091"/>
    <w:rsid w:val="15CE0FE3"/>
    <w:rsid w:val="15CE5D77"/>
    <w:rsid w:val="15DF5D8E"/>
    <w:rsid w:val="15E46F00"/>
    <w:rsid w:val="15F630D7"/>
    <w:rsid w:val="15FC6940"/>
    <w:rsid w:val="16041350"/>
    <w:rsid w:val="16094BB9"/>
    <w:rsid w:val="16113106"/>
    <w:rsid w:val="161672D6"/>
    <w:rsid w:val="16175528"/>
    <w:rsid w:val="161A0B74"/>
    <w:rsid w:val="161A1FD2"/>
    <w:rsid w:val="161A6DC6"/>
    <w:rsid w:val="161D2412"/>
    <w:rsid w:val="161F43DC"/>
    <w:rsid w:val="16243337"/>
    <w:rsid w:val="162C08A7"/>
    <w:rsid w:val="16314110"/>
    <w:rsid w:val="16351E52"/>
    <w:rsid w:val="16493207"/>
    <w:rsid w:val="165C118C"/>
    <w:rsid w:val="165D042B"/>
    <w:rsid w:val="1663076D"/>
    <w:rsid w:val="166718DF"/>
    <w:rsid w:val="166C6C78"/>
    <w:rsid w:val="16877047"/>
    <w:rsid w:val="168801D3"/>
    <w:rsid w:val="16893F4C"/>
    <w:rsid w:val="16922E00"/>
    <w:rsid w:val="169721C5"/>
    <w:rsid w:val="169E17A5"/>
    <w:rsid w:val="16A36DBB"/>
    <w:rsid w:val="16AF39B2"/>
    <w:rsid w:val="16BC1C2B"/>
    <w:rsid w:val="16C62AAA"/>
    <w:rsid w:val="16CB6312"/>
    <w:rsid w:val="16D32078"/>
    <w:rsid w:val="16DC407B"/>
    <w:rsid w:val="16DF1C9E"/>
    <w:rsid w:val="16E3365C"/>
    <w:rsid w:val="16E82A20"/>
    <w:rsid w:val="16E8315C"/>
    <w:rsid w:val="16EB42BE"/>
    <w:rsid w:val="16ED6288"/>
    <w:rsid w:val="16F13FCB"/>
    <w:rsid w:val="16F72C63"/>
    <w:rsid w:val="16F75A4D"/>
    <w:rsid w:val="16FA2753"/>
    <w:rsid w:val="17055C28"/>
    <w:rsid w:val="17082757"/>
    <w:rsid w:val="170F00E8"/>
    <w:rsid w:val="171C4DC0"/>
    <w:rsid w:val="172C5003"/>
    <w:rsid w:val="172F4AF3"/>
    <w:rsid w:val="17375756"/>
    <w:rsid w:val="17465999"/>
    <w:rsid w:val="174F484D"/>
    <w:rsid w:val="1752433D"/>
    <w:rsid w:val="175400B6"/>
    <w:rsid w:val="175F0406"/>
    <w:rsid w:val="1767664C"/>
    <w:rsid w:val="176D533D"/>
    <w:rsid w:val="178D5376"/>
    <w:rsid w:val="17982698"/>
    <w:rsid w:val="179B5CE4"/>
    <w:rsid w:val="179E3A27"/>
    <w:rsid w:val="17A0154D"/>
    <w:rsid w:val="17A0779F"/>
    <w:rsid w:val="17A26D42"/>
    <w:rsid w:val="17A8489C"/>
    <w:rsid w:val="17B374D2"/>
    <w:rsid w:val="17B80644"/>
    <w:rsid w:val="17B84AE8"/>
    <w:rsid w:val="17C52D61"/>
    <w:rsid w:val="17C71DFD"/>
    <w:rsid w:val="17CA0378"/>
    <w:rsid w:val="17D055CA"/>
    <w:rsid w:val="17D336B6"/>
    <w:rsid w:val="17D70B3D"/>
    <w:rsid w:val="17DD667E"/>
    <w:rsid w:val="17E21B65"/>
    <w:rsid w:val="17E72CD8"/>
    <w:rsid w:val="17F17FFA"/>
    <w:rsid w:val="17F453F5"/>
    <w:rsid w:val="17F54DA1"/>
    <w:rsid w:val="17FB2C27"/>
    <w:rsid w:val="17FF6273"/>
    <w:rsid w:val="180C6BE2"/>
    <w:rsid w:val="180E06B3"/>
    <w:rsid w:val="180E4708"/>
    <w:rsid w:val="18167A61"/>
    <w:rsid w:val="18204407"/>
    <w:rsid w:val="182201B4"/>
    <w:rsid w:val="18273A1C"/>
    <w:rsid w:val="183D2D88"/>
    <w:rsid w:val="183F2B14"/>
    <w:rsid w:val="1844012A"/>
    <w:rsid w:val="184C6FDF"/>
    <w:rsid w:val="184F12B2"/>
    <w:rsid w:val="18506ACF"/>
    <w:rsid w:val="18534811"/>
    <w:rsid w:val="185365BF"/>
    <w:rsid w:val="185A21FA"/>
    <w:rsid w:val="186474C4"/>
    <w:rsid w:val="1865506A"/>
    <w:rsid w:val="18694035"/>
    <w:rsid w:val="1869638B"/>
    <w:rsid w:val="18714C97"/>
    <w:rsid w:val="18746BDC"/>
    <w:rsid w:val="18755A63"/>
    <w:rsid w:val="187D188E"/>
    <w:rsid w:val="187D363C"/>
    <w:rsid w:val="187F19EB"/>
    <w:rsid w:val="18802BE9"/>
    <w:rsid w:val="1881312C"/>
    <w:rsid w:val="18822A00"/>
    <w:rsid w:val="1888270D"/>
    <w:rsid w:val="189160DC"/>
    <w:rsid w:val="18A032C9"/>
    <w:rsid w:val="18A62B93"/>
    <w:rsid w:val="18A8690B"/>
    <w:rsid w:val="18A96818"/>
    <w:rsid w:val="18A97340"/>
    <w:rsid w:val="18B036C8"/>
    <w:rsid w:val="18B74DA0"/>
    <w:rsid w:val="18BA4DAD"/>
    <w:rsid w:val="18C419C1"/>
    <w:rsid w:val="18D03F06"/>
    <w:rsid w:val="18D53478"/>
    <w:rsid w:val="18DA07E2"/>
    <w:rsid w:val="18DC4807"/>
    <w:rsid w:val="18E75CE0"/>
    <w:rsid w:val="18ED2570"/>
    <w:rsid w:val="19037FE5"/>
    <w:rsid w:val="190653E0"/>
    <w:rsid w:val="19067AD5"/>
    <w:rsid w:val="190D49C0"/>
    <w:rsid w:val="190F5F83"/>
    <w:rsid w:val="191007D2"/>
    <w:rsid w:val="191D23C9"/>
    <w:rsid w:val="191E42B4"/>
    <w:rsid w:val="19203C75"/>
    <w:rsid w:val="192341E3"/>
    <w:rsid w:val="192374A9"/>
    <w:rsid w:val="19246DE4"/>
    <w:rsid w:val="19265A82"/>
    <w:rsid w:val="192A37C4"/>
    <w:rsid w:val="192D6E10"/>
    <w:rsid w:val="19314B52"/>
    <w:rsid w:val="19380DBB"/>
    <w:rsid w:val="193A32DB"/>
    <w:rsid w:val="193E101D"/>
    <w:rsid w:val="19497D53"/>
    <w:rsid w:val="194F4FD8"/>
    <w:rsid w:val="19510D51"/>
    <w:rsid w:val="195645B9"/>
    <w:rsid w:val="19573E8D"/>
    <w:rsid w:val="196935B8"/>
    <w:rsid w:val="19702964"/>
    <w:rsid w:val="19706CFD"/>
    <w:rsid w:val="19726F19"/>
    <w:rsid w:val="197411B5"/>
    <w:rsid w:val="19742C91"/>
    <w:rsid w:val="197A1C24"/>
    <w:rsid w:val="197E141A"/>
    <w:rsid w:val="197E766C"/>
    <w:rsid w:val="19816413"/>
    <w:rsid w:val="19862718"/>
    <w:rsid w:val="19866520"/>
    <w:rsid w:val="19882298"/>
    <w:rsid w:val="19962C07"/>
    <w:rsid w:val="199D21E8"/>
    <w:rsid w:val="19B60BB4"/>
    <w:rsid w:val="19B7322B"/>
    <w:rsid w:val="19BE3F0C"/>
    <w:rsid w:val="19BF7474"/>
    <w:rsid w:val="19C73FB9"/>
    <w:rsid w:val="19CF1C75"/>
    <w:rsid w:val="19D13C3F"/>
    <w:rsid w:val="19D352B7"/>
    <w:rsid w:val="19D83220"/>
    <w:rsid w:val="19E046EF"/>
    <w:rsid w:val="19E16A10"/>
    <w:rsid w:val="19EC0A79"/>
    <w:rsid w:val="19FF1F98"/>
    <w:rsid w:val="1A045DC3"/>
    <w:rsid w:val="1A057D8D"/>
    <w:rsid w:val="1A0916EC"/>
    <w:rsid w:val="1A0933D9"/>
    <w:rsid w:val="1A101DA4"/>
    <w:rsid w:val="1A116732"/>
    <w:rsid w:val="1A144ACE"/>
    <w:rsid w:val="1A2E0437"/>
    <w:rsid w:val="1A2F0966"/>
    <w:rsid w:val="1A306BC4"/>
    <w:rsid w:val="1A475CB0"/>
    <w:rsid w:val="1A501008"/>
    <w:rsid w:val="1A58610F"/>
    <w:rsid w:val="1A5A1E87"/>
    <w:rsid w:val="1A5D3725"/>
    <w:rsid w:val="1A612876"/>
    <w:rsid w:val="1A6B4094"/>
    <w:rsid w:val="1A6B5DA4"/>
    <w:rsid w:val="1A7840BB"/>
    <w:rsid w:val="1A7B1DFD"/>
    <w:rsid w:val="1A7D3DC7"/>
    <w:rsid w:val="1A914C62"/>
    <w:rsid w:val="1A99197B"/>
    <w:rsid w:val="1A9C249F"/>
    <w:rsid w:val="1A9D7FC6"/>
    <w:rsid w:val="1A9F2885"/>
    <w:rsid w:val="1AAA16DF"/>
    <w:rsid w:val="1ABF28B5"/>
    <w:rsid w:val="1ABF618E"/>
    <w:rsid w:val="1AC45552"/>
    <w:rsid w:val="1AD27C6F"/>
    <w:rsid w:val="1AD3240A"/>
    <w:rsid w:val="1AD43190"/>
    <w:rsid w:val="1ADC1167"/>
    <w:rsid w:val="1ADE4866"/>
    <w:rsid w:val="1ADF05DE"/>
    <w:rsid w:val="1ADF413A"/>
    <w:rsid w:val="1AEB304F"/>
    <w:rsid w:val="1AF20311"/>
    <w:rsid w:val="1AF51BB0"/>
    <w:rsid w:val="1AFA71C6"/>
    <w:rsid w:val="1AFC4CEC"/>
    <w:rsid w:val="1AFF658A"/>
    <w:rsid w:val="1B03607B"/>
    <w:rsid w:val="1B040045"/>
    <w:rsid w:val="1B07224D"/>
    <w:rsid w:val="1B09565B"/>
    <w:rsid w:val="1B1C7DDF"/>
    <w:rsid w:val="1B216501"/>
    <w:rsid w:val="1B23779E"/>
    <w:rsid w:val="1B282E74"/>
    <w:rsid w:val="1B2D1349"/>
    <w:rsid w:val="1B375D24"/>
    <w:rsid w:val="1B3C77DE"/>
    <w:rsid w:val="1B3E5305"/>
    <w:rsid w:val="1B3F2C9E"/>
    <w:rsid w:val="1B416BA3"/>
    <w:rsid w:val="1B4548E5"/>
    <w:rsid w:val="1B481CDF"/>
    <w:rsid w:val="1B485E74"/>
    <w:rsid w:val="1B4F7512"/>
    <w:rsid w:val="1B506DE6"/>
    <w:rsid w:val="1B5C1C2F"/>
    <w:rsid w:val="1B610A9F"/>
    <w:rsid w:val="1B642891"/>
    <w:rsid w:val="1B7A20B5"/>
    <w:rsid w:val="1B7D185C"/>
    <w:rsid w:val="1B7D5A3D"/>
    <w:rsid w:val="1B7E3953"/>
    <w:rsid w:val="1B811695"/>
    <w:rsid w:val="1B8F3D84"/>
    <w:rsid w:val="1B8F5B60"/>
    <w:rsid w:val="1B903686"/>
    <w:rsid w:val="1B9969DF"/>
    <w:rsid w:val="1B9E5DA3"/>
    <w:rsid w:val="1B9F3FFD"/>
    <w:rsid w:val="1BAA299A"/>
    <w:rsid w:val="1BB05AD7"/>
    <w:rsid w:val="1BBE4697"/>
    <w:rsid w:val="1BC752FA"/>
    <w:rsid w:val="1BCB2A77"/>
    <w:rsid w:val="1BD73063"/>
    <w:rsid w:val="1BD90378"/>
    <w:rsid w:val="1BF14125"/>
    <w:rsid w:val="1BF400B9"/>
    <w:rsid w:val="1BF63E31"/>
    <w:rsid w:val="1BF754B3"/>
    <w:rsid w:val="1BFB4FA4"/>
    <w:rsid w:val="1BFB7D2E"/>
    <w:rsid w:val="1C02528A"/>
    <w:rsid w:val="1C054074"/>
    <w:rsid w:val="1C093B64"/>
    <w:rsid w:val="1C112A19"/>
    <w:rsid w:val="1C1147C7"/>
    <w:rsid w:val="1C1F5136"/>
    <w:rsid w:val="1C252021"/>
    <w:rsid w:val="1C295FB5"/>
    <w:rsid w:val="1C2C01A7"/>
    <w:rsid w:val="1C362480"/>
    <w:rsid w:val="1C391A8B"/>
    <w:rsid w:val="1C3D55BC"/>
    <w:rsid w:val="1C3E30E2"/>
    <w:rsid w:val="1C3E56B7"/>
    <w:rsid w:val="1C4F6042"/>
    <w:rsid w:val="1C511068"/>
    <w:rsid w:val="1C511A32"/>
    <w:rsid w:val="1C534DE0"/>
    <w:rsid w:val="1C542906"/>
    <w:rsid w:val="1C550B58"/>
    <w:rsid w:val="1C626DD1"/>
    <w:rsid w:val="1C6963B1"/>
    <w:rsid w:val="1C724EA7"/>
    <w:rsid w:val="1C7A236C"/>
    <w:rsid w:val="1C7B7E93"/>
    <w:rsid w:val="1C7F4826"/>
    <w:rsid w:val="1C874A89"/>
    <w:rsid w:val="1C9244C5"/>
    <w:rsid w:val="1C935E2E"/>
    <w:rsid w:val="1C9368BB"/>
    <w:rsid w:val="1C961170"/>
    <w:rsid w:val="1C980A44"/>
    <w:rsid w:val="1C9D24FF"/>
    <w:rsid w:val="1CA473E9"/>
    <w:rsid w:val="1CAB4C1C"/>
    <w:rsid w:val="1CAF6E14"/>
    <w:rsid w:val="1CBE5F51"/>
    <w:rsid w:val="1CCC4B92"/>
    <w:rsid w:val="1CCC71D7"/>
    <w:rsid w:val="1CD30247"/>
    <w:rsid w:val="1CD90F6C"/>
    <w:rsid w:val="1CDC4DD5"/>
    <w:rsid w:val="1CDE7B02"/>
    <w:rsid w:val="1CE123EB"/>
    <w:rsid w:val="1CE67A02"/>
    <w:rsid w:val="1CEA0DC8"/>
    <w:rsid w:val="1CF77E61"/>
    <w:rsid w:val="1CFD4D4B"/>
    <w:rsid w:val="1D022362"/>
    <w:rsid w:val="1D0633DC"/>
    <w:rsid w:val="1D0A6BBF"/>
    <w:rsid w:val="1D100F23"/>
    <w:rsid w:val="1D1207F7"/>
    <w:rsid w:val="1D1D719C"/>
    <w:rsid w:val="1D1F1166"/>
    <w:rsid w:val="1D1F70DF"/>
    <w:rsid w:val="1D2A0BDE"/>
    <w:rsid w:val="1D2E13A9"/>
    <w:rsid w:val="1D392227"/>
    <w:rsid w:val="1D3C3AC6"/>
    <w:rsid w:val="1D446FF0"/>
    <w:rsid w:val="1D4604A0"/>
    <w:rsid w:val="1D594678"/>
    <w:rsid w:val="1D5C1A72"/>
    <w:rsid w:val="1D61177E"/>
    <w:rsid w:val="1D6848BB"/>
    <w:rsid w:val="1D6E79F7"/>
    <w:rsid w:val="1D7414B2"/>
    <w:rsid w:val="1D7C2114"/>
    <w:rsid w:val="1D7E7C3A"/>
    <w:rsid w:val="1D8E3BF5"/>
    <w:rsid w:val="1D916562"/>
    <w:rsid w:val="1DB25D3B"/>
    <w:rsid w:val="1DB4365C"/>
    <w:rsid w:val="1DB55626"/>
    <w:rsid w:val="1DBD7B04"/>
    <w:rsid w:val="1DBE0D70"/>
    <w:rsid w:val="1DC85359"/>
    <w:rsid w:val="1DCB6BF8"/>
    <w:rsid w:val="1DCD471E"/>
    <w:rsid w:val="1DD12460"/>
    <w:rsid w:val="1DD265F7"/>
    <w:rsid w:val="1DE15900"/>
    <w:rsid w:val="1DE93CFC"/>
    <w:rsid w:val="1DEA3522"/>
    <w:rsid w:val="1DEB6876"/>
    <w:rsid w:val="1DF4614E"/>
    <w:rsid w:val="1DFB128B"/>
    <w:rsid w:val="1E026ABD"/>
    <w:rsid w:val="1E0A3BC4"/>
    <w:rsid w:val="1E0B5246"/>
    <w:rsid w:val="1E0D0FBE"/>
    <w:rsid w:val="1E14234D"/>
    <w:rsid w:val="1E1E766F"/>
    <w:rsid w:val="1E1F3254"/>
    <w:rsid w:val="1E234C86"/>
    <w:rsid w:val="1E262080"/>
    <w:rsid w:val="1E2C7696"/>
    <w:rsid w:val="1E2D01CB"/>
    <w:rsid w:val="1E312EFF"/>
    <w:rsid w:val="1E363573"/>
    <w:rsid w:val="1E37603B"/>
    <w:rsid w:val="1E390005"/>
    <w:rsid w:val="1E4075E6"/>
    <w:rsid w:val="1E425260"/>
    <w:rsid w:val="1E432DEF"/>
    <w:rsid w:val="1E446493"/>
    <w:rsid w:val="1E4873CD"/>
    <w:rsid w:val="1E4A46AF"/>
    <w:rsid w:val="1E517543"/>
    <w:rsid w:val="1E62755C"/>
    <w:rsid w:val="1E6A347E"/>
    <w:rsid w:val="1E6E6F8F"/>
    <w:rsid w:val="1E803E86"/>
    <w:rsid w:val="1E85324A"/>
    <w:rsid w:val="1E890F8D"/>
    <w:rsid w:val="1E9B2A6E"/>
    <w:rsid w:val="1EA23DFC"/>
    <w:rsid w:val="1EA948A8"/>
    <w:rsid w:val="1EAA571D"/>
    <w:rsid w:val="1EB458DE"/>
    <w:rsid w:val="1EB4768C"/>
    <w:rsid w:val="1EB80378"/>
    <w:rsid w:val="1EBB0A1A"/>
    <w:rsid w:val="1EBF49AE"/>
    <w:rsid w:val="1EC75611"/>
    <w:rsid w:val="1ECD5E2C"/>
    <w:rsid w:val="1EDA49C1"/>
    <w:rsid w:val="1EDF0BAD"/>
    <w:rsid w:val="1EE93A77"/>
    <w:rsid w:val="1EEA318A"/>
    <w:rsid w:val="1EF331A2"/>
    <w:rsid w:val="1EF503D0"/>
    <w:rsid w:val="1F0423C1"/>
    <w:rsid w:val="1F093E7B"/>
    <w:rsid w:val="1F0B19A2"/>
    <w:rsid w:val="1F0E1492"/>
    <w:rsid w:val="1F136AA8"/>
    <w:rsid w:val="1F1545CE"/>
    <w:rsid w:val="1F155F51"/>
    <w:rsid w:val="1F1C3BAF"/>
    <w:rsid w:val="1F205133"/>
    <w:rsid w:val="1F2C05AA"/>
    <w:rsid w:val="1F2E5690"/>
    <w:rsid w:val="1F36431D"/>
    <w:rsid w:val="1F372797"/>
    <w:rsid w:val="1F42113B"/>
    <w:rsid w:val="1F43738D"/>
    <w:rsid w:val="1F460C2C"/>
    <w:rsid w:val="1F4849A4"/>
    <w:rsid w:val="1F485FC9"/>
    <w:rsid w:val="1F4E5D32"/>
    <w:rsid w:val="1F511D85"/>
    <w:rsid w:val="1F550E6F"/>
    <w:rsid w:val="1F5E41C7"/>
    <w:rsid w:val="1F6132DC"/>
    <w:rsid w:val="1F662255"/>
    <w:rsid w:val="1F6B23C3"/>
    <w:rsid w:val="1F715206"/>
    <w:rsid w:val="1F72557D"/>
    <w:rsid w:val="1F770B28"/>
    <w:rsid w:val="1F7A3036"/>
    <w:rsid w:val="1F7C63FB"/>
    <w:rsid w:val="1F7E2174"/>
    <w:rsid w:val="1F8370D2"/>
    <w:rsid w:val="1F86727A"/>
    <w:rsid w:val="1F882FF2"/>
    <w:rsid w:val="1F8B47E2"/>
    <w:rsid w:val="1F8D23B7"/>
    <w:rsid w:val="1F8E612F"/>
    <w:rsid w:val="1F9030FB"/>
    <w:rsid w:val="1F971487"/>
    <w:rsid w:val="1F996FAD"/>
    <w:rsid w:val="1FA31BDA"/>
    <w:rsid w:val="1FA77683"/>
    <w:rsid w:val="1FAF67D1"/>
    <w:rsid w:val="1FB742B4"/>
    <w:rsid w:val="1FBD6461"/>
    <w:rsid w:val="1FC17307"/>
    <w:rsid w:val="1FC3402A"/>
    <w:rsid w:val="1FC41B50"/>
    <w:rsid w:val="1FC85AE5"/>
    <w:rsid w:val="1FC97167"/>
    <w:rsid w:val="1FD75D28"/>
    <w:rsid w:val="1FE073FF"/>
    <w:rsid w:val="1FE3352B"/>
    <w:rsid w:val="1FE50445"/>
    <w:rsid w:val="1FEC075C"/>
    <w:rsid w:val="200716C9"/>
    <w:rsid w:val="200B2F42"/>
    <w:rsid w:val="20104450"/>
    <w:rsid w:val="20104D96"/>
    <w:rsid w:val="20146634"/>
    <w:rsid w:val="201779E3"/>
    <w:rsid w:val="201E5705"/>
    <w:rsid w:val="2020322B"/>
    <w:rsid w:val="20216FA3"/>
    <w:rsid w:val="202A40A9"/>
    <w:rsid w:val="203C5B8B"/>
    <w:rsid w:val="203D3616"/>
    <w:rsid w:val="204F6280"/>
    <w:rsid w:val="205D622D"/>
    <w:rsid w:val="207B1004"/>
    <w:rsid w:val="207D242B"/>
    <w:rsid w:val="208337BA"/>
    <w:rsid w:val="208D63E6"/>
    <w:rsid w:val="20947775"/>
    <w:rsid w:val="209B0B03"/>
    <w:rsid w:val="209D5736"/>
    <w:rsid w:val="20A200E4"/>
    <w:rsid w:val="20A43E5C"/>
    <w:rsid w:val="20B3409F"/>
    <w:rsid w:val="20C06F38"/>
    <w:rsid w:val="20CA3197"/>
    <w:rsid w:val="20DB549E"/>
    <w:rsid w:val="20DF4E94"/>
    <w:rsid w:val="20E00C0C"/>
    <w:rsid w:val="20E23650"/>
    <w:rsid w:val="20E73D48"/>
    <w:rsid w:val="20E91E77"/>
    <w:rsid w:val="20F36B91"/>
    <w:rsid w:val="20F841A8"/>
    <w:rsid w:val="20F85F56"/>
    <w:rsid w:val="20F87D04"/>
    <w:rsid w:val="20FA3A7C"/>
    <w:rsid w:val="20FB77F4"/>
    <w:rsid w:val="20FF1092"/>
    <w:rsid w:val="20FF5536"/>
    <w:rsid w:val="21016D07"/>
    <w:rsid w:val="210865FD"/>
    <w:rsid w:val="210963B5"/>
    <w:rsid w:val="21156A1C"/>
    <w:rsid w:val="21177A19"/>
    <w:rsid w:val="211A411E"/>
    <w:rsid w:val="21294361"/>
    <w:rsid w:val="212E0352"/>
    <w:rsid w:val="212E0A02"/>
    <w:rsid w:val="212E3725"/>
    <w:rsid w:val="21311468"/>
    <w:rsid w:val="21345B94"/>
    <w:rsid w:val="213D7E0C"/>
    <w:rsid w:val="214747E7"/>
    <w:rsid w:val="21521B0A"/>
    <w:rsid w:val="21633F28"/>
    <w:rsid w:val="216E7C21"/>
    <w:rsid w:val="21780EA7"/>
    <w:rsid w:val="217D46AD"/>
    <w:rsid w:val="21871088"/>
    <w:rsid w:val="21A1039B"/>
    <w:rsid w:val="21A357D2"/>
    <w:rsid w:val="21A47E8B"/>
    <w:rsid w:val="21BC3427"/>
    <w:rsid w:val="21BC7EF3"/>
    <w:rsid w:val="21C347B6"/>
    <w:rsid w:val="21CA4341"/>
    <w:rsid w:val="21CA5B44"/>
    <w:rsid w:val="21CB0B38"/>
    <w:rsid w:val="21D10C1B"/>
    <w:rsid w:val="21D20555"/>
    <w:rsid w:val="21D82DC4"/>
    <w:rsid w:val="21D93F17"/>
    <w:rsid w:val="21DA62E0"/>
    <w:rsid w:val="21DA6C9A"/>
    <w:rsid w:val="21E309B4"/>
    <w:rsid w:val="21E62252"/>
    <w:rsid w:val="21EB7868"/>
    <w:rsid w:val="21ED07C1"/>
    <w:rsid w:val="22022A80"/>
    <w:rsid w:val="22031056"/>
    <w:rsid w:val="22097CEF"/>
    <w:rsid w:val="2210107D"/>
    <w:rsid w:val="22140B6D"/>
    <w:rsid w:val="221768AF"/>
    <w:rsid w:val="22196184"/>
    <w:rsid w:val="221E4CC8"/>
    <w:rsid w:val="222F1E4B"/>
    <w:rsid w:val="22372AAE"/>
    <w:rsid w:val="22386FDF"/>
    <w:rsid w:val="2241392C"/>
    <w:rsid w:val="224445D9"/>
    <w:rsid w:val="224A458F"/>
    <w:rsid w:val="224F429B"/>
    <w:rsid w:val="225E44DE"/>
    <w:rsid w:val="226A69DF"/>
    <w:rsid w:val="22715FC0"/>
    <w:rsid w:val="22775051"/>
    <w:rsid w:val="22794E74"/>
    <w:rsid w:val="227B0410"/>
    <w:rsid w:val="227F1CF3"/>
    <w:rsid w:val="22802A5E"/>
    <w:rsid w:val="2280357B"/>
    <w:rsid w:val="22873A35"/>
    <w:rsid w:val="22883309"/>
    <w:rsid w:val="228850B7"/>
    <w:rsid w:val="228D0920"/>
    <w:rsid w:val="228D6B72"/>
    <w:rsid w:val="2297354C"/>
    <w:rsid w:val="22995516"/>
    <w:rsid w:val="229B128E"/>
    <w:rsid w:val="229B303C"/>
    <w:rsid w:val="22A243CB"/>
    <w:rsid w:val="22A77C33"/>
    <w:rsid w:val="22AD4B1E"/>
    <w:rsid w:val="22B440FE"/>
    <w:rsid w:val="22B83F08"/>
    <w:rsid w:val="22CE3412"/>
    <w:rsid w:val="22D30A28"/>
    <w:rsid w:val="22D36C7A"/>
    <w:rsid w:val="22DA1DB7"/>
    <w:rsid w:val="22DB168B"/>
    <w:rsid w:val="22DF73CD"/>
    <w:rsid w:val="22E16D14"/>
    <w:rsid w:val="22E32706"/>
    <w:rsid w:val="22F56BF1"/>
    <w:rsid w:val="22F66AEC"/>
    <w:rsid w:val="22F8223D"/>
    <w:rsid w:val="22FF35CB"/>
    <w:rsid w:val="23032DAC"/>
    <w:rsid w:val="23045086"/>
    <w:rsid w:val="23046E34"/>
    <w:rsid w:val="2305495A"/>
    <w:rsid w:val="2309269C"/>
    <w:rsid w:val="230E380E"/>
    <w:rsid w:val="231057D9"/>
    <w:rsid w:val="2316104C"/>
    <w:rsid w:val="23192E8B"/>
    <w:rsid w:val="231A6795"/>
    <w:rsid w:val="231D50C1"/>
    <w:rsid w:val="231E5EDF"/>
    <w:rsid w:val="232272BA"/>
    <w:rsid w:val="232C38FC"/>
    <w:rsid w:val="232F75FB"/>
    <w:rsid w:val="2336619B"/>
    <w:rsid w:val="233B037C"/>
    <w:rsid w:val="23425BAE"/>
    <w:rsid w:val="2342795C"/>
    <w:rsid w:val="23445482"/>
    <w:rsid w:val="234731C4"/>
    <w:rsid w:val="234C07DB"/>
    <w:rsid w:val="2355768F"/>
    <w:rsid w:val="2359588A"/>
    <w:rsid w:val="235A2EF8"/>
    <w:rsid w:val="235B27CC"/>
    <w:rsid w:val="235C6C70"/>
    <w:rsid w:val="23601CC6"/>
    <w:rsid w:val="23607DE2"/>
    <w:rsid w:val="23627FFE"/>
    <w:rsid w:val="236478D2"/>
    <w:rsid w:val="236A7975"/>
    <w:rsid w:val="237C3983"/>
    <w:rsid w:val="23810484"/>
    <w:rsid w:val="23831EAA"/>
    <w:rsid w:val="238E2BA1"/>
    <w:rsid w:val="238F4A93"/>
    <w:rsid w:val="23955CDE"/>
    <w:rsid w:val="2397579E"/>
    <w:rsid w:val="239F090A"/>
    <w:rsid w:val="23A608CA"/>
    <w:rsid w:val="23A91789"/>
    <w:rsid w:val="23B048C6"/>
    <w:rsid w:val="23BA1190"/>
    <w:rsid w:val="23C30A9D"/>
    <w:rsid w:val="23C6058D"/>
    <w:rsid w:val="23C640E9"/>
    <w:rsid w:val="23C71C0F"/>
    <w:rsid w:val="23C91E2B"/>
    <w:rsid w:val="23D34A58"/>
    <w:rsid w:val="23D9206E"/>
    <w:rsid w:val="23DA7B95"/>
    <w:rsid w:val="23DE4B31"/>
    <w:rsid w:val="23EB7FF4"/>
    <w:rsid w:val="23ED5FB9"/>
    <w:rsid w:val="23F23130"/>
    <w:rsid w:val="23F549CE"/>
    <w:rsid w:val="23F5677C"/>
    <w:rsid w:val="23FA1FE5"/>
    <w:rsid w:val="23FC3A8F"/>
    <w:rsid w:val="240014E6"/>
    <w:rsid w:val="24044C11"/>
    <w:rsid w:val="2406020D"/>
    <w:rsid w:val="240F7EDE"/>
    <w:rsid w:val="24101808"/>
    <w:rsid w:val="241412F8"/>
    <w:rsid w:val="24172B97"/>
    <w:rsid w:val="24174945"/>
    <w:rsid w:val="24194B61"/>
    <w:rsid w:val="2423778D"/>
    <w:rsid w:val="242B6642"/>
    <w:rsid w:val="243048D2"/>
    <w:rsid w:val="24313600"/>
    <w:rsid w:val="243C43AB"/>
    <w:rsid w:val="244068CB"/>
    <w:rsid w:val="24431BDE"/>
    <w:rsid w:val="245042DF"/>
    <w:rsid w:val="24525B8A"/>
    <w:rsid w:val="2455546D"/>
    <w:rsid w:val="24566D47"/>
    <w:rsid w:val="245C2C9F"/>
    <w:rsid w:val="246102B6"/>
    <w:rsid w:val="247022A7"/>
    <w:rsid w:val="247104F9"/>
    <w:rsid w:val="2474488E"/>
    <w:rsid w:val="24747FE9"/>
    <w:rsid w:val="247578BD"/>
    <w:rsid w:val="247B1377"/>
    <w:rsid w:val="24840100"/>
    <w:rsid w:val="24842422"/>
    <w:rsid w:val="24873190"/>
    <w:rsid w:val="24877D1C"/>
    <w:rsid w:val="248C55CE"/>
    <w:rsid w:val="248C73CA"/>
    <w:rsid w:val="248D4C07"/>
    <w:rsid w:val="248F4E23"/>
    <w:rsid w:val="2494342A"/>
    <w:rsid w:val="24954DA2"/>
    <w:rsid w:val="24A23F90"/>
    <w:rsid w:val="24B30003"/>
    <w:rsid w:val="24B35602"/>
    <w:rsid w:val="24B44889"/>
    <w:rsid w:val="24B91EA0"/>
    <w:rsid w:val="24C22B02"/>
    <w:rsid w:val="24CE259C"/>
    <w:rsid w:val="24CF3471"/>
    <w:rsid w:val="24DD5B8E"/>
    <w:rsid w:val="24E231A5"/>
    <w:rsid w:val="24ED56A6"/>
    <w:rsid w:val="24EF4E6D"/>
    <w:rsid w:val="24F133E8"/>
    <w:rsid w:val="24F627AC"/>
    <w:rsid w:val="24FB6014"/>
    <w:rsid w:val="24FE5B05"/>
    <w:rsid w:val="24FF3D57"/>
    <w:rsid w:val="2500362B"/>
    <w:rsid w:val="25021151"/>
    <w:rsid w:val="250824DF"/>
    <w:rsid w:val="25090731"/>
    <w:rsid w:val="25097302"/>
    <w:rsid w:val="250A26FB"/>
    <w:rsid w:val="250A6257"/>
    <w:rsid w:val="250E5D48"/>
    <w:rsid w:val="25180974"/>
    <w:rsid w:val="251B0465"/>
    <w:rsid w:val="252159F9"/>
    <w:rsid w:val="25221FC4"/>
    <w:rsid w:val="25230B54"/>
    <w:rsid w:val="252A06A8"/>
    <w:rsid w:val="252C2926"/>
    <w:rsid w:val="2543783E"/>
    <w:rsid w:val="25457290"/>
    <w:rsid w:val="254774AC"/>
    <w:rsid w:val="25493224"/>
    <w:rsid w:val="254D6E95"/>
    <w:rsid w:val="254E25E8"/>
    <w:rsid w:val="254E507A"/>
    <w:rsid w:val="25506360"/>
    <w:rsid w:val="255252CE"/>
    <w:rsid w:val="25525B4A"/>
    <w:rsid w:val="255A7EFB"/>
    <w:rsid w:val="255B3C04"/>
    <w:rsid w:val="256353F4"/>
    <w:rsid w:val="257858B7"/>
    <w:rsid w:val="25787665"/>
    <w:rsid w:val="257F09F3"/>
    <w:rsid w:val="25910727"/>
    <w:rsid w:val="25950E14"/>
    <w:rsid w:val="259721E1"/>
    <w:rsid w:val="25A8619C"/>
    <w:rsid w:val="25AB1549"/>
    <w:rsid w:val="25AE12D9"/>
    <w:rsid w:val="25B20DC9"/>
    <w:rsid w:val="25B6018D"/>
    <w:rsid w:val="25C94365"/>
    <w:rsid w:val="25D23219"/>
    <w:rsid w:val="25D56865"/>
    <w:rsid w:val="25D845A8"/>
    <w:rsid w:val="25D86356"/>
    <w:rsid w:val="25D9546E"/>
    <w:rsid w:val="25DD1043"/>
    <w:rsid w:val="25E1520A"/>
    <w:rsid w:val="25E32F16"/>
    <w:rsid w:val="25E62821"/>
    <w:rsid w:val="25E96C9E"/>
    <w:rsid w:val="25F0544D"/>
    <w:rsid w:val="25F74A2E"/>
    <w:rsid w:val="2604714B"/>
    <w:rsid w:val="2609152B"/>
    <w:rsid w:val="260B7449"/>
    <w:rsid w:val="261F08BF"/>
    <w:rsid w:val="262B0B7B"/>
    <w:rsid w:val="262D66A1"/>
    <w:rsid w:val="26303958"/>
    <w:rsid w:val="263118D3"/>
    <w:rsid w:val="26432F9D"/>
    <w:rsid w:val="264B7529"/>
    <w:rsid w:val="264F6618"/>
    <w:rsid w:val="266100F9"/>
    <w:rsid w:val="26630315"/>
    <w:rsid w:val="26644CF8"/>
    <w:rsid w:val="266A3452"/>
    <w:rsid w:val="266D2A5D"/>
    <w:rsid w:val="266D2F42"/>
    <w:rsid w:val="266D6A9E"/>
    <w:rsid w:val="267047E0"/>
    <w:rsid w:val="26752E95"/>
    <w:rsid w:val="26753BA5"/>
    <w:rsid w:val="268169ED"/>
    <w:rsid w:val="268F15A4"/>
    <w:rsid w:val="269009DE"/>
    <w:rsid w:val="26993D37"/>
    <w:rsid w:val="269C7383"/>
    <w:rsid w:val="26A60202"/>
    <w:rsid w:val="26A8388C"/>
    <w:rsid w:val="26B74083"/>
    <w:rsid w:val="26B75BDF"/>
    <w:rsid w:val="26CA0394"/>
    <w:rsid w:val="26CA2142"/>
    <w:rsid w:val="26CD578F"/>
    <w:rsid w:val="26CF7759"/>
    <w:rsid w:val="26D42FC1"/>
    <w:rsid w:val="26D60AE7"/>
    <w:rsid w:val="26D94133"/>
    <w:rsid w:val="26DE174A"/>
    <w:rsid w:val="26E256DE"/>
    <w:rsid w:val="26E2748C"/>
    <w:rsid w:val="26E56F7C"/>
    <w:rsid w:val="26F10834"/>
    <w:rsid w:val="26F176CF"/>
    <w:rsid w:val="26F50EC7"/>
    <w:rsid w:val="27085CC7"/>
    <w:rsid w:val="27145C30"/>
    <w:rsid w:val="27196C26"/>
    <w:rsid w:val="27206206"/>
    <w:rsid w:val="27232B84"/>
    <w:rsid w:val="272563B7"/>
    <w:rsid w:val="272659EC"/>
    <w:rsid w:val="27294A71"/>
    <w:rsid w:val="272A498F"/>
    <w:rsid w:val="272D447F"/>
    <w:rsid w:val="272E26D1"/>
    <w:rsid w:val="272E51EF"/>
    <w:rsid w:val="272F01F7"/>
    <w:rsid w:val="272F1FA5"/>
    <w:rsid w:val="27313F6F"/>
    <w:rsid w:val="27337CE7"/>
    <w:rsid w:val="27363334"/>
    <w:rsid w:val="27457A1B"/>
    <w:rsid w:val="274C0DA9"/>
    <w:rsid w:val="275639D6"/>
    <w:rsid w:val="275B723E"/>
    <w:rsid w:val="2769195B"/>
    <w:rsid w:val="276C31F9"/>
    <w:rsid w:val="276E0D20"/>
    <w:rsid w:val="27704AC1"/>
    <w:rsid w:val="27710810"/>
    <w:rsid w:val="27715C8F"/>
    <w:rsid w:val="27754992"/>
    <w:rsid w:val="27764078"/>
    <w:rsid w:val="27843B07"/>
    <w:rsid w:val="2786250D"/>
    <w:rsid w:val="27865D44"/>
    <w:rsid w:val="278C45CD"/>
    <w:rsid w:val="2790513A"/>
    <w:rsid w:val="27931A7C"/>
    <w:rsid w:val="279A1B15"/>
    <w:rsid w:val="27A02EA3"/>
    <w:rsid w:val="27A40BE5"/>
    <w:rsid w:val="27A94085"/>
    <w:rsid w:val="27AA4BD2"/>
    <w:rsid w:val="27AF2660"/>
    <w:rsid w:val="27DF1C1D"/>
    <w:rsid w:val="27E86D24"/>
    <w:rsid w:val="27E92A9C"/>
    <w:rsid w:val="280451E0"/>
    <w:rsid w:val="28096C9A"/>
    <w:rsid w:val="280B656E"/>
    <w:rsid w:val="280F6544"/>
    <w:rsid w:val="28125B4F"/>
    <w:rsid w:val="28222B9B"/>
    <w:rsid w:val="2826784C"/>
    <w:rsid w:val="282D2989"/>
    <w:rsid w:val="28416434"/>
    <w:rsid w:val="28427225"/>
    <w:rsid w:val="28461C9C"/>
    <w:rsid w:val="28472DB9"/>
    <w:rsid w:val="28506677"/>
    <w:rsid w:val="2853435A"/>
    <w:rsid w:val="285443B9"/>
    <w:rsid w:val="285A312D"/>
    <w:rsid w:val="285D2B42"/>
    <w:rsid w:val="286645A1"/>
    <w:rsid w:val="286E175B"/>
    <w:rsid w:val="286E33A7"/>
    <w:rsid w:val="287B7B98"/>
    <w:rsid w:val="287F390C"/>
    <w:rsid w:val="288C5086"/>
    <w:rsid w:val="2891635B"/>
    <w:rsid w:val="289724F8"/>
    <w:rsid w:val="289F315B"/>
    <w:rsid w:val="28A864B3"/>
    <w:rsid w:val="28AA3FD9"/>
    <w:rsid w:val="28B63E85"/>
    <w:rsid w:val="28BE5CD7"/>
    <w:rsid w:val="28BF2A31"/>
    <w:rsid w:val="28CB21A2"/>
    <w:rsid w:val="28D076AE"/>
    <w:rsid w:val="28D42E04"/>
    <w:rsid w:val="28D56B7C"/>
    <w:rsid w:val="28DA4193"/>
    <w:rsid w:val="28E50522"/>
    <w:rsid w:val="28E868B0"/>
    <w:rsid w:val="28EA087A"/>
    <w:rsid w:val="28EE70DF"/>
    <w:rsid w:val="28EF5E6A"/>
    <w:rsid w:val="28F87856"/>
    <w:rsid w:val="29001E4B"/>
    <w:rsid w:val="290F02E0"/>
    <w:rsid w:val="29112ED9"/>
    <w:rsid w:val="291710CD"/>
    <w:rsid w:val="291B0A33"/>
    <w:rsid w:val="292D2732"/>
    <w:rsid w:val="29350390"/>
    <w:rsid w:val="293715E5"/>
    <w:rsid w:val="2939710B"/>
    <w:rsid w:val="2940493E"/>
    <w:rsid w:val="294755E4"/>
    <w:rsid w:val="294A1318"/>
    <w:rsid w:val="294A30C6"/>
    <w:rsid w:val="294E705B"/>
    <w:rsid w:val="294F4B81"/>
    <w:rsid w:val="29596454"/>
    <w:rsid w:val="295E3016"/>
    <w:rsid w:val="295E6B72"/>
    <w:rsid w:val="295F349E"/>
    <w:rsid w:val="296022B4"/>
    <w:rsid w:val="296C74E1"/>
    <w:rsid w:val="29714AF7"/>
    <w:rsid w:val="29727881"/>
    <w:rsid w:val="29767D09"/>
    <w:rsid w:val="297B4378"/>
    <w:rsid w:val="298505A2"/>
    <w:rsid w:val="2988390E"/>
    <w:rsid w:val="298C1931"/>
    <w:rsid w:val="29934A6D"/>
    <w:rsid w:val="2999255A"/>
    <w:rsid w:val="29A7453D"/>
    <w:rsid w:val="29A900F9"/>
    <w:rsid w:val="29A94291"/>
    <w:rsid w:val="29AB6D7D"/>
    <w:rsid w:val="29AD7EF3"/>
    <w:rsid w:val="29B01DC7"/>
    <w:rsid w:val="29BA46F0"/>
    <w:rsid w:val="29BC3621"/>
    <w:rsid w:val="29BD5F8E"/>
    <w:rsid w:val="29C25353"/>
    <w:rsid w:val="29C70BBB"/>
    <w:rsid w:val="29D11A3A"/>
    <w:rsid w:val="29D15596"/>
    <w:rsid w:val="29D357B2"/>
    <w:rsid w:val="29D4087C"/>
    <w:rsid w:val="29D515FB"/>
    <w:rsid w:val="29D86924"/>
    <w:rsid w:val="29DD78B7"/>
    <w:rsid w:val="29E47DD1"/>
    <w:rsid w:val="29E950C0"/>
    <w:rsid w:val="29E965C4"/>
    <w:rsid w:val="29EB7A06"/>
    <w:rsid w:val="29EC6231"/>
    <w:rsid w:val="29F574D6"/>
    <w:rsid w:val="29F97B45"/>
    <w:rsid w:val="29FE3744"/>
    <w:rsid w:val="2A01667B"/>
    <w:rsid w:val="2A047719"/>
    <w:rsid w:val="2A063491"/>
    <w:rsid w:val="2A0C4820"/>
    <w:rsid w:val="2A0F631D"/>
    <w:rsid w:val="2A15272F"/>
    <w:rsid w:val="2A157B78"/>
    <w:rsid w:val="2A1738F0"/>
    <w:rsid w:val="2A1A0CEB"/>
    <w:rsid w:val="2A2F05EA"/>
    <w:rsid w:val="2A3049B2"/>
    <w:rsid w:val="2A32072A"/>
    <w:rsid w:val="2A346694"/>
    <w:rsid w:val="2A3C54A4"/>
    <w:rsid w:val="2A420242"/>
    <w:rsid w:val="2A47059E"/>
    <w:rsid w:val="2A495A74"/>
    <w:rsid w:val="2A5306A1"/>
    <w:rsid w:val="2A5561C7"/>
    <w:rsid w:val="2A5A558B"/>
    <w:rsid w:val="2A5D507B"/>
    <w:rsid w:val="2A5F0DF4"/>
    <w:rsid w:val="2A677CA8"/>
    <w:rsid w:val="2A693576"/>
    <w:rsid w:val="2A756869"/>
    <w:rsid w:val="2A7644AA"/>
    <w:rsid w:val="2A7D127A"/>
    <w:rsid w:val="2A7D1EFE"/>
    <w:rsid w:val="2A834AE2"/>
    <w:rsid w:val="2A883000"/>
    <w:rsid w:val="2A944F41"/>
    <w:rsid w:val="2A994305"/>
    <w:rsid w:val="2A997F02"/>
    <w:rsid w:val="2A9D36CA"/>
    <w:rsid w:val="2AA1765E"/>
    <w:rsid w:val="2AA35184"/>
    <w:rsid w:val="2AB00EBB"/>
    <w:rsid w:val="2ABB0720"/>
    <w:rsid w:val="2AC5334C"/>
    <w:rsid w:val="2ACB6489"/>
    <w:rsid w:val="2ACD0453"/>
    <w:rsid w:val="2AD01CF1"/>
    <w:rsid w:val="2AE5579D"/>
    <w:rsid w:val="2AE61085"/>
    <w:rsid w:val="2AE76B06"/>
    <w:rsid w:val="2AEA4B61"/>
    <w:rsid w:val="2AF23A16"/>
    <w:rsid w:val="2AF459E0"/>
    <w:rsid w:val="2B057BED"/>
    <w:rsid w:val="2B0776C7"/>
    <w:rsid w:val="2B0C0F7B"/>
    <w:rsid w:val="2B110B5E"/>
    <w:rsid w:val="2B165956"/>
    <w:rsid w:val="2B1C4F36"/>
    <w:rsid w:val="2B1E0CAF"/>
    <w:rsid w:val="2B2A7653"/>
    <w:rsid w:val="2B2C33CC"/>
    <w:rsid w:val="2B2E6D06"/>
    <w:rsid w:val="2B2F353C"/>
    <w:rsid w:val="2B34402E"/>
    <w:rsid w:val="2B345DDC"/>
    <w:rsid w:val="2B3C1135"/>
    <w:rsid w:val="2B425766"/>
    <w:rsid w:val="2B434271"/>
    <w:rsid w:val="2B4D50F0"/>
    <w:rsid w:val="2B667F60"/>
    <w:rsid w:val="2B6D46A2"/>
    <w:rsid w:val="2B7065D7"/>
    <w:rsid w:val="2B8152F7"/>
    <w:rsid w:val="2B833818"/>
    <w:rsid w:val="2B877D7D"/>
    <w:rsid w:val="2B8C5C18"/>
    <w:rsid w:val="2B911481"/>
    <w:rsid w:val="2BA016C4"/>
    <w:rsid w:val="2BA32F62"/>
    <w:rsid w:val="2BAE2033"/>
    <w:rsid w:val="2BAF25B9"/>
    <w:rsid w:val="2BBA6BD4"/>
    <w:rsid w:val="2BBF786D"/>
    <w:rsid w:val="2BCF1FA9"/>
    <w:rsid w:val="2BD15D21"/>
    <w:rsid w:val="2BE75544"/>
    <w:rsid w:val="2BE958BD"/>
    <w:rsid w:val="2BF832AE"/>
    <w:rsid w:val="2C077995"/>
    <w:rsid w:val="2C1874AC"/>
    <w:rsid w:val="2C1D6C42"/>
    <w:rsid w:val="2C2220D9"/>
    <w:rsid w:val="2C24115C"/>
    <w:rsid w:val="2C2422F5"/>
    <w:rsid w:val="2C2C2F57"/>
    <w:rsid w:val="2C3141C2"/>
    <w:rsid w:val="2C35005E"/>
    <w:rsid w:val="2C3D5164"/>
    <w:rsid w:val="2C46226B"/>
    <w:rsid w:val="2C4B162F"/>
    <w:rsid w:val="2C505F9C"/>
    <w:rsid w:val="2C5A7AC4"/>
    <w:rsid w:val="2C6170A5"/>
    <w:rsid w:val="2C622E1D"/>
    <w:rsid w:val="2C69656A"/>
    <w:rsid w:val="2C6E531E"/>
    <w:rsid w:val="2C70332B"/>
    <w:rsid w:val="2C74243D"/>
    <w:rsid w:val="2C7C7A3B"/>
    <w:rsid w:val="2C7D449F"/>
    <w:rsid w:val="2C7D4FE4"/>
    <w:rsid w:val="2C7F39CF"/>
    <w:rsid w:val="2C815051"/>
    <w:rsid w:val="2C866B0B"/>
    <w:rsid w:val="2C920A51"/>
    <w:rsid w:val="2C931228"/>
    <w:rsid w:val="2CA13945"/>
    <w:rsid w:val="2CA878F5"/>
    <w:rsid w:val="2CAA3C3C"/>
    <w:rsid w:val="2CBB4661"/>
    <w:rsid w:val="2CBD0053"/>
    <w:rsid w:val="2CBF6E23"/>
    <w:rsid w:val="2CC17B44"/>
    <w:rsid w:val="2CCA2E9C"/>
    <w:rsid w:val="2CD92092"/>
    <w:rsid w:val="2CDA6E57"/>
    <w:rsid w:val="2CE83322"/>
    <w:rsid w:val="2CE850D0"/>
    <w:rsid w:val="2CE91B4D"/>
    <w:rsid w:val="2CF241A1"/>
    <w:rsid w:val="2CF25F4F"/>
    <w:rsid w:val="2CF42E43"/>
    <w:rsid w:val="2CF65402"/>
    <w:rsid w:val="2CF9108B"/>
    <w:rsid w:val="2CFA4E04"/>
    <w:rsid w:val="2D067C4C"/>
    <w:rsid w:val="2D0B5263"/>
    <w:rsid w:val="2D210B1C"/>
    <w:rsid w:val="2D256324"/>
    <w:rsid w:val="2D26209C"/>
    <w:rsid w:val="2D314CC9"/>
    <w:rsid w:val="2D320A41"/>
    <w:rsid w:val="2D3E2F42"/>
    <w:rsid w:val="2D46629B"/>
    <w:rsid w:val="2D4C1B03"/>
    <w:rsid w:val="2D5664DE"/>
    <w:rsid w:val="2D5C5ABE"/>
    <w:rsid w:val="2D734AAD"/>
    <w:rsid w:val="2D7B5F44"/>
    <w:rsid w:val="2D7C025A"/>
    <w:rsid w:val="2D7E3C87"/>
    <w:rsid w:val="2D811081"/>
    <w:rsid w:val="2D865769"/>
    <w:rsid w:val="2D9102EF"/>
    <w:rsid w:val="2D934CD2"/>
    <w:rsid w:val="2D984D48"/>
    <w:rsid w:val="2DA76D39"/>
    <w:rsid w:val="2DB0374C"/>
    <w:rsid w:val="2DB11966"/>
    <w:rsid w:val="2DBD47AF"/>
    <w:rsid w:val="2DC45B3D"/>
    <w:rsid w:val="2DCE2518"/>
    <w:rsid w:val="2DCF003E"/>
    <w:rsid w:val="2DD17649"/>
    <w:rsid w:val="2DD378BF"/>
    <w:rsid w:val="2DD613CD"/>
    <w:rsid w:val="2DDB2E87"/>
    <w:rsid w:val="2DDC3961"/>
    <w:rsid w:val="2DEC6E42"/>
    <w:rsid w:val="2DEE4968"/>
    <w:rsid w:val="2DF87595"/>
    <w:rsid w:val="2DFA7D57"/>
    <w:rsid w:val="2DFD4BAB"/>
    <w:rsid w:val="2E0334BD"/>
    <w:rsid w:val="2E0E500A"/>
    <w:rsid w:val="2E141EF5"/>
    <w:rsid w:val="2E153CC3"/>
    <w:rsid w:val="2E1D303E"/>
    <w:rsid w:val="2E1F0FC6"/>
    <w:rsid w:val="2E24038A"/>
    <w:rsid w:val="2E254E85"/>
    <w:rsid w:val="2E25657D"/>
    <w:rsid w:val="2E2A34C6"/>
    <w:rsid w:val="2E2E2FB7"/>
    <w:rsid w:val="2E400F3C"/>
    <w:rsid w:val="2E514EF7"/>
    <w:rsid w:val="2E5172B2"/>
    <w:rsid w:val="2E586286"/>
    <w:rsid w:val="2E69227F"/>
    <w:rsid w:val="2E6D7F83"/>
    <w:rsid w:val="2E7035CF"/>
    <w:rsid w:val="2E7A26A0"/>
    <w:rsid w:val="2E7B1F74"/>
    <w:rsid w:val="2E7D6EDD"/>
    <w:rsid w:val="2E884476"/>
    <w:rsid w:val="2E8B665B"/>
    <w:rsid w:val="2E9077CD"/>
    <w:rsid w:val="2E921798"/>
    <w:rsid w:val="2E9655E6"/>
    <w:rsid w:val="2EA17C2D"/>
    <w:rsid w:val="2EAB4607"/>
    <w:rsid w:val="2EAC257E"/>
    <w:rsid w:val="2EB21E3A"/>
    <w:rsid w:val="2EBB5196"/>
    <w:rsid w:val="2EBD433B"/>
    <w:rsid w:val="2EC15BD9"/>
    <w:rsid w:val="2EC851B9"/>
    <w:rsid w:val="2EC9236B"/>
    <w:rsid w:val="2EC964E4"/>
    <w:rsid w:val="2ECE6548"/>
    <w:rsid w:val="2ED03642"/>
    <w:rsid w:val="2ED7364E"/>
    <w:rsid w:val="2EDA071F"/>
    <w:rsid w:val="2EDD678B"/>
    <w:rsid w:val="2EDD74A8"/>
    <w:rsid w:val="2EE143F1"/>
    <w:rsid w:val="2EE31FF3"/>
    <w:rsid w:val="2EE95130"/>
    <w:rsid w:val="2EED1543"/>
    <w:rsid w:val="2EF15D2F"/>
    <w:rsid w:val="2EF53D37"/>
    <w:rsid w:val="2EF57F78"/>
    <w:rsid w:val="2EF75A9F"/>
    <w:rsid w:val="2EF7784D"/>
    <w:rsid w:val="2F097580"/>
    <w:rsid w:val="2F0E4B96"/>
    <w:rsid w:val="2F0F104A"/>
    <w:rsid w:val="2F106B60"/>
    <w:rsid w:val="2F151B80"/>
    <w:rsid w:val="2F1877C3"/>
    <w:rsid w:val="2F195A15"/>
    <w:rsid w:val="2F1E302B"/>
    <w:rsid w:val="2F1F0B51"/>
    <w:rsid w:val="2F236894"/>
    <w:rsid w:val="2F2C09F8"/>
    <w:rsid w:val="2F302D5E"/>
    <w:rsid w:val="2F3A598B"/>
    <w:rsid w:val="2F45680A"/>
    <w:rsid w:val="2F4D56BE"/>
    <w:rsid w:val="2F505ADC"/>
    <w:rsid w:val="2F542EF1"/>
    <w:rsid w:val="2F546A4D"/>
    <w:rsid w:val="2F591D0B"/>
    <w:rsid w:val="2F5F53F2"/>
    <w:rsid w:val="2F631386"/>
    <w:rsid w:val="2F68074A"/>
    <w:rsid w:val="2F6C7BC9"/>
    <w:rsid w:val="2F753E46"/>
    <w:rsid w:val="2F791392"/>
    <w:rsid w:val="2F794705"/>
    <w:rsid w:val="2F8D01B1"/>
    <w:rsid w:val="2F8D1F5F"/>
    <w:rsid w:val="2F9F6DB0"/>
    <w:rsid w:val="2FA80437"/>
    <w:rsid w:val="2FA849E7"/>
    <w:rsid w:val="2FAD0853"/>
    <w:rsid w:val="2FAF1ED5"/>
    <w:rsid w:val="2FB744F3"/>
    <w:rsid w:val="2FB83480"/>
    <w:rsid w:val="2FBB6ACC"/>
    <w:rsid w:val="2FCC2A87"/>
    <w:rsid w:val="2FCF07C9"/>
    <w:rsid w:val="2FD47B8E"/>
    <w:rsid w:val="2FD83324"/>
    <w:rsid w:val="2FDB5352"/>
    <w:rsid w:val="2FE14059"/>
    <w:rsid w:val="2FE51D9B"/>
    <w:rsid w:val="2FE53B49"/>
    <w:rsid w:val="2FEA115F"/>
    <w:rsid w:val="2FF16992"/>
    <w:rsid w:val="2FF26266"/>
    <w:rsid w:val="2FFD6A0A"/>
    <w:rsid w:val="2FFE2E5D"/>
    <w:rsid w:val="30006BD5"/>
    <w:rsid w:val="300103D3"/>
    <w:rsid w:val="300246FB"/>
    <w:rsid w:val="300A7A53"/>
    <w:rsid w:val="30134B5A"/>
    <w:rsid w:val="301D7787"/>
    <w:rsid w:val="30224D9D"/>
    <w:rsid w:val="303074BA"/>
    <w:rsid w:val="30316D8E"/>
    <w:rsid w:val="3038011D"/>
    <w:rsid w:val="30444D13"/>
    <w:rsid w:val="304B054C"/>
    <w:rsid w:val="3050190A"/>
    <w:rsid w:val="306113B2"/>
    <w:rsid w:val="308120F1"/>
    <w:rsid w:val="30816709"/>
    <w:rsid w:val="30850E88"/>
    <w:rsid w:val="308A649E"/>
    <w:rsid w:val="309C4B4F"/>
    <w:rsid w:val="30A9101A"/>
    <w:rsid w:val="30CE6CD3"/>
    <w:rsid w:val="30E20088"/>
    <w:rsid w:val="30E241D3"/>
    <w:rsid w:val="30F47EBB"/>
    <w:rsid w:val="30FC114A"/>
    <w:rsid w:val="31003685"/>
    <w:rsid w:val="31061FC9"/>
    <w:rsid w:val="31077AEF"/>
    <w:rsid w:val="310821E5"/>
    <w:rsid w:val="31102E48"/>
    <w:rsid w:val="3115220C"/>
    <w:rsid w:val="311961A0"/>
    <w:rsid w:val="311E5564"/>
    <w:rsid w:val="3123746B"/>
    <w:rsid w:val="31254094"/>
    <w:rsid w:val="3128447F"/>
    <w:rsid w:val="312879B9"/>
    <w:rsid w:val="312C50B5"/>
    <w:rsid w:val="312D39F9"/>
    <w:rsid w:val="313A2A33"/>
    <w:rsid w:val="3140533A"/>
    <w:rsid w:val="314471AC"/>
    <w:rsid w:val="314C36CA"/>
    <w:rsid w:val="314D5E4A"/>
    <w:rsid w:val="31547F98"/>
    <w:rsid w:val="315A40C3"/>
    <w:rsid w:val="31611191"/>
    <w:rsid w:val="316D2048"/>
    <w:rsid w:val="316D3333"/>
    <w:rsid w:val="3175714F"/>
    <w:rsid w:val="31786BA7"/>
    <w:rsid w:val="317E4255"/>
    <w:rsid w:val="3180446B"/>
    <w:rsid w:val="318B2FF0"/>
    <w:rsid w:val="318B3AD3"/>
    <w:rsid w:val="318B7345"/>
    <w:rsid w:val="31905D36"/>
    <w:rsid w:val="319677F1"/>
    <w:rsid w:val="31973569"/>
    <w:rsid w:val="31975317"/>
    <w:rsid w:val="31992A4A"/>
    <w:rsid w:val="31A17F44"/>
    <w:rsid w:val="31A309E6"/>
    <w:rsid w:val="31A35A6A"/>
    <w:rsid w:val="31AD0696"/>
    <w:rsid w:val="31B561F8"/>
    <w:rsid w:val="31BF1CD3"/>
    <w:rsid w:val="31C1235B"/>
    <w:rsid w:val="31C854D0"/>
    <w:rsid w:val="31CD01BC"/>
    <w:rsid w:val="31E7048C"/>
    <w:rsid w:val="31EB11BF"/>
    <w:rsid w:val="31ED4F37"/>
    <w:rsid w:val="31EF2C2D"/>
    <w:rsid w:val="31F462C5"/>
    <w:rsid w:val="31F57FDE"/>
    <w:rsid w:val="31F60E1F"/>
    <w:rsid w:val="31F8639A"/>
    <w:rsid w:val="32002EBC"/>
    <w:rsid w:val="3203475A"/>
    <w:rsid w:val="32087FC3"/>
    <w:rsid w:val="32096215"/>
    <w:rsid w:val="321655E5"/>
    <w:rsid w:val="3216623C"/>
    <w:rsid w:val="321921D0"/>
    <w:rsid w:val="322070BA"/>
    <w:rsid w:val="322323EC"/>
    <w:rsid w:val="32241A96"/>
    <w:rsid w:val="32243910"/>
    <w:rsid w:val="322841C1"/>
    <w:rsid w:val="322A5784"/>
    <w:rsid w:val="32342B66"/>
    <w:rsid w:val="32430FFB"/>
    <w:rsid w:val="325706C5"/>
    <w:rsid w:val="325B6344"/>
    <w:rsid w:val="326E3016"/>
    <w:rsid w:val="326F1DF0"/>
    <w:rsid w:val="32717916"/>
    <w:rsid w:val="327318E0"/>
    <w:rsid w:val="32755658"/>
    <w:rsid w:val="32762368"/>
    <w:rsid w:val="327939E1"/>
    <w:rsid w:val="32794A1C"/>
    <w:rsid w:val="32805DAB"/>
    <w:rsid w:val="3281224F"/>
    <w:rsid w:val="32870EE7"/>
    <w:rsid w:val="328F5DAF"/>
    <w:rsid w:val="329655CE"/>
    <w:rsid w:val="329830F5"/>
    <w:rsid w:val="329A6E6D"/>
    <w:rsid w:val="32A93554"/>
    <w:rsid w:val="32AA29C1"/>
    <w:rsid w:val="32AE0307"/>
    <w:rsid w:val="32B05ACE"/>
    <w:rsid w:val="32B141B6"/>
    <w:rsid w:val="32B36180"/>
    <w:rsid w:val="32B902C1"/>
    <w:rsid w:val="32BD2B5B"/>
    <w:rsid w:val="32C02CCB"/>
    <w:rsid w:val="32C33691"/>
    <w:rsid w:val="32D0288E"/>
    <w:rsid w:val="32D124B1"/>
    <w:rsid w:val="32D479AD"/>
    <w:rsid w:val="32DA06A8"/>
    <w:rsid w:val="32DA156F"/>
    <w:rsid w:val="32E12CEE"/>
    <w:rsid w:val="32EE71B8"/>
    <w:rsid w:val="32F26CA9"/>
    <w:rsid w:val="32F81DE5"/>
    <w:rsid w:val="32F93160"/>
    <w:rsid w:val="32FA790B"/>
    <w:rsid w:val="3301513E"/>
    <w:rsid w:val="33072028"/>
    <w:rsid w:val="33105381"/>
    <w:rsid w:val="331210F9"/>
    <w:rsid w:val="331D184C"/>
    <w:rsid w:val="331F036E"/>
    <w:rsid w:val="3321133C"/>
    <w:rsid w:val="33282AD3"/>
    <w:rsid w:val="33294694"/>
    <w:rsid w:val="333170A5"/>
    <w:rsid w:val="33356269"/>
    <w:rsid w:val="33380434"/>
    <w:rsid w:val="333C7C44"/>
    <w:rsid w:val="333F54D6"/>
    <w:rsid w:val="334C648B"/>
    <w:rsid w:val="33506B81"/>
    <w:rsid w:val="33572FB0"/>
    <w:rsid w:val="33582884"/>
    <w:rsid w:val="335B678B"/>
    <w:rsid w:val="335E433E"/>
    <w:rsid w:val="336456CD"/>
    <w:rsid w:val="336550C8"/>
    <w:rsid w:val="33684485"/>
    <w:rsid w:val="336B25B7"/>
    <w:rsid w:val="33745910"/>
    <w:rsid w:val="337B4EF0"/>
    <w:rsid w:val="337E22EA"/>
    <w:rsid w:val="3381002D"/>
    <w:rsid w:val="33884F17"/>
    <w:rsid w:val="339C4E66"/>
    <w:rsid w:val="339F46B4"/>
    <w:rsid w:val="33A03FFF"/>
    <w:rsid w:val="33AF7717"/>
    <w:rsid w:val="33B45D0C"/>
    <w:rsid w:val="33BC72B7"/>
    <w:rsid w:val="33BE531D"/>
    <w:rsid w:val="33C10484"/>
    <w:rsid w:val="33D75E9F"/>
    <w:rsid w:val="33D95773"/>
    <w:rsid w:val="33E04D53"/>
    <w:rsid w:val="33E04F92"/>
    <w:rsid w:val="33E759B9"/>
    <w:rsid w:val="33EA2CB1"/>
    <w:rsid w:val="33F22CD8"/>
    <w:rsid w:val="33F64577"/>
    <w:rsid w:val="33FE167D"/>
    <w:rsid w:val="340547BA"/>
    <w:rsid w:val="34120C85"/>
    <w:rsid w:val="341921A1"/>
    <w:rsid w:val="341B3FDD"/>
    <w:rsid w:val="341C4349"/>
    <w:rsid w:val="342235BE"/>
    <w:rsid w:val="342515D6"/>
    <w:rsid w:val="34263F8B"/>
    <w:rsid w:val="342E1F62"/>
    <w:rsid w:val="34367069"/>
    <w:rsid w:val="343969A2"/>
    <w:rsid w:val="343D03F7"/>
    <w:rsid w:val="344305FF"/>
    <w:rsid w:val="344F3C87"/>
    <w:rsid w:val="34515C51"/>
    <w:rsid w:val="34567DF2"/>
    <w:rsid w:val="345D2848"/>
    <w:rsid w:val="34605E94"/>
    <w:rsid w:val="34675474"/>
    <w:rsid w:val="346C4839"/>
    <w:rsid w:val="34767465"/>
    <w:rsid w:val="347B0F20"/>
    <w:rsid w:val="347D25A2"/>
    <w:rsid w:val="34800479"/>
    <w:rsid w:val="34825E0A"/>
    <w:rsid w:val="348516E5"/>
    <w:rsid w:val="348F49B4"/>
    <w:rsid w:val="349873DC"/>
    <w:rsid w:val="349A75F8"/>
    <w:rsid w:val="349E076A"/>
    <w:rsid w:val="34A044E2"/>
    <w:rsid w:val="34A74FD1"/>
    <w:rsid w:val="34B00BC9"/>
    <w:rsid w:val="34B65AB4"/>
    <w:rsid w:val="34BA1A48"/>
    <w:rsid w:val="34BA48A7"/>
    <w:rsid w:val="34BD5094"/>
    <w:rsid w:val="34C87EF9"/>
    <w:rsid w:val="34CC28BA"/>
    <w:rsid w:val="34D50630"/>
    <w:rsid w:val="34DB376C"/>
    <w:rsid w:val="34E16FD5"/>
    <w:rsid w:val="34E50F29"/>
    <w:rsid w:val="34E940DB"/>
    <w:rsid w:val="34E963C3"/>
    <w:rsid w:val="34F152D1"/>
    <w:rsid w:val="34F211E2"/>
    <w:rsid w:val="34F36D08"/>
    <w:rsid w:val="34F565DC"/>
    <w:rsid w:val="35040F15"/>
    <w:rsid w:val="35066A3B"/>
    <w:rsid w:val="350A0F23"/>
    <w:rsid w:val="350C1B78"/>
    <w:rsid w:val="351334AE"/>
    <w:rsid w:val="3518676F"/>
    <w:rsid w:val="351A4295"/>
    <w:rsid w:val="352670DE"/>
    <w:rsid w:val="35331C12"/>
    <w:rsid w:val="35365839"/>
    <w:rsid w:val="35494B7A"/>
    <w:rsid w:val="354B26A0"/>
    <w:rsid w:val="3550415A"/>
    <w:rsid w:val="35584717"/>
    <w:rsid w:val="355A6D87"/>
    <w:rsid w:val="355C2AFF"/>
    <w:rsid w:val="35612524"/>
    <w:rsid w:val="356A6E7A"/>
    <w:rsid w:val="356D523C"/>
    <w:rsid w:val="357317D4"/>
    <w:rsid w:val="35773495"/>
    <w:rsid w:val="357A2F85"/>
    <w:rsid w:val="358825FB"/>
    <w:rsid w:val="358838F4"/>
    <w:rsid w:val="35906305"/>
    <w:rsid w:val="35987BE1"/>
    <w:rsid w:val="359C2EFC"/>
    <w:rsid w:val="359E4EC6"/>
    <w:rsid w:val="35A836E8"/>
    <w:rsid w:val="35C83FD0"/>
    <w:rsid w:val="35C91817"/>
    <w:rsid w:val="35D00DF7"/>
    <w:rsid w:val="35D2691D"/>
    <w:rsid w:val="35D77831"/>
    <w:rsid w:val="35E13004"/>
    <w:rsid w:val="35E24AC3"/>
    <w:rsid w:val="35F20D6E"/>
    <w:rsid w:val="35F375EE"/>
    <w:rsid w:val="35F920FC"/>
    <w:rsid w:val="360311CD"/>
    <w:rsid w:val="36034D29"/>
    <w:rsid w:val="36062A6B"/>
    <w:rsid w:val="36074868"/>
    <w:rsid w:val="360A60B7"/>
    <w:rsid w:val="36121410"/>
    <w:rsid w:val="36145188"/>
    <w:rsid w:val="3619454C"/>
    <w:rsid w:val="361A4557"/>
    <w:rsid w:val="361C228F"/>
    <w:rsid w:val="36226D73"/>
    <w:rsid w:val="36264817"/>
    <w:rsid w:val="36315D3A"/>
    <w:rsid w:val="363475D8"/>
    <w:rsid w:val="363772B5"/>
    <w:rsid w:val="364315C9"/>
    <w:rsid w:val="36454756"/>
    <w:rsid w:val="3647730B"/>
    <w:rsid w:val="36486BE0"/>
    <w:rsid w:val="364F4412"/>
    <w:rsid w:val="36525CB0"/>
    <w:rsid w:val="36565279"/>
    <w:rsid w:val="36636D76"/>
    <w:rsid w:val="36685055"/>
    <w:rsid w:val="366C0B20"/>
    <w:rsid w:val="366F4442"/>
    <w:rsid w:val="367A503A"/>
    <w:rsid w:val="36835E6A"/>
    <w:rsid w:val="36875A4D"/>
    <w:rsid w:val="36914A2B"/>
    <w:rsid w:val="369260AD"/>
    <w:rsid w:val="36941E25"/>
    <w:rsid w:val="369938DF"/>
    <w:rsid w:val="36A209E6"/>
    <w:rsid w:val="36A4475E"/>
    <w:rsid w:val="36AA1648"/>
    <w:rsid w:val="36B349A1"/>
    <w:rsid w:val="36B66A51"/>
    <w:rsid w:val="36B81FB7"/>
    <w:rsid w:val="36C330CF"/>
    <w:rsid w:val="36C56482"/>
    <w:rsid w:val="36CA6C0A"/>
    <w:rsid w:val="36D50A58"/>
    <w:rsid w:val="36D861B6"/>
    <w:rsid w:val="36E20DE2"/>
    <w:rsid w:val="36F079A3"/>
    <w:rsid w:val="36F3166E"/>
    <w:rsid w:val="36FB1EA4"/>
    <w:rsid w:val="37052D23"/>
    <w:rsid w:val="37076A9B"/>
    <w:rsid w:val="370B18C5"/>
    <w:rsid w:val="370F76FD"/>
    <w:rsid w:val="37104E51"/>
    <w:rsid w:val="37180CA8"/>
    <w:rsid w:val="371A057C"/>
    <w:rsid w:val="371B2546"/>
    <w:rsid w:val="37225683"/>
    <w:rsid w:val="37270EEB"/>
    <w:rsid w:val="37286254"/>
    <w:rsid w:val="373158C6"/>
    <w:rsid w:val="37357164"/>
    <w:rsid w:val="375A4E1C"/>
    <w:rsid w:val="375F68D7"/>
    <w:rsid w:val="375F7B52"/>
    <w:rsid w:val="37607F59"/>
    <w:rsid w:val="37621F23"/>
    <w:rsid w:val="37645C9B"/>
    <w:rsid w:val="37667C65"/>
    <w:rsid w:val="378E4AC6"/>
    <w:rsid w:val="37922808"/>
    <w:rsid w:val="379D2F5B"/>
    <w:rsid w:val="37A46BC5"/>
    <w:rsid w:val="37A8202C"/>
    <w:rsid w:val="37B06454"/>
    <w:rsid w:val="37C04391"/>
    <w:rsid w:val="37C406D5"/>
    <w:rsid w:val="37C64260"/>
    <w:rsid w:val="37DC1CD5"/>
    <w:rsid w:val="37DD2351"/>
    <w:rsid w:val="37E172EC"/>
    <w:rsid w:val="37E961A0"/>
    <w:rsid w:val="37EA1B02"/>
    <w:rsid w:val="37EF3D65"/>
    <w:rsid w:val="37F60820"/>
    <w:rsid w:val="37F81662"/>
    <w:rsid w:val="37F963E3"/>
    <w:rsid w:val="37FE68D1"/>
    <w:rsid w:val="38000ECC"/>
    <w:rsid w:val="380A05F1"/>
    <w:rsid w:val="380C5011"/>
    <w:rsid w:val="38107BD1"/>
    <w:rsid w:val="381617E6"/>
    <w:rsid w:val="381C6576"/>
    <w:rsid w:val="382F0057"/>
    <w:rsid w:val="383762EE"/>
    <w:rsid w:val="38415FDC"/>
    <w:rsid w:val="38481119"/>
    <w:rsid w:val="3851621F"/>
    <w:rsid w:val="38543F62"/>
    <w:rsid w:val="38612695"/>
    <w:rsid w:val="38624A88"/>
    <w:rsid w:val="386817BB"/>
    <w:rsid w:val="386F66A6"/>
    <w:rsid w:val="3872711A"/>
    <w:rsid w:val="38883C0B"/>
    <w:rsid w:val="388A7983"/>
    <w:rsid w:val="388B2A90"/>
    <w:rsid w:val="38975BFC"/>
    <w:rsid w:val="389E342F"/>
    <w:rsid w:val="38A24D0B"/>
    <w:rsid w:val="38A253C1"/>
    <w:rsid w:val="38A50319"/>
    <w:rsid w:val="38AC5B4C"/>
    <w:rsid w:val="38B47F0D"/>
    <w:rsid w:val="38B92017"/>
    <w:rsid w:val="38BD38B5"/>
    <w:rsid w:val="38BE3F56"/>
    <w:rsid w:val="38D26C34"/>
    <w:rsid w:val="38D8249D"/>
    <w:rsid w:val="38DD22F9"/>
    <w:rsid w:val="38E2156D"/>
    <w:rsid w:val="38E2331B"/>
    <w:rsid w:val="38E9210C"/>
    <w:rsid w:val="38EC5F48"/>
    <w:rsid w:val="38F4304F"/>
    <w:rsid w:val="38F65019"/>
    <w:rsid w:val="38FB2132"/>
    <w:rsid w:val="38FD0C5E"/>
    <w:rsid w:val="3902751A"/>
    <w:rsid w:val="390A63CE"/>
    <w:rsid w:val="39102F16"/>
    <w:rsid w:val="39194863"/>
    <w:rsid w:val="391D4354"/>
    <w:rsid w:val="39243934"/>
    <w:rsid w:val="39276F80"/>
    <w:rsid w:val="392B74A9"/>
    <w:rsid w:val="392C27E9"/>
    <w:rsid w:val="392C4597"/>
    <w:rsid w:val="393002D4"/>
    <w:rsid w:val="39326ABB"/>
    <w:rsid w:val="39381813"/>
    <w:rsid w:val="393F5A44"/>
    <w:rsid w:val="394144E6"/>
    <w:rsid w:val="39495149"/>
    <w:rsid w:val="394E275F"/>
    <w:rsid w:val="395104A1"/>
    <w:rsid w:val="395A55A8"/>
    <w:rsid w:val="3962620A"/>
    <w:rsid w:val="396C52DB"/>
    <w:rsid w:val="396E2E1E"/>
    <w:rsid w:val="396E4BAF"/>
    <w:rsid w:val="396F4183"/>
    <w:rsid w:val="3970467F"/>
    <w:rsid w:val="39736669"/>
    <w:rsid w:val="39754190"/>
    <w:rsid w:val="39755F3E"/>
    <w:rsid w:val="397A7F5A"/>
    <w:rsid w:val="398048E2"/>
    <w:rsid w:val="3982065B"/>
    <w:rsid w:val="39842625"/>
    <w:rsid w:val="39861EF9"/>
    <w:rsid w:val="398B750F"/>
    <w:rsid w:val="3995038E"/>
    <w:rsid w:val="399B34CA"/>
    <w:rsid w:val="39A20CFD"/>
    <w:rsid w:val="39A8781A"/>
    <w:rsid w:val="39AF5291"/>
    <w:rsid w:val="39B12CEE"/>
    <w:rsid w:val="39C12F31"/>
    <w:rsid w:val="39CE38A0"/>
    <w:rsid w:val="39D709A6"/>
    <w:rsid w:val="39DB57EC"/>
    <w:rsid w:val="39E430C3"/>
    <w:rsid w:val="39F1151D"/>
    <w:rsid w:val="39F5350A"/>
    <w:rsid w:val="39F552D0"/>
    <w:rsid w:val="39F57D45"/>
    <w:rsid w:val="39FF4EB5"/>
    <w:rsid w:val="3A06128C"/>
    <w:rsid w:val="3A0D43C8"/>
    <w:rsid w:val="3A0D7B6D"/>
    <w:rsid w:val="3A0E1EEE"/>
    <w:rsid w:val="3A100F82"/>
    <w:rsid w:val="3A192D6D"/>
    <w:rsid w:val="3A1F40FB"/>
    <w:rsid w:val="3A26548A"/>
    <w:rsid w:val="3A2D4A6A"/>
    <w:rsid w:val="3A3B7187"/>
    <w:rsid w:val="3A454E26"/>
    <w:rsid w:val="3A563FC1"/>
    <w:rsid w:val="3A5913BB"/>
    <w:rsid w:val="3A5D3468"/>
    <w:rsid w:val="3A6A3ABC"/>
    <w:rsid w:val="3A702146"/>
    <w:rsid w:val="3A766411"/>
    <w:rsid w:val="3A7B3A28"/>
    <w:rsid w:val="3A7D43E3"/>
    <w:rsid w:val="3A7E52C6"/>
    <w:rsid w:val="3A80103E"/>
    <w:rsid w:val="3A852A64"/>
    <w:rsid w:val="3A8C3766"/>
    <w:rsid w:val="3A935E76"/>
    <w:rsid w:val="3A962F76"/>
    <w:rsid w:val="3A971EE4"/>
    <w:rsid w:val="3A9C574C"/>
    <w:rsid w:val="3A9C62B1"/>
    <w:rsid w:val="3A9E7716"/>
    <w:rsid w:val="3AA27206"/>
    <w:rsid w:val="3AA65F6E"/>
    <w:rsid w:val="3AAA1C17"/>
    <w:rsid w:val="3AAC3BE1"/>
    <w:rsid w:val="3AAF722D"/>
    <w:rsid w:val="3AB87E59"/>
    <w:rsid w:val="3AC058DE"/>
    <w:rsid w:val="3AC151B3"/>
    <w:rsid w:val="3AC76C6D"/>
    <w:rsid w:val="3ACC6031"/>
    <w:rsid w:val="3AD138AD"/>
    <w:rsid w:val="3AD82C28"/>
    <w:rsid w:val="3ADE7B13"/>
    <w:rsid w:val="3AE570F3"/>
    <w:rsid w:val="3AEA003E"/>
    <w:rsid w:val="3AED7D56"/>
    <w:rsid w:val="3AF13CEA"/>
    <w:rsid w:val="3AF45588"/>
    <w:rsid w:val="3B027CA5"/>
    <w:rsid w:val="3B0C4680"/>
    <w:rsid w:val="3B0D796D"/>
    <w:rsid w:val="3B0E664A"/>
    <w:rsid w:val="3B103FAD"/>
    <w:rsid w:val="3B135A0E"/>
    <w:rsid w:val="3B141786"/>
    <w:rsid w:val="3B143534"/>
    <w:rsid w:val="3B250709"/>
    <w:rsid w:val="3B2E0A9A"/>
    <w:rsid w:val="3B381919"/>
    <w:rsid w:val="3B467D00"/>
    <w:rsid w:val="3B4A51A8"/>
    <w:rsid w:val="3B4C0F20"/>
    <w:rsid w:val="3B516536"/>
    <w:rsid w:val="3B5A363D"/>
    <w:rsid w:val="3B5F6EA5"/>
    <w:rsid w:val="3B626996"/>
    <w:rsid w:val="3B653D90"/>
    <w:rsid w:val="3B660234"/>
    <w:rsid w:val="3B67527D"/>
    <w:rsid w:val="3B675D5A"/>
    <w:rsid w:val="3B7D557D"/>
    <w:rsid w:val="3B822B94"/>
    <w:rsid w:val="3B824942"/>
    <w:rsid w:val="3B862684"/>
    <w:rsid w:val="3B892174"/>
    <w:rsid w:val="3B893F22"/>
    <w:rsid w:val="3B911029"/>
    <w:rsid w:val="3B932C3D"/>
    <w:rsid w:val="3B9847EB"/>
    <w:rsid w:val="3B9A1C8B"/>
    <w:rsid w:val="3B9D5C20"/>
    <w:rsid w:val="3BA90768"/>
    <w:rsid w:val="3BB645EB"/>
    <w:rsid w:val="3BBB206F"/>
    <w:rsid w:val="3BBB7E54"/>
    <w:rsid w:val="3BBE6F96"/>
    <w:rsid w:val="3BC30935"/>
    <w:rsid w:val="3BC82C9D"/>
    <w:rsid w:val="3BCE5CD2"/>
    <w:rsid w:val="3BD11425"/>
    <w:rsid w:val="3BD57167"/>
    <w:rsid w:val="3BE15B0C"/>
    <w:rsid w:val="3BE23632"/>
    <w:rsid w:val="3BE5505D"/>
    <w:rsid w:val="3BE7171E"/>
    <w:rsid w:val="3BF27D19"/>
    <w:rsid w:val="3C002E0E"/>
    <w:rsid w:val="3C004402"/>
    <w:rsid w:val="3C047A4D"/>
    <w:rsid w:val="3C065573"/>
    <w:rsid w:val="3C073099"/>
    <w:rsid w:val="3C0812EB"/>
    <w:rsid w:val="3C0B1E38"/>
    <w:rsid w:val="3C0E2679"/>
    <w:rsid w:val="3C125CC6"/>
    <w:rsid w:val="3C1934F8"/>
    <w:rsid w:val="3C1A7270"/>
    <w:rsid w:val="3C1A7A54"/>
    <w:rsid w:val="3C1D466B"/>
    <w:rsid w:val="3C1E28BD"/>
    <w:rsid w:val="3C2123AD"/>
    <w:rsid w:val="3C237ED3"/>
    <w:rsid w:val="3C28373B"/>
    <w:rsid w:val="3C2854E9"/>
    <w:rsid w:val="3C3E4D0D"/>
    <w:rsid w:val="3C406CD7"/>
    <w:rsid w:val="3C4340D1"/>
    <w:rsid w:val="3C465D40"/>
    <w:rsid w:val="3C561A2F"/>
    <w:rsid w:val="3C575DCE"/>
    <w:rsid w:val="3C5C1637"/>
    <w:rsid w:val="3C65673D"/>
    <w:rsid w:val="3C663C5F"/>
    <w:rsid w:val="3C6B3628"/>
    <w:rsid w:val="3C6B4604"/>
    <w:rsid w:val="3C6E1771"/>
    <w:rsid w:val="3C706E90"/>
    <w:rsid w:val="3C722C08"/>
    <w:rsid w:val="3C7B4229"/>
    <w:rsid w:val="3C7E15AD"/>
    <w:rsid w:val="3C857BDC"/>
    <w:rsid w:val="3C860462"/>
    <w:rsid w:val="3C862210"/>
    <w:rsid w:val="3C867C64"/>
    <w:rsid w:val="3C926E07"/>
    <w:rsid w:val="3C991F43"/>
    <w:rsid w:val="3C9A108D"/>
    <w:rsid w:val="3CA371C7"/>
    <w:rsid w:val="3CA37533"/>
    <w:rsid w:val="3CA408E8"/>
    <w:rsid w:val="3CAC0D1D"/>
    <w:rsid w:val="3CAD59EE"/>
    <w:rsid w:val="3CAE215A"/>
    <w:rsid w:val="3CB7686D"/>
    <w:rsid w:val="3CBA4AA5"/>
    <w:rsid w:val="3CBE19AA"/>
    <w:rsid w:val="3CC03974"/>
    <w:rsid w:val="3CDD2566"/>
    <w:rsid w:val="3CE138EA"/>
    <w:rsid w:val="3CE348E4"/>
    <w:rsid w:val="3CEB7962"/>
    <w:rsid w:val="3CF6450E"/>
    <w:rsid w:val="3D031AB2"/>
    <w:rsid w:val="3D037D04"/>
    <w:rsid w:val="3D1141CF"/>
    <w:rsid w:val="3D1A3F03"/>
    <w:rsid w:val="3D1D0DC6"/>
    <w:rsid w:val="3D22462E"/>
    <w:rsid w:val="3D233F03"/>
    <w:rsid w:val="3D281519"/>
    <w:rsid w:val="3D29758D"/>
    <w:rsid w:val="3D3A1978"/>
    <w:rsid w:val="3D3D3216"/>
    <w:rsid w:val="3D483969"/>
    <w:rsid w:val="3D5B18EE"/>
    <w:rsid w:val="3D5E78C3"/>
    <w:rsid w:val="3D674C57"/>
    <w:rsid w:val="3D6D517E"/>
    <w:rsid w:val="3D8F3346"/>
    <w:rsid w:val="3D8F3F73"/>
    <w:rsid w:val="3D962926"/>
    <w:rsid w:val="3D970380"/>
    <w:rsid w:val="3D9B7F3D"/>
    <w:rsid w:val="3DA23079"/>
    <w:rsid w:val="3DA81D23"/>
    <w:rsid w:val="3DA908AC"/>
    <w:rsid w:val="3DAB6821"/>
    <w:rsid w:val="3DAE1B4D"/>
    <w:rsid w:val="3DAE6F2E"/>
    <w:rsid w:val="3DB72FC9"/>
    <w:rsid w:val="3DC2371B"/>
    <w:rsid w:val="3DC570B7"/>
    <w:rsid w:val="3DC77914"/>
    <w:rsid w:val="3DC94AAA"/>
    <w:rsid w:val="3DD671C7"/>
    <w:rsid w:val="3DDF7E2A"/>
    <w:rsid w:val="3DE25B6C"/>
    <w:rsid w:val="3DE6740A"/>
    <w:rsid w:val="3DE9514C"/>
    <w:rsid w:val="3DF53AF1"/>
    <w:rsid w:val="3DFA2EB5"/>
    <w:rsid w:val="3DFA4C63"/>
    <w:rsid w:val="3DFE52A5"/>
    <w:rsid w:val="3E015FF2"/>
    <w:rsid w:val="3E020ED0"/>
    <w:rsid w:val="3E056725"/>
    <w:rsid w:val="3E09294E"/>
    <w:rsid w:val="3E1109CA"/>
    <w:rsid w:val="3E1321C9"/>
    <w:rsid w:val="3E183F5A"/>
    <w:rsid w:val="3E243815"/>
    <w:rsid w:val="3E295549"/>
    <w:rsid w:val="3E2E604F"/>
    <w:rsid w:val="3E350391"/>
    <w:rsid w:val="3E3D7A44"/>
    <w:rsid w:val="3E44780A"/>
    <w:rsid w:val="3E4811F1"/>
    <w:rsid w:val="3E483C21"/>
    <w:rsid w:val="3E4968EB"/>
    <w:rsid w:val="3E4D7489"/>
    <w:rsid w:val="3E50443B"/>
    <w:rsid w:val="3E5A2C5F"/>
    <w:rsid w:val="3E5B4A96"/>
    <w:rsid w:val="3E5D7673"/>
    <w:rsid w:val="3E66054B"/>
    <w:rsid w:val="3E6F0A67"/>
    <w:rsid w:val="3E734A16"/>
    <w:rsid w:val="3E7E3AE6"/>
    <w:rsid w:val="3E7E7A40"/>
    <w:rsid w:val="3E7F160D"/>
    <w:rsid w:val="3E81618E"/>
    <w:rsid w:val="3E834C59"/>
    <w:rsid w:val="3E8804C1"/>
    <w:rsid w:val="3E8A0FA4"/>
    <w:rsid w:val="3E90381A"/>
    <w:rsid w:val="3E9926CE"/>
    <w:rsid w:val="3E9C009F"/>
    <w:rsid w:val="3EA052B7"/>
    <w:rsid w:val="3EA370A9"/>
    <w:rsid w:val="3EB43064"/>
    <w:rsid w:val="3EB44211"/>
    <w:rsid w:val="3EB70DA6"/>
    <w:rsid w:val="3EBE6DCD"/>
    <w:rsid w:val="3EC46E04"/>
    <w:rsid w:val="3EC544F1"/>
    <w:rsid w:val="3ECE57CD"/>
    <w:rsid w:val="3ECE7C0D"/>
    <w:rsid w:val="3ED92ACB"/>
    <w:rsid w:val="3ED944FA"/>
    <w:rsid w:val="3EE6168C"/>
    <w:rsid w:val="3EE651E8"/>
    <w:rsid w:val="3EE70C9F"/>
    <w:rsid w:val="3EF51240"/>
    <w:rsid w:val="3EFE69D5"/>
    <w:rsid w:val="3F0062A9"/>
    <w:rsid w:val="3F007312"/>
    <w:rsid w:val="3F073ADC"/>
    <w:rsid w:val="3F075CC4"/>
    <w:rsid w:val="3F0A649A"/>
    <w:rsid w:val="3F176456"/>
    <w:rsid w:val="3F177A97"/>
    <w:rsid w:val="3F1C04F3"/>
    <w:rsid w:val="3F1E4982"/>
    <w:rsid w:val="3F2006FA"/>
    <w:rsid w:val="3F220916"/>
    <w:rsid w:val="3F264719"/>
    <w:rsid w:val="3F275F2C"/>
    <w:rsid w:val="3F276AC6"/>
    <w:rsid w:val="3F281CA4"/>
    <w:rsid w:val="3F2A77CA"/>
    <w:rsid w:val="3F2B6399"/>
    <w:rsid w:val="3F2F6B8F"/>
    <w:rsid w:val="3F32667F"/>
    <w:rsid w:val="3F375A43"/>
    <w:rsid w:val="3F395C5F"/>
    <w:rsid w:val="3F3C12AC"/>
    <w:rsid w:val="3F492E6F"/>
    <w:rsid w:val="3F5900B0"/>
    <w:rsid w:val="3F5B3E28"/>
    <w:rsid w:val="3F5E1222"/>
    <w:rsid w:val="3F626F64"/>
    <w:rsid w:val="3F710F55"/>
    <w:rsid w:val="3F7942AE"/>
    <w:rsid w:val="3F850EA5"/>
    <w:rsid w:val="3F870779"/>
    <w:rsid w:val="3F8C3D33"/>
    <w:rsid w:val="3F975F98"/>
    <w:rsid w:val="3FA171C1"/>
    <w:rsid w:val="3FA532F5"/>
    <w:rsid w:val="3FA56E51"/>
    <w:rsid w:val="3FA70E1B"/>
    <w:rsid w:val="3FA87E8D"/>
    <w:rsid w:val="3FC76DC7"/>
    <w:rsid w:val="3FCB2D5B"/>
    <w:rsid w:val="3FDA11F0"/>
    <w:rsid w:val="3FDD0B17"/>
    <w:rsid w:val="3FED6C5E"/>
    <w:rsid w:val="3FF81676"/>
    <w:rsid w:val="3FFD0A3B"/>
    <w:rsid w:val="3FFD6C8D"/>
    <w:rsid w:val="3FFF1CCD"/>
    <w:rsid w:val="400D76D8"/>
    <w:rsid w:val="40112859"/>
    <w:rsid w:val="4012098A"/>
    <w:rsid w:val="401B7113"/>
    <w:rsid w:val="401E01D9"/>
    <w:rsid w:val="402266F3"/>
    <w:rsid w:val="4024246B"/>
    <w:rsid w:val="40363F4D"/>
    <w:rsid w:val="403925B8"/>
    <w:rsid w:val="403F1053"/>
    <w:rsid w:val="404937C3"/>
    <w:rsid w:val="40526FD9"/>
    <w:rsid w:val="405D597D"/>
    <w:rsid w:val="406E7A04"/>
    <w:rsid w:val="40703903"/>
    <w:rsid w:val="40730CFD"/>
    <w:rsid w:val="40736F4F"/>
    <w:rsid w:val="407A02DD"/>
    <w:rsid w:val="4091785C"/>
    <w:rsid w:val="409475F1"/>
    <w:rsid w:val="409D1225"/>
    <w:rsid w:val="40A35A86"/>
    <w:rsid w:val="40AF01C1"/>
    <w:rsid w:val="40B05AAD"/>
    <w:rsid w:val="40B557B9"/>
    <w:rsid w:val="40CD48B1"/>
    <w:rsid w:val="40D16D8B"/>
    <w:rsid w:val="40D479EE"/>
    <w:rsid w:val="40D95004"/>
    <w:rsid w:val="40DB5220"/>
    <w:rsid w:val="40E44F98"/>
    <w:rsid w:val="40EC0EA3"/>
    <w:rsid w:val="40F57562"/>
    <w:rsid w:val="40FB31F5"/>
    <w:rsid w:val="41067DC3"/>
    <w:rsid w:val="410A1661"/>
    <w:rsid w:val="41120516"/>
    <w:rsid w:val="41140732"/>
    <w:rsid w:val="41173D7E"/>
    <w:rsid w:val="41265D6F"/>
    <w:rsid w:val="41285F8B"/>
    <w:rsid w:val="412D35A2"/>
    <w:rsid w:val="41320C5C"/>
    <w:rsid w:val="41326E0A"/>
    <w:rsid w:val="413448B4"/>
    <w:rsid w:val="41344930"/>
    <w:rsid w:val="413A3770"/>
    <w:rsid w:val="413B68D4"/>
    <w:rsid w:val="413C37E5"/>
    <w:rsid w:val="413D1A37"/>
    <w:rsid w:val="413E41A3"/>
    <w:rsid w:val="41466412"/>
    <w:rsid w:val="415154E2"/>
    <w:rsid w:val="41517A02"/>
    <w:rsid w:val="41594397"/>
    <w:rsid w:val="41676AB4"/>
    <w:rsid w:val="4168454F"/>
    <w:rsid w:val="416C1102"/>
    <w:rsid w:val="416C231C"/>
    <w:rsid w:val="416E7E42"/>
    <w:rsid w:val="41791FEC"/>
    <w:rsid w:val="417B7A55"/>
    <w:rsid w:val="417C1E33"/>
    <w:rsid w:val="418A50C0"/>
    <w:rsid w:val="419453CF"/>
    <w:rsid w:val="419B49AF"/>
    <w:rsid w:val="419D4283"/>
    <w:rsid w:val="41A30C47"/>
    <w:rsid w:val="41AA074E"/>
    <w:rsid w:val="41B2453B"/>
    <w:rsid w:val="41B415CD"/>
    <w:rsid w:val="41B45A71"/>
    <w:rsid w:val="41B937DE"/>
    <w:rsid w:val="41C061C4"/>
    <w:rsid w:val="41C062D8"/>
    <w:rsid w:val="41CB02C1"/>
    <w:rsid w:val="41DC011D"/>
    <w:rsid w:val="41E719A3"/>
    <w:rsid w:val="41F12821"/>
    <w:rsid w:val="41FD4695"/>
    <w:rsid w:val="42067F1B"/>
    <w:rsid w:val="420F7212"/>
    <w:rsid w:val="42135A7B"/>
    <w:rsid w:val="421502BE"/>
    <w:rsid w:val="422F3D3C"/>
    <w:rsid w:val="42440BA3"/>
    <w:rsid w:val="424566C9"/>
    <w:rsid w:val="424741EF"/>
    <w:rsid w:val="424B2375"/>
    <w:rsid w:val="424C7A58"/>
    <w:rsid w:val="424D3136"/>
    <w:rsid w:val="424F77F4"/>
    <w:rsid w:val="425D1C65"/>
    <w:rsid w:val="42642FF3"/>
    <w:rsid w:val="426B4382"/>
    <w:rsid w:val="426C6036"/>
    <w:rsid w:val="42776622"/>
    <w:rsid w:val="427940C2"/>
    <w:rsid w:val="428E5903"/>
    <w:rsid w:val="429127FB"/>
    <w:rsid w:val="42991F95"/>
    <w:rsid w:val="429B3C85"/>
    <w:rsid w:val="42A55D82"/>
    <w:rsid w:val="42A96C58"/>
    <w:rsid w:val="42B15B0D"/>
    <w:rsid w:val="42B20202"/>
    <w:rsid w:val="42C10446"/>
    <w:rsid w:val="42C35F6C"/>
    <w:rsid w:val="42D02437"/>
    <w:rsid w:val="42DC527F"/>
    <w:rsid w:val="42DE2DA6"/>
    <w:rsid w:val="42E3660E"/>
    <w:rsid w:val="42EA174A"/>
    <w:rsid w:val="42FC147E"/>
    <w:rsid w:val="42FE51F6"/>
    <w:rsid w:val="43014CE6"/>
    <w:rsid w:val="43095949"/>
    <w:rsid w:val="430B346F"/>
    <w:rsid w:val="430F2159"/>
    <w:rsid w:val="43100A85"/>
    <w:rsid w:val="43150FF8"/>
    <w:rsid w:val="4320784B"/>
    <w:rsid w:val="432664FB"/>
    <w:rsid w:val="43266633"/>
    <w:rsid w:val="432835F9"/>
    <w:rsid w:val="432A5FEB"/>
    <w:rsid w:val="43302ED5"/>
    <w:rsid w:val="43371E54"/>
    <w:rsid w:val="433E1A96"/>
    <w:rsid w:val="434A21E9"/>
    <w:rsid w:val="434D6E53"/>
    <w:rsid w:val="434F2450"/>
    <w:rsid w:val="435A033A"/>
    <w:rsid w:val="43635059"/>
    <w:rsid w:val="4366315A"/>
    <w:rsid w:val="436F550E"/>
    <w:rsid w:val="43707776"/>
    <w:rsid w:val="43730F1B"/>
    <w:rsid w:val="43754D8C"/>
    <w:rsid w:val="43805C0B"/>
    <w:rsid w:val="43806636"/>
    <w:rsid w:val="438A6A89"/>
    <w:rsid w:val="438D657A"/>
    <w:rsid w:val="439D2871"/>
    <w:rsid w:val="439D67BD"/>
    <w:rsid w:val="43A63197"/>
    <w:rsid w:val="43A833B4"/>
    <w:rsid w:val="43AC4C52"/>
    <w:rsid w:val="43B21C1C"/>
    <w:rsid w:val="43B35E9F"/>
    <w:rsid w:val="43B6162D"/>
    <w:rsid w:val="43B908FD"/>
    <w:rsid w:val="43C006FD"/>
    <w:rsid w:val="43C058D0"/>
    <w:rsid w:val="43C7383A"/>
    <w:rsid w:val="43CE1D9C"/>
    <w:rsid w:val="43CE3691"/>
    <w:rsid w:val="43CF0940"/>
    <w:rsid w:val="43DB72E5"/>
    <w:rsid w:val="43E02704"/>
    <w:rsid w:val="43E62A51"/>
    <w:rsid w:val="43E837B0"/>
    <w:rsid w:val="43EE526A"/>
    <w:rsid w:val="440305EA"/>
    <w:rsid w:val="44030A1A"/>
    <w:rsid w:val="44191BBB"/>
    <w:rsid w:val="441D5B50"/>
    <w:rsid w:val="44250560"/>
    <w:rsid w:val="442A3DC9"/>
    <w:rsid w:val="443561AE"/>
    <w:rsid w:val="443F5AC6"/>
    <w:rsid w:val="444020F3"/>
    <w:rsid w:val="444255B6"/>
    <w:rsid w:val="444924A1"/>
    <w:rsid w:val="4449710E"/>
    <w:rsid w:val="444A6219"/>
    <w:rsid w:val="445350CD"/>
    <w:rsid w:val="44564BBE"/>
    <w:rsid w:val="4456696C"/>
    <w:rsid w:val="44615A3C"/>
    <w:rsid w:val="44692B43"/>
    <w:rsid w:val="446948F1"/>
    <w:rsid w:val="446B0669"/>
    <w:rsid w:val="447137A5"/>
    <w:rsid w:val="447339C1"/>
    <w:rsid w:val="44780FD8"/>
    <w:rsid w:val="4478334A"/>
    <w:rsid w:val="447F4114"/>
    <w:rsid w:val="448434D9"/>
    <w:rsid w:val="44870FFE"/>
    <w:rsid w:val="4487121B"/>
    <w:rsid w:val="449556E6"/>
    <w:rsid w:val="449A0F4E"/>
    <w:rsid w:val="449B0822"/>
    <w:rsid w:val="449C4978"/>
    <w:rsid w:val="44B10046"/>
    <w:rsid w:val="44B85878"/>
    <w:rsid w:val="44C10289"/>
    <w:rsid w:val="44C366CD"/>
    <w:rsid w:val="44C90306"/>
    <w:rsid w:val="44D53D34"/>
    <w:rsid w:val="44DC3315"/>
    <w:rsid w:val="44E1092B"/>
    <w:rsid w:val="44E346A3"/>
    <w:rsid w:val="44EE129A"/>
    <w:rsid w:val="44F93EC7"/>
    <w:rsid w:val="45110B6F"/>
    <w:rsid w:val="45126D36"/>
    <w:rsid w:val="45181E73"/>
    <w:rsid w:val="451D704F"/>
    <w:rsid w:val="45294080"/>
    <w:rsid w:val="452D1DC2"/>
    <w:rsid w:val="45513D03"/>
    <w:rsid w:val="455410FD"/>
    <w:rsid w:val="4557299B"/>
    <w:rsid w:val="455E1F7C"/>
    <w:rsid w:val="456E7B7F"/>
    <w:rsid w:val="4574354D"/>
    <w:rsid w:val="4577128F"/>
    <w:rsid w:val="457E43CC"/>
    <w:rsid w:val="45837C34"/>
    <w:rsid w:val="458A0FC3"/>
    <w:rsid w:val="458F6464"/>
    <w:rsid w:val="45947AA2"/>
    <w:rsid w:val="45A55DFD"/>
    <w:rsid w:val="45A65905"/>
    <w:rsid w:val="45A73923"/>
    <w:rsid w:val="45AA51C1"/>
    <w:rsid w:val="45AB5629"/>
    <w:rsid w:val="45AF27D7"/>
    <w:rsid w:val="45B765BF"/>
    <w:rsid w:val="45B85B30"/>
    <w:rsid w:val="45BE2A1A"/>
    <w:rsid w:val="45CD7101"/>
    <w:rsid w:val="45D40490"/>
    <w:rsid w:val="45D73ADC"/>
    <w:rsid w:val="45D93CF8"/>
    <w:rsid w:val="45DF26BA"/>
    <w:rsid w:val="45E2495B"/>
    <w:rsid w:val="45E62938"/>
    <w:rsid w:val="45E701C3"/>
    <w:rsid w:val="45E71F71"/>
    <w:rsid w:val="45E85CE9"/>
    <w:rsid w:val="45EE77A4"/>
    <w:rsid w:val="45FB77CB"/>
    <w:rsid w:val="46040D75"/>
    <w:rsid w:val="461D777A"/>
    <w:rsid w:val="461F36AB"/>
    <w:rsid w:val="46204886"/>
    <w:rsid w:val="46205483"/>
    <w:rsid w:val="462140AB"/>
    <w:rsid w:val="4624159C"/>
    <w:rsid w:val="462C7812"/>
    <w:rsid w:val="462E7BA0"/>
    <w:rsid w:val="46314C93"/>
    <w:rsid w:val="463F7FFF"/>
    <w:rsid w:val="46405B25"/>
    <w:rsid w:val="46560EA5"/>
    <w:rsid w:val="465D2233"/>
    <w:rsid w:val="4660622F"/>
    <w:rsid w:val="46715CDF"/>
    <w:rsid w:val="4678706D"/>
    <w:rsid w:val="4686357E"/>
    <w:rsid w:val="468C4D43"/>
    <w:rsid w:val="468F446C"/>
    <w:rsid w:val="46956108"/>
    <w:rsid w:val="469C1EF7"/>
    <w:rsid w:val="469F284C"/>
    <w:rsid w:val="46A169D1"/>
    <w:rsid w:val="46A55988"/>
    <w:rsid w:val="46AB382E"/>
    <w:rsid w:val="46AE0CE1"/>
    <w:rsid w:val="46AE2A8F"/>
    <w:rsid w:val="46B02CAB"/>
    <w:rsid w:val="46B11CD5"/>
    <w:rsid w:val="46B213EB"/>
    <w:rsid w:val="46B219B1"/>
    <w:rsid w:val="46B56CE2"/>
    <w:rsid w:val="46BA7686"/>
    <w:rsid w:val="46BC1650"/>
    <w:rsid w:val="46C40504"/>
    <w:rsid w:val="46C93D6D"/>
    <w:rsid w:val="46CD3E5D"/>
    <w:rsid w:val="46CE3131"/>
    <w:rsid w:val="46D36999"/>
    <w:rsid w:val="46E110B6"/>
    <w:rsid w:val="46E45B07"/>
    <w:rsid w:val="46E46CF4"/>
    <w:rsid w:val="46E5200E"/>
    <w:rsid w:val="46E76ED6"/>
    <w:rsid w:val="46F30DEA"/>
    <w:rsid w:val="46F96400"/>
    <w:rsid w:val="46FD7572"/>
    <w:rsid w:val="47007645"/>
    <w:rsid w:val="470152B5"/>
    <w:rsid w:val="47022DDB"/>
    <w:rsid w:val="470D3C59"/>
    <w:rsid w:val="47135006"/>
    <w:rsid w:val="47170634"/>
    <w:rsid w:val="47190850"/>
    <w:rsid w:val="471E7C15"/>
    <w:rsid w:val="472114B3"/>
    <w:rsid w:val="4729480B"/>
    <w:rsid w:val="472E3BD0"/>
    <w:rsid w:val="47332D0D"/>
    <w:rsid w:val="473965AC"/>
    <w:rsid w:val="473A4323"/>
    <w:rsid w:val="473C62ED"/>
    <w:rsid w:val="47413903"/>
    <w:rsid w:val="47451645"/>
    <w:rsid w:val="47484C91"/>
    <w:rsid w:val="47486A40"/>
    <w:rsid w:val="474D609A"/>
    <w:rsid w:val="475310A4"/>
    <w:rsid w:val="47571378"/>
    <w:rsid w:val="475A49C5"/>
    <w:rsid w:val="475C24EB"/>
    <w:rsid w:val="47617B01"/>
    <w:rsid w:val="47655843"/>
    <w:rsid w:val="477F61D9"/>
    <w:rsid w:val="4783216D"/>
    <w:rsid w:val="478C7274"/>
    <w:rsid w:val="47941C85"/>
    <w:rsid w:val="479B1265"/>
    <w:rsid w:val="47A04ACD"/>
    <w:rsid w:val="47A53E92"/>
    <w:rsid w:val="47A619B8"/>
    <w:rsid w:val="47B1557B"/>
    <w:rsid w:val="47B440D5"/>
    <w:rsid w:val="47C84024"/>
    <w:rsid w:val="47C87B80"/>
    <w:rsid w:val="47CF53B3"/>
    <w:rsid w:val="47D77DC3"/>
    <w:rsid w:val="47D957D9"/>
    <w:rsid w:val="47DB78B4"/>
    <w:rsid w:val="47DD2AE2"/>
    <w:rsid w:val="47E86474"/>
    <w:rsid w:val="47F15329"/>
    <w:rsid w:val="47F941DE"/>
    <w:rsid w:val="48084421"/>
    <w:rsid w:val="481D7ECC"/>
    <w:rsid w:val="48205C0E"/>
    <w:rsid w:val="48275E38"/>
    <w:rsid w:val="482D3E87"/>
    <w:rsid w:val="48396CD0"/>
    <w:rsid w:val="48593CB8"/>
    <w:rsid w:val="485B09F4"/>
    <w:rsid w:val="48691363"/>
    <w:rsid w:val="48695BB6"/>
    <w:rsid w:val="48704B63"/>
    <w:rsid w:val="48741AB6"/>
    <w:rsid w:val="487B1097"/>
    <w:rsid w:val="488066AD"/>
    <w:rsid w:val="488132AE"/>
    <w:rsid w:val="4887756F"/>
    <w:rsid w:val="489511B7"/>
    <w:rsid w:val="48967C7F"/>
    <w:rsid w:val="489D100D"/>
    <w:rsid w:val="48A31080"/>
    <w:rsid w:val="48A73C3A"/>
    <w:rsid w:val="48A95C04"/>
    <w:rsid w:val="48B12D0A"/>
    <w:rsid w:val="48B325DE"/>
    <w:rsid w:val="48B3438D"/>
    <w:rsid w:val="48B56357"/>
    <w:rsid w:val="48C72974"/>
    <w:rsid w:val="48C87DC6"/>
    <w:rsid w:val="48CB3DCC"/>
    <w:rsid w:val="48CC52C9"/>
    <w:rsid w:val="48D22655"/>
    <w:rsid w:val="48D507A7"/>
    <w:rsid w:val="48E179B5"/>
    <w:rsid w:val="48EC3D42"/>
    <w:rsid w:val="48ED5C27"/>
    <w:rsid w:val="48EE1869"/>
    <w:rsid w:val="48FD1AAC"/>
    <w:rsid w:val="48FF5824"/>
    <w:rsid w:val="49025314"/>
    <w:rsid w:val="491312CF"/>
    <w:rsid w:val="49153B3D"/>
    <w:rsid w:val="491C63D6"/>
    <w:rsid w:val="49211C3E"/>
    <w:rsid w:val="49213B85"/>
    <w:rsid w:val="49261002"/>
    <w:rsid w:val="49262DB0"/>
    <w:rsid w:val="493B29F8"/>
    <w:rsid w:val="493B7D34"/>
    <w:rsid w:val="493C4382"/>
    <w:rsid w:val="49431BB4"/>
    <w:rsid w:val="49492F43"/>
    <w:rsid w:val="49493E2D"/>
    <w:rsid w:val="49543DC1"/>
    <w:rsid w:val="49575660"/>
    <w:rsid w:val="49627B61"/>
    <w:rsid w:val="49635DB3"/>
    <w:rsid w:val="496930A0"/>
    <w:rsid w:val="4970227E"/>
    <w:rsid w:val="49753D38"/>
    <w:rsid w:val="49776998"/>
    <w:rsid w:val="49804BB7"/>
    <w:rsid w:val="498521CD"/>
    <w:rsid w:val="49891591"/>
    <w:rsid w:val="498941CE"/>
    <w:rsid w:val="49900B72"/>
    <w:rsid w:val="49902920"/>
    <w:rsid w:val="49983D15"/>
    <w:rsid w:val="49986FEF"/>
    <w:rsid w:val="499B66D1"/>
    <w:rsid w:val="49A602B1"/>
    <w:rsid w:val="49A60395"/>
    <w:rsid w:val="49A62143"/>
    <w:rsid w:val="49AD1A74"/>
    <w:rsid w:val="49AD7151"/>
    <w:rsid w:val="49AF724A"/>
    <w:rsid w:val="49B26D3A"/>
    <w:rsid w:val="49B669D0"/>
    <w:rsid w:val="49B900C8"/>
    <w:rsid w:val="49BB5BEF"/>
    <w:rsid w:val="49C16F7D"/>
    <w:rsid w:val="49C27BC8"/>
    <w:rsid w:val="49C528B7"/>
    <w:rsid w:val="49D56585"/>
    <w:rsid w:val="49D62A28"/>
    <w:rsid w:val="49E90277"/>
    <w:rsid w:val="49EE2079"/>
    <w:rsid w:val="49EE3C02"/>
    <w:rsid w:val="49F44C5D"/>
    <w:rsid w:val="49F7474D"/>
    <w:rsid w:val="49FE3D2D"/>
    <w:rsid w:val="49FE7E9D"/>
    <w:rsid w:val="4A007AA5"/>
    <w:rsid w:val="4A0A26D2"/>
    <w:rsid w:val="4A0D3F70"/>
    <w:rsid w:val="4A164F1E"/>
    <w:rsid w:val="4A1777A5"/>
    <w:rsid w:val="4A1E7312"/>
    <w:rsid w:val="4A411F8A"/>
    <w:rsid w:val="4A484FA8"/>
    <w:rsid w:val="4A4D20C8"/>
    <w:rsid w:val="4A4F27DB"/>
    <w:rsid w:val="4A4F6337"/>
    <w:rsid w:val="4A510301"/>
    <w:rsid w:val="4A5120AF"/>
    <w:rsid w:val="4A563B69"/>
    <w:rsid w:val="4A58343D"/>
    <w:rsid w:val="4A590F64"/>
    <w:rsid w:val="4A595408"/>
    <w:rsid w:val="4A677B24"/>
    <w:rsid w:val="4A6A13C3"/>
    <w:rsid w:val="4A6A3171"/>
    <w:rsid w:val="4A78588E"/>
    <w:rsid w:val="4A8C178D"/>
    <w:rsid w:val="4A957EA7"/>
    <w:rsid w:val="4A987CDE"/>
    <w:rsid w:val="4AA743C5"/>
    <w:rsid w:val="4AA77F21"/>
    <w:rsid w:val="4AAC469A"/>
    <w:rsid w:val="4AAE0207"/>
    <w:rsid w:val="4AB50890"/>
    <w:rsid w:val="4ACE54AE"/>
    <w:rsid w:val="4AD30D16"/>
    <w:rsid w:val="4AD36F68"/>
    <w:rsid w:val="4AD4683C"/>
    <w:rsid w:val="4AD66A58"/>
    <w:rsid w:val="4ADA6548"/>
    <w:rsid w:val="4ADB5E1D"/>
    <w:rsid w:val="4AE253FD"/>
    <w:rsid w:val="4AE66C9B"/>
    <w:rsid w:val="4AE83105"/>
    <w:rsid w:val="4AE922E8"/>
    <w:rsid w:val="4AEC002A"/>
    <w:rsid w:val="4AEC627C"/>
    <w:rsid w:val="4AEE3DA2"/>
    <w:rsid w:val="4B005883"/>
    <w:rsid w:val="4B0210D9"/>
    <w:rsid w:val="4B03697B"/>
    <w:rsid w:val="4B0A0398"/>
    <w:rsid w:val="4B0D55E9"/>
    <w:rsid w:val="4B1120E0"/>
    <w:rsid w:val="4B112A5C"/>
    <w:rsid w:val="4B1650A7"/>
    <w:rsid w:val="4B1D01E3"/>
    <w:rsid w:val="4B1F03FF"/>
    <w:rsid w:val="4B245A16"/>
    <w:rsid w:val="4B26639E"/>
    <w:rsid w:val="4B3223A6"/>
    <w:rsid w:val="4B337A07"/>
    <w:rsid w:val="4B3C2D5F"/>
    <w:rsid w:val="4B4439C2"/>
    <w:rsid w:val="4B4B6FF5"/>
    <w:rsid w:val="4B4D4416"/>
    <w:rsid w:val="4B6202EC"/>
    <w:rsid w:val="4B6B53F2"/>
    <w:rsid w:val="4B716A27"/>
    <w:rsid w:val="4B72052F"/>
    <w:rsid w:val="4B747624"/>
    <w:rsid w:val="4B83098E"/>
    <w:rsid w:val="4B8B15F1"/>
    <w:rsid w:val="4B9009B5"/>
    <w:rsid w:val="4BA40904"/>
    <w:rsid w:val="4BA426B2"/>
    <w:rsid w:val="4BA97D25"/>
    <w:rsid w:val="4BAB3A41"/>
    <w:rsid w:val="4BB74194"/>
    <w:rsid w:val="4BC15012"/>
    <w:rsid w:val="4BC36FDC"/>
    <w:rsid w:val="4BC62629"/>
    <w:rsid w:val="4BC82908"/>
    <w:rsid w:val="4BCF3BD3"/>
    <w:rsid w:val="4BD317B2"/>
    <w:rsid w:val="4BF70A34"/>
    <w:rsid w:val="4BF74ED8"/>
    <w:rsid w:val="4BF90C50"/>
    <w:rsid w:val="4BF947AC"/>
    <w:rsid w:val="4BFE6267"/>
    <w:rsid w:val="4C011C05"/>
    <w:rsid w:val="4C013661"/>
    <w:rsid w:val="4C0C6E6A"/>
    <w:rsid w:val="4C0F5D7E"/>
    <w:rsid w:val="4C126492"/>
    <w:rsid w:val="4C1415E6"/>
    <w:rsid w:val="4C147838"/>
    <w:rsid w:val="4C181799"/>
    <w:rsid w:val="4C1E0043"/>
    <w:rsid w:val="4C1F5F28"/>
    <w:rsid w:val="4C213D03"/>
    <w:rsid w:val="4C263D61"/>
    <w:rsid w:val="4C26756B"/>
    <w:rsid w:val="4C286E44"/>
    <w:rsid w:val="4C2D08FA"/>
    <w:rsid w:val="4C2E0385"/>
    <w:rsid w:val="4C2F185F"/>
    <w:rsid w:val="4C3E6663"/>
    <w:rsid w:val="4C4023DB"/>
    <w:rsid w:val="4C430199"/>
    <w:rsid w:val="4C455DA5"/>
    <w:rsid w:val="4C585052"/>
    <w:rsid w:val="4C602A7D"/>
    <w:rsid w:val="4C65708E"/>
    <w:rsid w:val="4C6F4A6E"/>
    <w:rsid w:val="4C73584B"/>
    <w:rsid w:val="4C7402D7"/>
    <w:rsid w:val="4C742419"/>
    <w:rsid w:val="4C7434D7"/>
    <w:rsid w:val="4C7622A1"/>
    <w:rsid w:val="4C7D477D"/>
    <w:rsid w:val="4C8229F4"/>
    <w:rsid w:val="4C91638B"/>
    <w:rsid w:val="4C961625"/>
    <w:rsid w:val="4C983FC5"/>
    <w:rsid w:val="4C9A68E4"/>
    <w:rsid w:val="4C9E7102"/>
    <w:rsid w:val="4CA311D2"/>
    <w:rsid w:val="4CA566E2"/>
    <w:rsid w:val="4CA961D2"/>
    <w:rsid w:val="4CAA1F4A"/>
    <w:rsid w:val="4CBB224D"/>
    <w:rsid w:val="4CC56D84"/>
    <w:rsid w:val="4CD34FFD"/>
    <w:rsid w:val="4CD46FC7"/>
    <w:rsid w:val="4CE865CF"/>
    <w:rsid w:val="4CE94821"/>
    <w:rsid w:val="4CEC2563"/>
    <w:rsid w:val="4CF3569F"/>
    <w:rsid w:val="4CF936CC"/>
    <w:rsid w:val="4CFB4554"/>
    <w:rsid w:val="4CFB6302"/>
    <w:rsid w:val="4CFD5D25"/>
    <w:rsid w:val="4D0A29E9"/>
    <w:rsid w:val="4D0F6F83"/>
    <w:rsid w:val="4D40640B"/>
    <w:rsid w:val="4D41465D"/>
    <w:rsid w:val="4D4759EB"/>
    <w:rsid w:val="4D5123C6"/>
    <w:rsid w:val="4D53613E"/>
    <w:rsid w:val="4D5D3C89"/>
    <w:rsid w:val="4D64034B"/>
    <w:rsid w:val="4D6807A3"/>
    <w:rsid w:val="4D6B1638"/>
    <w:rsid w:val="4D6D4EF7"/>
    <w:rsid w:val="4D6E2F78"/>
    <w:rsid w:val="4D6E5660"/>
    <w:rsid w:val="4D73058E"/>
    <w:rsid w:val="4D747E13"/>
    <w:rsid w:val="4D8067BB"/>
    <w:rsid w:val="4D896004"/>
    <w:rsid w:val="4D930C30"/>
    <w:rsid w:val="4D9421C3"/>
    <w:rsid w:val="4D9724CF"/>
    <w:rsid w:val="4DA10E76"/>
    <w:rsid w:val="4DA42E3E"/>
    <w:rsid w:val="4DA87C91"/>
    <w:rsid w:val="4DB017E2"/>
    <w:rsid w:val="4DB86EE9"/>
    <w:rsid w:val="4DB90697"/>
    <w:rsid w:val="4DD454D1"/>
    <w:rsid w:val="4DDC25D7"/>
    <w:rsid w:val="4DE4323A"/>
    <w:rsid w:val="4DEC4934"/>
    <w:rsid w:val="4E086F29"/>
    <w:rsid w:val="4E092CA1"/>
    <w:rsid w:val="4E0F02B7"/>
    <w:rsid w:val="4E11618F"/>
    <w:rsid w:val="4E121B55"/>
    <w:rsid w:val="4E191136"/>
    <w:rsid w:val="4E1C0C26"/>
    <w:rsid w:val="4E1D47A9"/>
    <w:rsid w:val="4E3917D8"/>
    <w:rsid w:val="4E3B5550"/>
    <w:rsid w:val="4E434405"/>
    <w:rsid w:val="4E4837C9"/>
    <w:rsid w:val="4E4F34B7"/>
    <w:rsid w:val="4E524648"/>
    <w:rsid w:val="4E555EE6"/>
    <w:rsid w:val="4E593C28"/>
    <w:rsid w:val="4E5C7274"/>
    <w:rsid w:val="4E5E4D9B"/>
    <w:rsid w:val="4E606D65"/>
    <w:rsid w:val="4E687D4E"/>
    <w:rsid w:val="4E6B74B7"/>
    <w:rsid w:val="4E701E39"/>
    <w:rsid w:val="4E740A62"/>
    <w:rsid w:val="4E742810"/>
    <w:rsid w:val="4E8011B5"/>
    <w:rsid w:val="4E9E5ADF"/>
    <w:rsid w:val="4EA74993"/>
    <w:rsid w:val="4EA86364"/>
    <w:rsid w:val="4EB96475"/>
    <w:rsid w:val="4EBA2D91"/>
    <w:rsid w:val="4EBB3F9B"/>
    <w:rsid w:val="4EC24E6D"/>
    <w:rsid w:val="4EC512BE"/>
    <w:rsid w:val="4EC8490A"/>
    <w:rsid w:val="4ECF0930"/>
    <w:rsid w:val="4ED41501"/>
    <w:rsid w:val="4ED51B1C"/>
    <w:rsid w:val="4ED65279"/>
    <w:rsid w:val="4ED908C5"/>
    <w:rsid w:val="4EDD03B5"/>
    <w:rsid w:val="4EE71C25"/>
    <w:rsid w:val="4EEC23A6"/>
    <w:rsid w:val="4EEF3A26"/>
    <w:rsid w:val="4EF120B3"/>
    <w:rsid w:val="4EF15C0F"/>
    <w:rsid w:val="4EF33EF0"/>
    <w:rsid w:val="4EFB6A8D"/>
    <w:rsid w:val="4EFF3268"/>
    <w:rsid w:val="4F0A6CD0"/>
    <w:rsid w:val="4F1163D7"/>
    <w:rsid w:val="4F1D4C56"/>
    <w:rsid w:val="4F2225E9"/>
    <w:rsid w:val="4F286CEC"/>
    <w:rsid w:val="4F2935FA"/>
    <w:rsid w:val="4F343D4D"/>
    <w:rsid w:val="4F3501F1"/>
    <w:rsid w:val="4F3D2C02"/>
    <w:rsid w:val="4F3E6201"/>
    <w:rsid w:val="4F3E697A"/>
    <w:rsid w:val="4F520BAF"/>
    <w:rsid w:val="4F552641"/>
    <w:rsid w:val="4F5543EF"/>
    <w:rsid w:val="4F560168"/>
    <w:rsid w:val="4F5604D8"/>
    <w:rsid w:val="4F5D32A4"/>
    <w:rsid w:val="4F5E26CB"/>
    <w:rsid w:val="4F6B3C13"/>
    <w:rsid w:val="4F6B59C1"/>
    <w:rsid w:val="4F6F4D85"/>
    <w:rsid w:val="4F710AFD"/>
    <w:rsid w:val="4F766114"/>
    <w:rsid w:val="4F79281D"/>
    <w:rsid w:val="4F79544D"/>
    <w:rsid w:val="4F7D1B1A"/>
    <w:rsid w:val="4F8143C9"/>
    <w:rsid w:val="4F824AB9"/>
    <w:rsid w:val="4F860A4D"/>
    <w:rsid w:val="4F8C5937"/>
    <w:rsid w:val="4F8E75F4"/>
    <w:rsid w:val="4F8F7D9A"/>
    <w:rsid w:val="4F9071D6"/>
    <w:rsid w:val="4F9860D3"/>
    <w:rsid w:val="4F9F4AC8"/>
    <w:rsid w:val="4FAB19F7"/>
    <w:rsid w:val="4FB21842"/>
    <w:rsid w:val="4FB70C06"/>
    <w:rsid w:val="4FBA22D4"/>
    <w:rsid w:val="4FC21359"/>
    <w:rsid w:val="4FCB17F0"/>
    <w:rsid w:val="4FD51FF0"/>
    <w:rsid w:val="4FD657AD"/>
    <w:rsid w:val="4FDA2B47"/>
    <w:rsid w:val="4FDD43E5"/>
    <w:rsid w:val="4FDF63AF"/>
    <w:rsid w:val="4FE76DCB"/>
    <w:rsid w:val="4FEA6D37"/>
    <w:rsid w:val="4FEE256D"/>
    <w:rsid w:val="4FF77255"/>
    <w:rsid w:val="4FFF25AD"/>
    <w:rsid w:val="4FFF442F"/>
    <w:rsid w:val="50025BF9"/>
    <w:rsid w:val="50086D8C"/>
    <w:rsid w:val="50096F88"/>
    <w:rsid w:val="500B2D00"/>
    <w:rsid w:val="50131BB5"/>
    <w:rsid w:val="501716A5"/>
    <w:rsid w:val="501778F7"/>
    <w:rsid w:val="501871CB"/>
    <w:rsid w:val="5019541D"/>
    <w:rsid w:val="501A6C83"/>
    <w:rsid w:val="50210776"/>
    <w:rsid w:val="5023004A"/>
    <w:rsid w:val="502344EE"/>
    <w:rsid w:val="50317576"/>
    <w:rsid w:val="5032028D"/>
    <w:rsid w:val="50334005"/>
    <w:rsid w:val="50353782"/>
    <w:rsid w:val="50357D7D"/>
    <w:rsid w:val="503B1837"/>
    <w:rsid w:val="50422394"/>
    <w:rsid w:val="504306EC"/>
    <w:rsid w:val="504B57F2"/>
    <w:rsid w:val="504F0080"/>
    <w:rsid w:val="50501920"/>
    <w:rsid w:val="50526B81"/>
    <w:rsid w:val="50650662"/>
    <w:rsid w:val="50687CFD"/>
    <w:rsid w:val="506E3026"/>
    <w:rsid w:val="506F7733"/>
    <w:rsid w:val="50720FD1"/>
    <w:rsid w:val="50795EBC"/>
    <w:rsid w:val="50840AEA"/>
    <w:rsid w:val="50843944"/>
    <w:rsid w:val="50900FB2"/>
    <w:rsid w:val="50926F7D"/>
    <w:rsid w:val="50962F12"/>
    <w:rsid w:val="509E5922"/>
    <w:rsid w:val="50AC2B38"/>
    <w:rsid w:val="50AC5CBB"/>
    <w:rsid w:val="50AF7B2F"/>
    <w:rsid w:val="50B11AF9"/>
    <w:rsid w:val="50B769E4"/>
    <w:rsid w:val="50C1503F"/>
    <w:rsid w:val="50C64E79"/>
    <w:rsid w:val="50C80BF1"/>
    <w:rsid w:val="50CA443A"/>
    <w:rsid w:val="50CF01D2"/>
    <w:rsid w:val="50DD469C"/>
    <w:rsid w:val="50E023DF"/>
    <w:rsid w:val="50E05F3B"/>
    <w:rsid w:val="50E13A61"/>
    <w:rsid w:val="50E21CB3"/>
    <w:rsid w:val="50E579F5"/>
    <w:rsid w:val="50E772C9"/>
    <w:rsid w:val="50EF2CE6"/>
    <w:rsid w:val="50F33EC0"/>
    <w:rsid w:val="50F814D6"/>
    <w:rsid w:val="510C6D30"/>
    <w:rsid w:val="51136310"/>
    <w:rsid w:val="51143E36"/>
    <w:rsid w:val="51181B78"/>
    <w:rsid w:val="511B51C5"/>
    <w:rsid w:val="511D7CE2"/>
    <w:rsid w:val="51201EC9"/>
    <w:rsid w:val="51256043"/>
    <w:rsid w:val="51273B6A"/>
    <w:rsid w:val="512C2F2E"/>
    <w:rsid w:val="512F2A1E"/>
    <w:rsid w:val="51355910"/>
    <w:rsid w:val="51385D77"/>
    <w:rsid w:val="513C2BDE"/>
    <w:rsid w:val="51426BF5"/>
    <w:rsid w:val="5147420C"/>
    <w:rsid w:val="515058A2"/>
    <w:rsid w:val="51510BE7"/>
    <w:rsid w:val="51537E33"/>
    <w:rsid w:val="515406D7"/>
    <w:rsid w:val="51586419"/>
    <w:rsid w:val="51623281"/>
    <w:rsid w:val="51626A1E"/>
    <w:rsid w:val="516C77CE"/>
    <w:rsid w:val="517171CD"/>
    <w:rsid w:val="51764AF1"/>
    <w:rsid w:val="51773E85"/>
    <w:rsid w:val="517A638F"/>
    <w:rsid w:val="5180629F"/>
    <w:rsid w:val="518A5EA7"/>
    <w:rsid w:val="518B7878"/>
    <w:rsid w:val="51937451"/>
    <w:rsid w:val="5198665F"/>
    <w:rsid w:val="51986815"/>
    <w:rsid w:val="519D3E2C"/>
    <w:rsid w:val="519F0FD9"/>
    <w:rsid w:val="51A67184"/>
    <w:rsid w:val="51A95109"/>
    <w:rsid w:val="51B00003"/>
    <w:rsid w:val="51B11685"/>
    <w:rsid w:val="51B91F39"/>
    <w:rsid w:val="51BB2504"/>
    <w:rsid w:val="51C1023B"/>
    <w:rsid w:val="51DB6702"/>
    <w:rsid w:val="51DC4954"/>
    <w:rsid w:val="51DF61F2"/>
    <w:rsid w:val="51E414C7"/>
    <w:rsid w:val="51E43809"/>
    <w:rsid w:val="51ED6B61"/>
    <w:rsid w:val="51F16466"/>
    <w:rsid w:val="51F24A63"/>
    <w:rsid w:val="51F37EF0"/>
    <w:rsid w:val="51FC0D1B"/>
    <w:rsid w:val="521560E2"/>
    <w:rsid w:val="522F77FB"/>
    <w:rsid w:val="5232558C"/>
    <w:rsid w:val="523E0976"/>
    <w:rsid w:val="523F3135"/>
    <w:rsid w:val="52416EAD"/>
    <w:rsid w:val="524349D3"/>
    <w:rsid w:val="524650F1"/>
    <w:rsid w:val="52552958"/>
    <w:rsid w:val="52581974"/>
    <w:rsid w:val="525A2C8C"/>
    <w:rsid w:val="525A3ACB"/>
    <w:rsid w:val="52606411"/>
    <w:rsid w:val="526861E8"/>
    <w:rsid w:val="527517B2"/>
    <w:rsid w:val="52903E3F"/>
    <w:rsid w:val="52943A98"/>
    <w:rsid w:val="529945F3"/>
    <w:rsid w:val="529E42FF"/>
    <w:rsid w:val="52AB4326"/>
    <w:rsid w:val="52AD009F"/>
    <w:rsid w:val="52B47467"/>
    <w:rsid w:val="52B80643"/>
    <w:rsid w:val="52BB6C5F"/>
    <w:rsid w:val="52BE405A"/>
    <w:rsid w:val="52C33D66"/>
    <w:rsid w:val="52C378C2"/>
    <w:rsid w:val="52D27B05"/>
    <w:rsid w:val="52D47D21"/>
    <w:rsid w:val="52D970E6"/>
    <w:rsid w:val="52E15F9A"/>
    <w:rsid w:val="52F15916"/>
    <w:rsid w:val="52FC2DD4"/>
    <w:rsid w:val="52FE4D9E"/>
    <w:rsid w:val="52FF1EA9"/>
    <w:rsid w:val="53000B16"/>
    <w:rsid w:val="53014F31"/>
    <w:rsid w:val="530952D0"/>
    <w:rsid w:val="530B789E"/>
    <w:rsid w:val="530F158E"/>
    <w:rsid w:val="5316198D"/>
    <w:rsid w:val="53165C44"/>
    <w:rsid w:val="53185E60"/>
    <w:rsid w:val="532115A8"/>
    <w:rsid w:val="532A16EF"/>
    <w:rsid w:val="532D4F9D"/>
    <w:rsid w:val="533129FB"/>
    <w:rsid w:val="534E7AD3"/>
    <w:rsid w:val="53572473"/>
    <w:rsid w:val="53656BCB"/>
    <w:rsid w:val="536E4C47"/>
    <w:rsid w:val="53740BBC"/>
    <w:rsid w:val="537A4A16"/>
    <w:rsid w:val="5382777D"/>
    <w:rsid w:val="5386726D"/>
    <w:rsid w:val="538708F0"/>
    <w:rsid w:val="538E7ED0"/>
    <w:rsid w:val="5394300C"/>
    <w:rsid w:val="539B083F"/>
    <w:rsid w:val="539F3E8B"/>
    <w:rsid w:val="53A70F92"/>
    <w:rsid w:val="53AE2320"/>
    <w:rsid w:val="53AE40CE"/>
    <w:rsid w:val="53B042EA"/>
    <w:rsid w:val="53B536AF"/>
    <w:rsid w:val="53B813F1"/>
    <w:rsid w:val="53BA01AB"/>
    <w:rsid w:val="53C47D96"/>
    <w:rsid w:val="53DC4967"/>
    <w:rsid w:val="53DF697E"/>
    <w:rsid w:val="53EE096F"/>
    <w:rsid w:val="53F00B8B"/>
    <w:rsid w:val="53F8129A"/>
    <w:rsid w:val="53FC12DE"/>
    <w:rsid w:val="54014B46"/>
    <w:rsid w:val="540C5299"/>
    <w:rsid w:val="541C54DC"/>
    <w:rsid w:val="541F6D7A"/>
    <w:rsid w:val="54257FEE"/>
    <w:rsid w:val="542B531E"/>
    <w:rsid w:val="543F741C"/>
    <w:rsid w:val="54414F42"/>
    <w:rsid w:val="544D38E7"/>
    <w:rsid w:val="54557F4E"/>
    <w:rsid w:val="54596730"/>
    <w:rsid w:val="545A24A8"/>
    <w:rsid w:val="545D78A2"/>
    <w:rsid w:val="546155E5"/>
    <w:rsid w:val="546B6463"/>
    <w:rsid w:val="546D0228"/>
    <w:rsid w:val="546D5D37"/>
    <w:rsid w:val="547277F2"/>
    <w:rsid w:val="54774E08"/>
    <w:rsid w:val="54776BB6"/>
    <w:rsid w:val="547B3570"/>
    <w:rsid w:val="547C41CC"/>
    <w:rsid w:val="547E031E"/>
    <w:rsid w:val="54881C53"/>
    <w:rsid w:val="5492579E"/>
    <w:rsid w:val="54961B1B"/>
    <w:rsid w:val="549F7EBB"/>
    <w:rsid w:val="54A656ED"/>
    <w:rsid w:val="54AA72A7"/>
    <w:rsid w:val="54AB4AB2"/>
    <w:rsid w:val="54AD25D8"/>
    <w:rsid w:val="54B003AC"/>
    <w:rsid w:val="54B020C8"/>
    <w:rsid w:val="54B95421"/>
    <w:rsid w:val="54BB2F47"/>
    <w:rsid w:val="54D44008"/>
    <w:rsid w:val="54D67D81"/>
    <w:rsid w:val="54D82240"/>
    <w:rsid w:val="54D933CD"/>
    <w:rsid w:val="54E0475B"/>
    <w:rsid w:val="54E57FC4"/>
    <w:rsid w:val="54E67A16"/>
    <w:rsid w:val="54EB4EAE"/>
    <w:rsid w:val="54EF4290"/>
    <w:rsid w:val="54F333CC"/>
    <w:rsid w:val="54F40207"/>
    <w:rsid w:val="55055F70"/>
    <w:rsid w:val="55061CE8"/>
    <w:rsid w:val="552503C0"/>
    <w:rsid w:val="552D3719"/>
    <w:rsid w:val="552F7491"/>
    <w:rsid w:val="55480552"/>
    <w:rsid w:val="55491271"/>
    <w:rsid w:val="55594744"/>
    <w:rsid w:val="556709D9"/>
    <w:rsid w:val="55690BF5"/>
    <w:rsid w:val="556E7FB9"/>
    <w:rsid w:val="556F174F"/>
    <w:rsid w:val="55733821"/>
    <w:rsid w:val="55807CEC"/>
    <w:rsid w:val="55872E29"/>
    <w:rsid w:val="55874B82"/>
    <w:rsid w:val="558863EB"/>
    <w:rsid w:val="558A6D4D"/>
    <w:rsid w:val="55A559A5"/>
    <w:rsid w:val="55BD684B"/>
    <w:rsid w:val="55BE2D74"/>
    <w:rsid w:val="55C80000"/>
    <w:rsid w:val="55CC49ED"/>
    <w:rsid w:val="55CD0132"/>
    <w:rsid w:val="55D25DC0"/>
    <w:rsid w:val="55DA5AE4"/>
    <w:rsid w:val="55DB7A9A"/>
    <w:rsid w:val="55E62245"/>
    <w:rsid w:val="55E95892"/>
    <w:rsid w:val="55F06C20"/>
    <w:rsid w:val="55F54236"/>
    <w:rsid w:val="55F83D27"/>
    <w:rsid w:val="56097CE2"/>
    <w:rsid w:val="560E52F8"/>
    <w:rsid w:val="561548D9"/>
    <w:rsid w:val="56187D62"/>
    <w:rsid w:val="56226FF5"/>
    <w:rsid w:val="562661CB"/>
    <w:rsid w:val="562763BA"/>
    <w:rsid w:val="562C39D0"/>
    <w:rsid w:val="56352BBF"/>
    <w:rsid w:val="56360EAA"/>
    <w:rsid w:val="56372AA1"/>
    <w:rsid w:val="56382375"/>
    <w:rsid w:val="563B3C13"/>
    <w:rsid w:val="566C201F"/>
    <w:rsid w:val="566E5D97"/>
    <w:rsid w:val="568455BA"/>
    <w:rsid w:val="56AB6FEB"/>
    <w:rsid w:val="56AF0889"/>
    <w:rsid w:val="56B05FF1"/>
    <w:rsid w:val="56B12842"/>
    <w:rsid w:val="56B22127"/>
    <w:rsid w:val="56B539C6"/>
    <w:rsid w:val="56B75990"/>
    <w:rsid w:val="56B82115"/>
    <w:rsid w:val="56BA5480"/>
    <w:rsid w:val="56BC4D54"/>
    <w:rsid w:val="56C105BC"/>
    <w:rsid w:val="56C1236A"/>
    <w:rsid w:val="56C22086"/>
    <w:rsid w:val="56D57BC4"/>
    <w:rsid w:val="56D60142"/>
    <w:rsid w:val="56D93B58"/>
    <w:rsid w:val="56DE1C7D"/>
    <w:rsid w:val="56EA7B13"/>
    <w:rsid w:val="56EB388B"/>
    <w:rsid w:val="56ED4172"/>
    <w:rsid w:val="56F664B8"/>
    <w:rsid w:val="56F83C6E"/>
    <w:rsid w:val="56FE536D"/>
    <w:rsid w:val="56FF2E93"/>
    <w:rsid w:val="57014E5D"/>
    <w:rsid w:val="57016C0B"/>
    <w:rsid w:val="57081D47"/>
    <w:rsid w:val="570A5ABF"/>
    <w:rsid w:val="570D3802"/>
    <w:rsid w:val="570D735E"/>
    <w:rsid w:val="5712706A"/>
    <w:rsid w:val="57174E90"/>
    <w:rsid w:val="5717642E"/>
    <w:rsid w:val="571C57F3"/>
    <w:rsid w:val="57233025"/>
    <w:rsid w:val="572C26F1"/>
    <w:rsid w:val="57435475"/>
    <w:rsid w:val="57437223"/>
    <w:rsid w:val="574F7976"/>
    <w:rsid w:val="57517B92"/>
    <w:rsid w:val="57574A7D"/>
    <w:rsid w:val="5765363E"/>
    <w:rsid w:val="577B69BD"/>
    <w:rsid w:val="577E46FF"/>
    <w:rsid w:val="57811AFA"/>
    <w:rsid w:val="57831D16"/>
    <w:rsid w:val="57853398"/>
    <w:rsid w:val="57875362"/>
    <w:rsid w:val="579932E7"/>
    <w:rsid w:val="57A11467"/>
    <w:rsid w:val="57A83C72"/>
    <w:rsid w:val="57AC301B"/>
    <w:rsid w:val="57B34948"/>
    <w:rsid w:val="57B91294"/>
    <w:rsid w:val="57BE55F9"/>
    <w:rsid w:val="57C7015C"/>
    <w:rsid w:val="57C71C02"/>
    <w:rsid w:val="57CC546B"/>
    <w:rsid w:val="57CC7219"/>
    <w:rsid w:val="57CF2865"/>
    <w:rsid w:val="57DC667B"/>
    <w:rsid w:val="57F624E8"/>
    <w:rsid w:val="57F81DBC"/>
    <w:rsid w:val="57FF75EE"/>
    <w:rsid w:val="580805D6"/>
    <w:rsid w:val="580E7831"/>
    <w:rsid w:val="581F1A3E"/>
    <w:rsid w:val="58240E03"/>
    <w:rsid w:val="582901C7"/>
    <w:rsid w:val="58293F10"/>
    <w:rsid w:val="582A0C5B"/>
    <w:rsid w:val="582C10E4"/>
    <w:rsid w:val="582E3A30"/>
    <w:rsid w:val="5835393E"/>
    <w:rsid w:val="5838717D"/>
    <w:rsid w:val="58390195"/>
    <w:rsid w:val="5847689F"/>
    <w:rsid w:val="584A6390"/>
    <w:rsid w:val="585B234B"/>
    <w:rsid w:val="58613E05"/>
    <w:rsid w:val="58644EC9"/>
    <w:rsid w:val="58703ABC"/>
    <w:rsid w:val="58727DC0"/>
    <w:rsid w:val="5875165E"/>
    <w:rsid w:val="5886386C"/>
    <w:rsid w:val="58873140"/>
    <w:rsid w:val="58883BC4"/>
    <w:rsid w:val="58883F2F"/>
    <w:rsid w:val="58975A79"/>
    <w:rsid w:val="589921D9"/>
    <w:rsid w:val="58AB32D2"/>
    <w:rsid w:val="58AE691E"/>
    <w:rsid w:val="58AF60A7"/>
    <w:rsid w:val="58B403D0"/>
    <w:rsid w:val="58B46148"/>
    <w:rsid w:val="58C6010C"/>
    <w:rsid w:val="58C85C32"/>
    <w:rsid w:val="58C93758"/>
    <w:rsid w:val="58CA7BFC"/>
    <w:rsid w:val="58D04AE7"/>
    <w:rsid w:val="58D0677A"/>
    <w:rsid w:val="58D565A1"/>
    <w:rsid w:val="58D75E75"/>
    <w:rsid w:val="58D97E3F"/>
    <w:rsid w:val="58DC348C"/>
    <w:rsid w:val="58DE3C61"/>
    <w:rsid w:val="58E653B0"/>
    <w:rsid w:val="58E81E30"/>
    <w:rsid w:val="58E95BA9"/>
    <w:rsid w:val="58EA204C"/>
    <w:rsid w:val="58FE4684"/>
    <w:rsid w:val="59103135"/>
    <w:rsid w:val="591E5852"/>
    <w:rsid w:val="59205A6E"/>
    <w:rsid w:val="592310BA"/>
    <w:rsid w:val="5931369D"/>
    <w:rsid w:val="593A6404"/>
    <w:rsid w:val="593F1600"/>
    <w:rsid w:val="59486D73"/>
    <w:rsid w:val="594D6137"/>
    <w:rsid w:val="595207A9"/>
    <w:rsid w:val="5955323E"/>
    <w:rsid w:val="595A453E"/>
    <w:rsid w:val="595C281E"/>
    <w:rsid w:val="595E0345"/>
    <w:rsid w:val="59643FFD"/>
    <w:rsid w:val="59675F8A"/>
    <w:rsid w:val="59683F4D"/>
    <w:rsid w:val="596A0A97"/>
    <w:rsid w:val="597153D3"/>
    <w:rsid w:val="59725B9E"/>
    <w:rsid w:val="5975743C"/>
    <w:rsid w:val="59771406"/>
    <w:rsid w:val="597E2795"/>
    <w:rsid w:val="597E3DF0"/>
    <w:rsid w:val="59831B59"/>
    <w:rsid w:val="59851D75"/>
    <w:rsid w:val="598C3104"/>
    <w:rsid w:val="59945B14"/>
    <w:rsid w:val="59967ADE"/>
    <w:rsid w:val="59A651BB"/>
    <w:rsid w:val="59A90FE7"/>
    <w:rsid w:val="59AA358A"/>
    <w:rsid w:val="59AD307A"/>
    <w:rsid w:val="59B166C6"/>
    <w:rsid w:val="59B44408"/>
    <w:rsid w:val="59BB7545"/>
    <w:rsid w:val="59BE36AB"/>
    <w:rsid w:val="59C97EB4"/>
    <w:rsid w:val="59CC3500"/>
    <w:rsid w:val="59D91D45"/>
    <w:rsid w:val="59DA71C6"/>
    <w:rsid w:val="59E00D5A"/>
    <w:rsid w:val="59EF5441"/>
    <w:rsid w:val="59F111B9"/>
    <w:rsid w:val="59FE7432"/>
    <w:rsid w:val="59FF1782"/>
    <w:rsid w:val="5A032C9A"/>
    <w:rsid w:val="5A0529AB"/>
    <w:rsid w:val="5A0A3C4C"/>
    <w:rsid w:val="5A0E3B19"/>
    <w:rsid w:val="5A137381"/>
    <w:rsid w:val="5A307F33"/>
    <w:rsid w:val="5A3A2B60"/>
    <w:rsid w:val="5A3B0686"/>
    <w:rsid w:val="5A3B2A7A"/>
    <w:rsid w:val="5A427C66"/>
    <w:rsid w:val="5A5356C4"/>
    <w:rsid w:val="5A56101C"/>
    <w:rsid w:val="5A5B1143"/>
    <w:rsid w:val="5A5F5231"/>
    <w:rsid w:val="5A6D73EE"/>
    <w:rsid w:val="5A6E0A5B"/>
    <w:rsid w:val="5A755946"/>
    <w:rsid w:val="5A775A39"/>
    <w:rsid w:val="5A79768C"/>
    <w:rsid w:val="5A7B6CD4"/>
    <w:rsid w:val="5A7E49A3"/>
    <w:rsid w:val="5A821E11"/>
    <w:rsid w:val="5A902780"/>
    <w:rsid w:val="5A963B0E"/>
    <w:rsid w:val="5A9761F4"/>
    <w:rsid w:val="5A9868E8"/>
    <w:rsid w:val="5A9A53AC"/>
    <w:rsid w:val="5AA02F74"/>
    <w:rsid w:val="5AA47895"/>
    <w:rsid w:val="5AAD190B"/>
    <w:rsid w:val="5AB0697E"/>
    <w:rsid w:val="5ABC17C7"/>
    <w:rsid w:val="5ABD553F"/>
    <w:rsid w:val="5AC10B8B"/>
    <w:rsid w:val="5AC93EE4"/>
    <w:rsid w:val="5AC97A40"/>
    <w:rsid w:val="5ACB37B8"/>
    <w:rsid w:val="5ACC7DEC"/>
    <w:rsid w:val="5ACE32A8"/>
    <w:rsid w:val="5AD13F57"/>
    <w:rsid w:val="5AD3266C"/>
    <w:rsid w:val="5AD85ED5"/>
    <w:rsid w:val="5ADA1C4D"/>
    <w:rsid w:val="5ADD173D"/>
    <w:rsid w:val="5B04316E"/>
    <w:rsid w:val="5B060C94"/>
    <w:rsid w:val="5B0A0784"/>
    <w:rsid w:val="5B0B4120"/>
    <w:rsid w:val="5B182775"/>
    <w:rsid w:val="5B1A473F"/>
    <w:rsid w:val="5B1F3B03"/>
    <w:rsid w:val="5B231846"/>
    <w:rsid w:val="5B244E37"/>
    <w:rsid w:val="5B2829B8"/>
    <w:rsid w:val="5B294982"/>
    <w:rsid w:val="5B2A2BD4"/>
    <w:rsid w:val="5B2D6220"/>
    <w:rsid w:val="5B323837"/>
    <w:rsid w:val="5B33135D"/>
    <w:rsid w:val="5B336FCD"/>
    <w:rsid w:val="5B3A26EB"/>
    <w:rsid w:val="5B3C6463"/>
    <w:rsid w:val="5B3E50D0"/>
    <w:rsid w:val="5B44356A"/>
    <w:rsid w:val="5B4517BC"/>
    <w:rsid w:val="5B465534"/>
    <w:rsid w:val="5B57504B"/>
    <w:rsid w:val="5B5D51E5"/>
    <w:rsid w:val="5B682969"/>
    <w:rsid w:val="5B692E31"/>
    <w:rsid w:val="5B743E4F"/>
    <w:rsid w:val="5B751975"/>
    <w:rsid w:val="5B791466"/>
    <w:rsid w:val="5B8322E4"/>
    <w:rsid w:val="5B8A3673"/>
    <w:rsid w:val="5B975D90"/>
    <w:rsid w:val="5B991B08"/>
    <w:rsid w:val="5BA81D4B"/>
    <w:rsid w:val="5BC40E77"/>
    <w:rsid w:val="5BC6626E"/>
    <w:rsid w:val="5BC70423"/>
    <w:rsid w:val="5BD40D92"/>
    <w:rsid w:val="5BD65D9F"/>
    <w:rsid w:val="5BE014E5"/>
    <w:rsid w:val="5BE03293"/>
    <w:rsid w:val="5BE15DD7"/>
    <w:rsid w:val="5BE8081F"/>
    <w:rsid w:val="5BE80961"/>
    <w:rsid w:val="5BED08DD"/>
    <w:rsid w:val="5BF1724E"/>
    <w:rsid w:val="5BF26BAF"/>
    <w:rsid w:val="5BF40AEC"/>
    <w:rsid w:val="5BF97A64"/>
    <w:rsid w:val="5C043425"/>
    <w:rsid w:val="5C074CC3"/>
    <w:rsid w:val="5C2018E1"/>
    <w:rsid w:val="5C251F15"/>
    <w:rsid w:val="5C2F7D76"/>
    <w:rsid w:val="5C313AEE"/>
    <w:rsid w:val="5C367357"/>
    <w:rsid w:val="5C3776A6"/>
    <w:rsid w:val="5C3A6E47"/>
    <w:rsid w:val="5C3E7D5D"/>
    <w:rsid w:val="5C403D31"/>
    <w:rsid w:val="5C4750C0"/>
    <w:rsid w:val="5C4C0928"/>
    <w:rsid w:val="5C591625"/>
    <w:rsid w:val="5C5960FF"/>
    <w:rsid w:val="5C5E56D9"/>
    <w:rsid w:val="5C5F49BB"/>
    <w:rsid w:val="5C701A68"/>
    <w:rsid w:val="5C797243"/>
    <w:rsid w:val="5C7A36E7"/>
    <w:rsid w:val="5C7C7353"/>
    <w:rsid w:val="5C7F0CFE"/>
    <w:rsid w:val="5C8400C2"/>
    <w:rsid w:val="5C871960"/>
    <w:rsid w:val="5C8C6F77"/>
    <w:rsid w:val="5C8E0F41"/>
    <w:rsid w:val="5CA22C3E"/>
    <w:rsid w:val="5CA26790"/>
    <w:rsid w:val="5CA571CC"/>
    <w:rsid w:val="5CAA564F"/>
    <w:rsid w:val="5CB07B52"/>
    <w:rsid w:val="5CB5471F"/>
    <w:rsid w:val="5CBC7F8E"/>
    <w:rsid w:val="5CC154D0"/>
    <w:rsid w:val="5CC74453"/>
    <w:rsid w:val="5CC76201"/>
    <w:rsid w:val="5CCA06F9"/>
    <w:rsid w:val="5CCB5CF1"/>
    <w:rsid w:val="5CD13F5C"/>
    <w:rsid w:val="5CE13766"/>
    <w:rsid w:val="5CE24DE9"/>
    <w:rsid w:val="5CEC4B35"/>
    <w:rsid w:val="5CEE378D"/>
    <w:rsid w:val="5CF52D6E"/>
    <w:rsid w:val="5CFC234E"/>
    <w:rsid w:val="5D011713"/>
    <w:rsid w:val="5D086F45"/>
    <w:rsid w:val="5D137698"/>
    <w:rsid w:val="5D1B7B11"/>
    <w:rsid w:val="5D1D4073"/>
    <w:rsid w:val="5D2C323C"/>
    <w:rsid w:val="5D2E6280"/>
    <w:rsid w:val="5D3354BA"/>
    <w:rsid w:val="5D4A192A"/>
    <w:rsid w:val="5D4A4B91"/>
    <w:rsid w:val="5D5061F6"/>
    <w:rsid w:val="5D5547DD"/>
    <w:rsid w:val="5D5B085B"/>
    <w:rsid w:val="5D635F29"/>
    <w:rsid w:val="5D6D0B56"/>
    <w:rsid w:val="5D6F5399"/>
    <w:rsid w:val="5D704AEA"/>
    <w:rsid w:val="5D746389"/>
    <w:rsid w:val="5D753EAF"/>
    <w:rsid w:val="5D773EDA"/>
    <w:rsid w:val="5D777C27"/>
    <w:rsid w:val="5D804D2D"/>
    <w:rsid w:val="5D867E6A"/>
    <w:rsid w:val="5D882ABD"/>
    <w:rsid w:val="5D883BE2"/>
    <w:rsid w:val="5D8A5BAC"/>
    <w:rsid w:val="5D9562FF"/>
    <w:rsid w:val="5D9D1C68"/>
    <w:rsid w:val="5D9E51B4"/>
    <w:rsid w:val="5D9F2CDA"/>
    <w:rsid w:val="5DA01C22"/>
    <w:rsid w:val="5DAD3649"/>
    <w:rsid w:val="5DB90876"/>
    <w:rsid w:val="5DB9329D"/>
    <w:rsid w:val="5DBB3FB7"/>
    <w:rsid w:val="5DBC614A"/>
    <w:rsid w:val="5DCF1BBF"/>
    <w:rsid w:val="5DCF7A63"/>
    <w:rsid w:val="5DD40BD5"/>
    <w:rsid w:val="5DDC5CDC"/>
    <w:rsid w:val="5DDF310D"/>
    <w:rsid w:val="5DE559E5"/>
    <w:rsid w:val="5DE96B19"/>
    <w:rsid w:val="5DEF5A0F"/>
    <w:rsid w:val="5DF063D2"/>
    <w:rsid w:val="5DFC2AD9"/>
    <w:rsid w:val="5DFE20F6"/>
    <w:rsid w:val="5E033269"/>
    <w:rsid w:val="5E03770C"/>
    <w:rsid w:val="5E06123C"/>
    <w:rsid w:val="5E0A0A9B"/>
    <w:rsid w:val="5E0C65C1"/>
    <w:rsid w:val="5E10474E"/>
    <w:rsid w:val="5E1C257C"/>
    <w:rsid w:val="5E203E1A"/>
    <w:rsid w:val="5E2A3037"/>
    <w:rsid w:val="5E2D4789"/>
    <w:rsid w:val="5E2F405E"/>
    <w:rsid w:val="5E3653EC"/>
    <w:rsid w:val="5E4E4E2C"/>
    <w:rsid w:val="5E4E6BDA"/>
    <w:rsid w:val="5E587764"/>
    <w:rsid w:val="5E5A37D0"/>
    <w:rsid w:val="5E6D4B86"/>
    <w:rsid w:val="5E710B1A"/>
    <w:rsid w:val="5E714676"/>
    <w:rsid w:val="5E7D74BF"/>
    <w:rsid w:val="5E800D5D"/>
    <w:rsid w:val="5E84084D"/>
    <w:rsid w:val="5E8D218E"/>
    <w:rsid w:val="5E9071F2"/>
    <w:rsid w:val="5E9F11E3"/>
    <w:rsid w:val="5EA81963"/>
    <w:rsid w:val="5EA93E10"/>
    <w:rsid w:val="5EB6477F"/>
    <w:rsid w:val="5EB86749"/>
    <w:rsid w:val="5EBD281C"/>
    <w:rsid w:val="5EBD5B0D"/>
    <w:rsid w:val="5EC23124"/>
    <w:rsid w:val="5EC82C7F"/>
    <w:rsid w:val="5EC96260"/>
    <w:rsid w:val="5ECA3D86"/>
    <w:rsid w:val="5EDA221B"/>
    <w:rsid w:val="5EDD7F5D"/>
    <w:rsid w:val="5EE035AA"/>
    <w:rsid w:val="5EE8294B"/>
    <w:rsid w:val="5EEB44A8"/>
    <w:rsid w:val="5EEE4008"/>
    <w:rsid w:val="5EF13A09"/>
    <w:rsid w:val="5EF57055"/>
    <w:rsid w:val="5EF808F3"/>
    <w:rsid w:val="5EFB03E4"/>
    <w:rsid w:val="5EFF6126"/>
    <w:rsid w:val="5F04373C"/>
    <w:rsid w:val="5F0E0117"/>
    <w:rsid w:val="5F0E45BB"/>
    <w:rsid w:val="5F140A8B"/>
    <w:rsid w:val="5F216742"/>
    <w:rsid w:val="5F2E2567"/>
    <w:rsid w:val="5F2F459B"/>
    <w:rsid w:val="5F312917"/>
    <w:rsid w:val="5F357D99"/>
    <w:rsid w:val="5F4B3119"/>
    <w:rsid w:val="5F577D10"/>
    <w:rsid w:val="5F5A7800"/>
    <w:rsid w:val="5F5C70D4"/>
    <w:rsid w:val="5F5F4B0A"/>
    <w:rsid w:val="5F6917F1"/>
    <w:rsid w:val="5F697A43"/>
    <w:rsid w:val="5F6D12E1"/>
    <w:rsid w:val="5F71212B"/>
    <w:rsid w:val="5F7206A6"/>
    <w:rsid w:val="5F7A1C50"/>
    <w:rsid w:val="5F7C7776"/>
    <w:rsid w:val="5F7F2538"/>
    <w:rsid w:val="5F8108E9"/>
    <w:rsid w:val="5F8D54E0"/>
    <w:rsid w:val="5F8E0944"/>
    <w:rsid w:val="5F8F6B36"/>
    <w:rsid w:val="5F9024A8"/>
    <w:rsid w:val="5F920D48"/>
    <w:rsid w:val="5F944AC0"/>
    <w:rsid w:val="5F954394"/>
    <w:rsid w:val="5FA1676C"/>
    <w:rsid w:val="5FA840C8"/>
    <w:rsid w:val="5FB235AC"/>
    <w:rsid w:val="5FB40CBE"/>
    <w:rsid w:val="5FB5737D"/>
    <w:rsid w:val="5FB9312A"/>
    <w:rsid w:val="5FBC5DC5"/>
    <w:rsid w:val="5FBE7D8F"/>
    <w:rsid w:val="5FCB425A"/>
    <w:rsid w:val="5FD5263F"/>
    <w:rsid w:val="5FD80C9E"/>
    <w:rsid w:val="5FD94ABC"/>
    <w:rsid w:val="5FE61094"/>
    <w:rsid w:val="5FF13CC0"/>
    <w:rsid w:val="5FF2089A"/>
    <w:rsid w:val="5FF21E3A"/>
    <w:rsid w:val="5FF27272"/>
    <w:rsid w:val="60017C7C"/>
    <w:rsid w:val="600503C7"/>
    <w:rsid w:val="6005151A"/>
    <w:rsid w:val="60256CC9"/>
    <w:rsid w:val="602816AC"/>
    <w:rsid w:val="603942CD"/>
    <w:rsid w:val="604162CA"/>
    <w:rsid w:val="60422A1C"/>
    <w:rsid w:val="604F6C39"/>
    <w:rsid w:val="60593614"/>
    <w:rsid w:val="60716BAF"/>
    <w:rsid w:val="60732927"/>
    <w:rsid w:val="60744B26"/>
    <w:rsid w:val="60747F1B"/>
    <w:rsid w:val="608F34D9"/>
    <w:rsid w:val="60973465"/>
    <w:rsid w:val="609C36ED"/>
    <w:rsid w:val="609E371C"/>
    <w:rsid w:val="60A52CFD"/>
    <w:rsid w:val="60A56859"/>
    <w:rsid w:val="60B65D1D"/>
    <w:rsid w:val="60B847DE"/>
    <w:rsid w:val="60C50CA9"/>
    <w:rsid w:val="60CC2038"/>
    <w:rsid w:val="60CE35A7"/>
    <w:rsid w:val="60CE5DB0"/>
    <w:rsid w:val="60D3786A"/>
    <w:rsid w:val="60D809DC"/>
    <w:rsid w:val="60DB4C5E"/>
    <w:rsid w:val="60E12DAE"/>
    <w:rsid w:val="60E43825"/>
    <w:rsid w:val="60EB4BB4"/>
    <w:rsid w:val="60FB0B6F"/>
    <w:rsid w:val="60FC2713"/>
    <w:rsid w:val="61084526"/>
    <w:rsid w:val="61112140"/>
    <w:rsid w:val="61131A15"/>
    <w:rsid w:val="61147259"/>
    <w:rsid w:val="61167757"/>
    <w:rsid w:val="611A5316"/>
    <w:rsid w:val="612260FC"/>
    <w:rsid w:val="61305AA9"/>
    <w:rsid w:val="61363955"/>
    <w:rsid w:val="613956DC"/>
    <w:rsid w:val="613F0A5C"/>
    <w:rsid w:val="614147D4"/>
    <w:rsid w:val="61462D93"/>
    <w:rsid w:val="61494D64"/>
    <w:rsid w:val="614B42D8"/>
    <w:rsid w:val="61504A17"/>
    <w:rsid w:val="615A19EE"/>
    <w:rsid w:val="615D7134"/>
    <w:rsid w:val="615F10FE"/>
    <w:rsid w:val="616C7772"/>
    <w:rsid w:val="61785D1C"/>
    <w:rsid w:val="617F354E"/>
    <w:rsid w:val="618B1EF3"/>
    <w:rsid w:val="619E1214"/>
    <w:rsid w:val="61AB60F1"/>
    <w:rsid w:val="61AC6EB4"/>
    <w:rsid w:val="61AF1F6F"/>
    <w:rsid w:val="61B07AC3"/>
    <w:rsid w:val="61B825BC"/>
    <w:rsid w:val="61C24BBB"/>
    <w:rsid w:val="61CB0541"/>
    <w:rsid w:val="61CD6067"/>
    <w:rsid w:val="61D30753"/>
    <w:rsid w:val="61D32128"/>
    <w:rsid w:val="61D373F6"/>
    <w:rsid w:val="61DC5078"/>
    <w:rsid w:val="61DE0274"/>
    <w:rsid w:val="61E67129"/>
    <w:rsid w:val="61E8214B"/>
    <w:rsid w:val="61EA7445"/>
    <w:rsid w:val="61EB0BE3"/>
    <w:rsid w:val="61ED3737"/>
    <w:rsid w:val="61ED495B"/>
    <w:rsid w:val="61F23D20"/>
    <w:rsid w:val="61F64F67"/>
    <w:rsid w:val="61FA4982"/>
    <w:rsid w:val="62051CA5"/>
    <w:rsid w:val="620D2908"/>
    <w:rsid w:val="620F0A32"/>
    <w:rsid w:val="6210259F"/>
    <w:rsid w:val="62175534"/>
    <w:rsid w:val="621831C9"/>
    <w:rsid w:val="621C6FEF"/>
    <w:rsid w:val="621E2D67"/>
    <w:rsid w:val="62256C9C"/>
    <w:rsid w:val="6247406C"/>
    <w:rsid w:val="62490FA4"/>
    <w:rsid w:val="62495E5B"/>
    <w:rsid w:val="624B4462"/>
    <w:rsid w:val="624F0BFB"/>
    <w:rsid w:val="625247BE"/>
    <w:rsid w:val="625356FA"/>
    <w:rsid w:val="62571663"/>
    <w:rsid w:val="62634C1E"/>
    <w:rsid w:val="626764BC"/>
    <w:rsid w:val="627604AD"/>
    <w:rsid w:val="62787E6D"/>
    <w:rsid w:val="62797F9D"/>
    <w:rsid w:val="629B43B7"/>
    <w:rsid w:val="629D3C8C"/>
    <w:rsid w:val="629E410D"/>
    <w:rsid w:val="62A74B0A"/>
    <w:rsid w:val="62AC0373"/>
    <w:rsid w:val="62B15989"/>
    <w:rsid w:val="62B51A14"/>
    <w:rsid w:val="62B72874"/>
    <w:rsid w:val="62B80F58"/>
    <w:rsid w:val="62C236F2"/>
    <w:rsid w:val="62CE653B"/>
    <w:rsid w:val="62CF7BBD"/>
    <w:rsid w:val="62E573E1"/>
    <w:rsid w:val="62EA6888"/>
    <w:rsid w:val="62F51D1A"/>
    <w:rsid w:val="630B32EB"/>
    <w:rsid w:val="630E2DDB"/>
    <w:rsid w:val="6311467A"/>
    <w:rsid w:val="63155F18"/>
    <w:rsid w:val="63316ACA"/>
    <w:rsid w:val="634B661E"/>
    <w:rsid w:val="63556314"/>
    <w:rsid w:val="635A12B4"/>
    <w:rsid w:val="6361115D"/>
    <w:rsid w:val="63676048"/>
    <w:rsid w:val="63690012"/>
    <w:rsid w:val="637149F7"/>
    <w:rsid w:val="6374265A"/>
    <w:rsid w:val="637B48FF"/>
    <w:rsid w:val="637F41CC"/>
    <w:rsid w:val="637F7835"/>
    <w:rsid w:val="63855718"/>
    <w:rsid w:val="63887BA4"/>
    <w:rsid w:val="638B7F88"/>
    <w:rsid w:val="638C3D00"/>
    <w:rsid w:val="63950E07"/>
    <w:rsid w:val="63A1155A"/>
    <w:rsid w:val="63A23524"/>
    <w:rsid w:val="63B55005"/>
    <w:rsid w:val="63B84AF5"/>
    <w:rsid w:val="63BE65AF"/>
    <w:rsid w:val="63C828CF"/>
    <w:rsid w:val="63CC0A85"/>
    <w:rsid w:val="63CD75B0"/>
    <w:rsid w:val="63D00091"/>
    <w:rsid w:val="63D86F45"/>
    <w:rsid w:val="63E1404C"/>
    <w:rsid w:val="63E45E47"/>
    <w:rsid w:val="63F57AF7"/>
    <w:rsid w:val="63FF67E2"/>
    <w:rsid w:val="6408782B"/>
    <w:rsid w:val="64095516"/>
    <w:rsid w:val="640D6BEF"/>
    <w:rsid w:val="64195594"/>
    <w:rsid w:val="64274B71"/>
    <w:rsid w:val="64406FC4"/>
    <w:rsid w:val="64413718"/>
    <w:rsid w:val="644A7E43"/>
    <w:rsid w:val="645962D8"/>
    <w:rsid w:val="645E2921"/>
    <w:rsid w:val="645E569D"/>
    <w:rsid w:val="646709F5"/>
    <w:rsid w:val="646F1658"/>
    <w:rsid w:val="647A7046"/>
    <w:rsid w:val="64801AB7"/>
    <w:rsid w:val="64805613"/>
    <w:rsid w:val="64835103"/>
    <w:rsid w:val="648669A1"/>
    <w:rsid w:val="648844C8"/>
    <w:rsid w:val="648A6492"/>
    <w:rsid w:val="648F3AA8"/>
    <w:rsid w:val="64925346"/>
    <w:rsid w:val="6493262A"/>
    <w:rsid w:val="64966BE4"/>
    <w:rsid w:val="64AD62C1"/>
    <w:rsid w:val="64AE4122"/>
    <w:rsid w:val="64AF414A"/>
    <w:rsid w:val="64B259E8"/>
    <w:rsid w:val="64B4350F"/>
    <w:rsid w:val="64B654D9"/>
    <w:rsid w:val="64C42D3C"/>
    <w:rsid w:val="64CF659A"/>
    <w:rsid w:val="64D21BE7"/>
    <w:rsid w:val="64D63485"/>
    <w:rsid w:val="64D64FBF"/>
    <w:rsid w:val="64D82C74"/>
    <w:rsid w:val="64D8544F"/>
    <w:rsid w:val="64D911C7"/>
    <w:rsid w:val="64DF35AC"/>
    <w:rsid w:val="64E72408"/>
    <w:rsid w:val="64E9376F"/>
    <w:rsid w:val="64EB7E43"/>
    <w:rsid w:val="64FB738F"/>
    <w:rsid w:val="64FD2F54"/>
    <w:rsid w:val="64FD4EB5"/>
    <w:rsid w:val="65053D6A"/>
    <w:rsid w:val="65077AE2"/>
    <w:rsid w:val="650A3BF1"/>
    <w:rsid w:val="65192A0E"/>
    <w:rsid w:val="65197815"/>
    <w:rsid w:val="651A5A67"/>
    <w:rsid w:val="651C6CD8"/>
    <w:rsid w:val="651D7306"/>
    <w:rsid w:val="651E1F69"/>
    <w:rsid w:val="65202952"/>
    <w:rsid w:val="6525440C"/>
    <w:rsid w:val="65295CAB"/>
    <w:rsid w:val="653463FD"/>
    <w:rsid w:val="653603C7"/>
    <w:rsid w:val="653A7EB8"/>
    <w:rsid w:val="653B3C30"/>
    <w:rsid w:val="65406E7C"/>
    <w:rsid w:val="65534AD5"/>
    <w:rsid w:val="65562818"/>
    <w:rsid w:val="655D5954"/>
    <w:rsid w:val="656C5144"/>
    <w:rsid w:val="657D53CD"/>
    <w:rsid w:val="65864EAB"/>
    <w:rsid w:val="65883BF7"/>
    <w:rsid w:val="65A610A9"/>
    <w:rsid w:val="65A943E3"/>
    <w:rsid w:val="65AB2B63"/>
    <w:rsid w:val="65B43127"/>
    <w:rsid w:val="65B92A25"/>
    <w:rsid w:val="65BD4645"/>
    <w:rsid w:val="65C50B86"/>
    <w:rsid w:val="65C77271"/>
    <w:rsid w:val="65CB4FB4"/>
    <w:rsid w:val="65D06126"/>
    <w:rsid w:val="65D8322D"/>
    <w:rsid w:val="65DA6FA5"/>
    <w:rsid w:val="65E32D3B"/>
    <w:rsid w:val="65E87914"/>
    <w:rsid w:val="65EB2F60"/>
    <w:rsid w:val="65F067C8"/>
    <w:rsid w:val="65F630D2"/>
    <w:rsid w:val="660758C0"/>
    <w:rsid w:val="66106E6A"/>
    <w:rsid w:val="661C0064"/>
    <w:rsid w:val="66291CDA"/>
    <w:rsid w:val="662B7800"/>
    <w:rsid w:val="664B1C51"/>
    <w:rsid w:val="664D3C1B"/>
    <w:rsid w:val="665135D2"/>
    <w:rsid w:val="66522FDF"/>
    <w:rsid w:val="6659611C"/>
    <w:rsid w:val="66675DB0"/>
    <w:rsid w:val="666845B1"/>
    <w:rsid w:val="666F1DE3"/>
    <w:rsid w:val="666F3B91"/>
    <w:rsid w:val="66754F1F"/>
    <w:rsid w:val="667B2536"/>
    <w:rsid w:val="667E1F70"/>
    <w:rsid w:val="66805D9E"/>
    <w:rsid w:val="668533B4"/>
    <w:rsid w:val="66952ECC"/>
    <w:rsid w:val="6695530A"/>
    <w:rsid w:val="669930A9"/>
    <w:rsid w:val="669B4986"/>
    <w:rsid w:val="66AD63BC"/>
    <w:rsid w:val="66B21CD0"/>
    <w:rsid w:val="66B84102"/>
    <w:rsid w:val="66BC66AA"/>
    <w:rsid w:val="66BE4AA2"/>
    <w:rsid w:val="66C0619B"/>
    <w:rsid w:val="66C7577B"/>
    <w:rsid w:val="66CB2379"/>
    <w:rsid w:val="66DD0934"/>
    <w:rsid w:val="66E005EB"/>
    <w:rsid w:val="66E520A5"/>
    <w:rsid w:val="670544F5"/>
    <w:rsid w:val="670818F0"/>
    <w:rsid w:val="67091DC0"/>
    <w:rsid w:val="67185D60"/>
    <w:rsid w:val="67217455"/>
    <w:rsid w:val="67346B89"/>
    <w:rsid w:val="67376850"/>
    <w:rsid w:val="673B7F17"/>
    <w:rsid w:val="673C1934"/>
    <w:rsid w:val="673F69F4"/>
    <w:rsid w:val="674111B0"/>
    <w:rsid w:val="674A1F08"/>
    <w:rsid w:val="674F1458"/>
    <w:rsid w:val="67580AC9"/>
    <w:rsid w:val="676034DA"/>
    <w:rsid w:val="6764746E"/>
    <w:rsid w:val="677217CF"/>
    <w:rsid w:val="67760F4F"/>
    <w:rsid w:val="677671A1"/>
    <w:rsid w:val="67801DCE"/>
    <w:rsid w:val="678216A2"/>
    <w:rsid w:val="67851192"/>
    <w:rsid w:val="67A37BB7"/>
    <w:rsid w:val="67A511E0"/>
    <w:rsid w:val="67AD2C7E"/>
    <w:rsid w:val="67AE06E9"/>
    <w:rsid w:val="67B53825"/>
    <w:rsid w:val="67BD7742"/>
    <w:rsid w:val="67C779FD"/>
    <w:rsid w:val="67D22629"/>
    <w:rsid w:val="67D958E5"/>
    <w:rsid w:val="67DF4D46"/>
    <w:rsid w:val="67E06114"/>
    <w:rsid w:val="67E8385E"/>
    <w:rsid w:val="67E84159"/>
    <w:rsid w:val="67EE6D37"/>
    <w:rsid w:val="67F24A7A"/>
    <w:rsid w:val="67F85E08"/>
    <w:rsid w:val="68014CBD"/>
    <w:rsid w:val="680622D3"/>
    <w:rsid w:val="6817003C"/>
    <w:rsid w:val="682054F9"/>
    <w:rsid w:val="68232E85"/>
    <w:rsid w:val="68264723"/>
    <w:rsid w:val="68297D70"/>
    <w:rsid w:val="682C160E"/>
    <w:rsid w:val="683352DA"/>
    <w:rsid w:val="68354966"/>
    <w:rsid w:val="68394457"/>
    <w:rsid w:val="683C3F47"/>
    <w:rsid w:val="683C4EF7"/>
    <w:rsid w:val="683E7CBF"/>
    <w:rsid w:val="683F3A37"/>
    <w:rsid w:val="684136FE"/>
    <w:rsid w:val="6845631E"/>
    <w:rsid w:val="68490412"/>
    <w:rsid w:val="684921C0"/>
    <w:rsid w:val="68526547"/>
    <w:rsid w:val="685E70DC"/>
    <w:rsid w:val="685F018D"/>
    <w:rsid w:val="686267CE"/>
    <w:rsid w:val="686314D3"/>
    <w:rsid w:val="68665D41"/>
    <w:rsid w:val="68676447"/>
    <w:rsid w:val="68721717"/>
    <w:rsid w:val="68774F7F"/>
    <w:rsid w:val="68792AA5"/>
    <w:rsid w:val="687E3344"/>
    <w:rsid w:val="687F5BE1"/>
    <w:rsid w:val="68817BAC"/>
    <w:rsid w:val="689326E4"/>
    <w:rsid w:val="6897117D"/>
    <w:rsid w:val="689B6EBF"/>
    <w:rsid w:val="68AA0ED1"/>
    <w:rsid w:val="68AD274F"/>
    <w:rsid w:val="68B03FED"/>
    <w:rsid w:val="68BE2BAE"/>
    <w:rsid w:val="68BE495C"/>
    <w:rsid w:val="68C006D4"/>
    <w:rsid w:val="68D0643D"/>
    <w:rsid w:val="68D45F2D"/>
    <w:rsid w:val="68DB3760"/>
    <w:rsid w:val="68DB3ACF"/>
    <w:rsid w:val="68DC0F3F"/>
    <w:rsid w:val="68EB3277"/>
    <w:rsid w:val="68EE2324"/>
    <w:rsid w:val="68F77E6E"/>
    <w:rsid w:val="690C3919"/>
    <w:rsid w:val="690F0DB1"/>
    <w:rsid w:val="690F3409"/>
    <w:rsid w:val="69132EFA"/>
    <w:rsid w:val="69160CB0"/>
    <w:rsid w:val="692078F3"/>
    <w:rsid w:val="69216C99"/>
    <w:rsid w:val="6922138F"/>
    <w:rsid w:val="692F7608"/>
    <w:rsid w:val="69321F89"/>
    <w:rsid w:val="6938470E"/>
    <w:rsid w:val="693F6A4B"/>
    <w:rsid w:val="69407A67"/>
    <w:rsid w:val="69486DFA"/>
    <w:rsid w:val="69561038"/>
    <w:rsid w:val="695B664F"/>
    <w:rsid w:val="69605A13"/>
    <w:rsid w:val="696E0130"/>
    <w:rsid w:val="69733998"/>
    <w:rsid w:val="697414BE"/>
    <w:rsid w:val="69763488"/>
    <w:rsid w:val="69765236"/>
    <w:rsid w:val="69796AD5"/>
    <w:rsid w:val="697B284D"/>
    <w:rsid w:val="697F4755"/>
    <w:rsid w:val="698536CB"/>
    <w:rsid w:val="6994133F"/>
    <w:rsid w:val="69A8001A"/>
    <w:rsid w:val="69AA4EE0"/>
    <w:rsid w:val="69AB1384"/>
    <w:rsid w:val="69B0699A"/>
    <w:rsid w:val="69B23EF1"/>
    <w:rsid w:val="69B67CCE"/>
    <w:rsid w:val="69B67D29"/>
    <w:rsid w:val="69B714CD"/>
    <w:rsid w:val="69B813AB"/>
    <w:rsid w:val="69BA3375"/>
    <w:rsid w:val="69C51D1A"/>
    <w:rsid w:val="69C77840"/>
    <w:rsid w:val="69CD18E0"/>
    <w:rsid w:val="69D72179"/>
    <w:rsid w:val="69D8306A"/>
    <w:rsid w:val="69DD5C4F"/>
    <w:rsid w:val="69DF2DDC"/>
    <w:rsid w:val="69E403F2"/>
    <w:rsid w:val="69EB1780"/>
    <w:rsid w:val="69EB6C34"/>
    <w:rsid w:val="69ED735F"/>
    <w:rsid w:val="69F34AD9"/>
    <w:rsid w:val="69F66377"/>
    <w:rsid w:val="6A0445F0"/>
    <w:rsid w:val="6A1231B1"/>
    <w:rsid w:val="6A185492"/>
    <w:rsid w:val="6A266C5C"/>
    <w:rsid w:val="6A2B41BB"/>
    <w:rsid w:val="6A3550F2"/>
    <w:rsid w:val="6A464C09"/>
    <w:rsid w:val="6A48521E"/>
    <w:rsid w:val="6A554E4C"/>
    <w:rsid w:val="6A5A7D27"/>
    <w:rsid w:val="6A5C442C"/>
    <w:rsid w:val="6A5E63F6"/>
    <w:rsid w:val="6A647785"/>
    <w:rsid w:val="6A7F3DFB"/>
    <w:rsid w:val="6A7F45BF"/>
    <w:rsid w:val="6A8614A9"/>
    <w:rsid w:val="6A8A1A2E"/>
    <w:rsid w:val="6A99074F"/>
    <w:rsid w:val="6A9E7D95"/>
    <w:rsid w:val="6AA54FFF"/>
    <w:rsid w:val="6AA87672"/>
    <w:rsid w:val="6AAC4074"/>
    <w:rsid w:val="6AAF0A00"/>
    <w:rsid w:val="6AB728CA"/>
    <w:rsid w:val="6AC45F20"/>
    <w:rsid w:val="6AC83870"/>
    <w:rsid w:val="6ACB15B2"/>
    <w:rsid w:val="6ACD70D8"/>
    <w:rsid w:val="6ACE4BFE"/>
    <w:rsid w:val="6AD6251C"/>
    <w:rsid w:val="6AE07293"/>
    <w:rsid w:val="6AEA7C8A"/>
    <w:rsid w:val="6AEF52A0"/>
    <w:rsid w:val="6AF01018"/>
    <w:rsid w:val="6AF20074"/>
    <w:rsid w:val="6AF606B0"/>
    <w:rsid w:val="6AFD7E4E"/>
    <w:rsid w:val="6B0A032C"/>
    <w:rsid w:val="6B1D2941"/>
    <w:rsid w:val="6B20545A"/>
    <w:rsid w:val="6B2111D2"/>
    <w:rsid w:val="6B247251"/>
    <w:rsid w:val="6B2F38EF"/>
    <w:rsid w:val="6B301415"/>
    <w:rsid w:val="6B3929BF"/>
    <w:rsid w:val="6B431148"/>
    <w:rsid w:val="6B4F741B"/>
    <w:rsid w:val="6B513865"/>
    <w:rsid w:val="6B543355"/>
    <w:rsid w:val="6B5D6400"/>
    <w:rsid w:val="6B5E2426"/>
    <w:rsid w:val="6B67752D"/>
    <w:rsid w:val="6B76151E"/>
    <w:rsid w:val="6B772050"/>
    <w:rsid w:val="6B7D1561"/>
    <w:rsid w:val="6B862C3A"/>
    <w:rsid w:val="6B8C2AEF"/>
    <w:rsid w:val="6B8E4AB9"/>
    <w:rsid w:val="6B930322"/>
    <w:rsid w:val="6B9B0F84"/>
    <w:rsid w:val="6BA02A3F"/>
    <w:rsid w:val="6BA240C1"/>
    <w:rsid w:val="6BB71CD9"/>
    <w:rsid w:val="6BB9072A"/>
    <w:rsid w:val="6BBB33D4"/>
    <w:rsid w:val="6BBF1117"/>
    <w:rsid w:val="6BC229B5"/>
    <w:rsid w:val="6BC77FCB"/>
    <w:rsid w:val="6BD36970"/>
    <w:rsid w:val="6BD526E8"/>
    <w:rsid w:val="6BDD159D"/>
    <w:rsid w:val="6BE2359D"/>
    <w:rsid w:val="6BE75F78"/>
    <w:rsid w:val="6BE91CF0"/>
    <w:rsid w:val="6BE96194"/>
    <w:rsid w:val="6BF30089"/>
    <w:rsid w:val="6BFA214F"/>
    <w:rsid w:val="6BFD1C3F"/>
    <w:rsid w:val="6C04024F"/>
    <w:rsid w:val="6C094140"/>
    <w:rsid w:val="6C101972"/>
    <w:rsid w:val="6C225202"/>
    <w:rsid w:val="6C270A6A"/>
    <w:rsid w:val="6C350CF1"/>
    <w:rsid w:val="6C3A079D"/>
    <w:rsid w:val="6C423AF6"/>
    <w:rsid w:val="6C57134F"/>
    <w:rsid w:val="6C5C39F3"/>
    <w:rsid w:val="6C5F6456"/>
    <w:rsid w:val="6C661592"/>
    <w:rsid w:val="6C6D0B73"/>
    <w:rsid w:val="6C6E48EB"/>
    <w:rsid w:val="6C702411"/>
    <w:rsid w:val="6C727F37"/>
    <w:rsid w:val="6C7A3290"/>
    <w:rsid w:val="6C7B3D7F"/>
    <w:rsid w:val="6C7F08A6"/>
    <w:rsid w:val="6C895281"/>
    <w:rsid w:val="6C8958D0"/>
    <w:rsid w:val="6C8B0FF9"/>
    <w:rsid w:val="6C90660F"/>
    <w:rsid w:val="6C9854C4"/>
    <w:rsid w:val="6C9A123C"/>
    <w:rsid w:val="6CA62EAB"/>
    <w:rsid w:val="6CAA652D"/>
    <w:rsid w:val="6CAB51F7"/>
    <w:rsid w:val="6CB467A2"/>
    <w:rsid w:val="6CB56076"/>
    <w:rsid w:val="6CB95B66"/>
    <w:rsid w:val="6CB97B51"/>
    <w:rsid w:val="6CC72070"/>
    <w:rsid w:val="6CCE7137"/>
    <w:rsid w:val="6CD01EDC"/>
    <w:rsid w:val="6CD429A0"/>
    <w:rsid w:val="6CD75FEC"/>
    <w:rsid w:val="6CEC68FA"/>
    <w:rsid w:val="6CED5810"/>
    <w:rsid w:val="6CEF576C"/>
    <w:rsid w:val="6CFA7F2C"/>
    <w:rsid w:val="6CFD59CC"/>
    <w:rsid w:val="6D013069"/>
    <w:rsid w:val="6D050DAB"/>
    <w:rsid w:val="6D107750"/>
    <w:rsid w:val="6D140FA1"/>
    <w:rsid w:val="6D153790"/>
    <w:rsid w:val="6D1E1E6D"/>
    <w:rsid w:val="6D2B458A"/>
    <w:rsid w:val="6D317DF2"/>
    <w:rsid w:val="6D3A7A2D"/>
    <w:rsid w:val="6D4713C4"/>
    <w:rsid w:val="6D480C98"/>
    <w:rsid w:val="6D4A0EB4"/>
    <w:rsid w:val="6D4A4A10"/>
    <w:rsid w:val="6D4C314B"/>
    <w:rsid w:val="6D4C4C2C"/>
    <w:rsid w:val="6D521B17"/>
    <w:rsid w:val="6D553112"/>
    <w:rsid w:val="6D594C53"/>
    <w:rsid w:val="6D624790"/>
    <w:rsid w:val="6D645DE7"/>
    <w:rsid w:val="6D6C2536"/>
    <w:rsid w:val="6D704099"/>
    <w:rsid w:val="6D716C11"/>
    <w:rsid w:val="6D761CA9"/>
    <w:rsid w:val="6D7E290C"/>
    <w:rsid w:val="6D806684"/>
    <w:rsid w:val="6D8819DC"/>
    <w:rsid w:val="6D8C5028"/>
    <w:rsid w:val="6D961CAF"/>
    <w:rsid w:val="6D965EA7"/>
    <w:rsid w:val="6D970E1E"/>
    <w:rsid w:val="6D97577B"/>
    <w:rsid w:val="6D992BE2"/>
    <w:rsid w:val="6D9E2FAE"/>
    <w:rsid w:val="6DA06D26"/>
    <w:rsid w:val="6DB12CE1"/>
    <w:rsid w:val="6DB21D25"/>
    <w:rsid w:val="6DB36A59"/>
    <w:rsid w:val="6DB8406F"/>
    <w:rsid w:val="6DBD1686"/>
    <w:rsid w:val="6DBE0F5A"/>
    <w:rsid w:val="6DDD7632"/>
    <w:rsid w:val="6DF332FA"/>
    <w:rsid w:val="6DF37070"/>
    <w:rsid w:val="6E005A16"/>
    <w:rsid w:val="6E080427"/>
    <w:rsid w:val="6E192634"/>
    <w:rsid w:val="6E224144"/>
    <w:rsid w:val="6E261D16"/>
    <w:rsid w:val="6E2A4841"/>
    <w:rsid w:val="6E340DE8"/>
    <w:rsid w:val="6E526272"/>
    <w:rsid w:val="6E5A0717"/>
    <w:rsid w:val="6E5D0773"/>
    <w:rsid w:val="6E5D572C"/>
    <w:rsid w:val="6E661D1D"/>
    <w:rsid w:val="6E69536A"/>
    <w:rsid w:val="6E6B10E2"/>
    <w:rsid w:val="6E702E28"/>
    <w:rsid w:val="6E71421E"/>
    <w:rsid w:val="6E867CCA"/>
    <w:rsid w:val="6E881C94"/>
    <w:rsid w:val="6E9323E7"/>
    <w:rsid w:val="6E95615F"/>
    <w:rsid w:val="6EA75E92"/>
    <w:rsid w:val="6EAC5256"/>
    <w:rsid w:val="6EBA3E17"/>
    <w:rsid w:val="6ED70525"/>
    <w:rsid w:val="6EDF387E"/>
    <w:rsid w:val="6EE844E0"/>
    <w:rsid w:val="6EFB6198"/>
    <w:rsid w:val="6EFF5CCE"/>
    <w:rsid w:val="6F045092"/>
    <w:rsid w:val="6F056725"/>
    <w:rsid w:val="6F060E0B"/>
    <w:rsid w:val="6F062595"/>
    <w:rsid w:val="6F0626E6"/>
    <w:rsid w:val="6F11066A"/>
    <w:rsid w:val="6F125A01"/>
    <w:rsid w:val="6F1572A0"/>
    <w:rsid w:val="6F2017CE"/>
    <w:rsid w:val="6F255735"/>
    <w:rsid w:val="6F262186"/>
    <w:rsid w:val="6F286FD3"/>
    <w:rsid w:val="6F29088E"/>
    <w:rsid w:val="6F2E5B95"/>
    <w:rsid w:val="6F35349E"/>
    <w:rsid w:val="6F377216"/>
    <w:rsid w:val="6F3E2352"/>
    <w:rsid w:val="6F4A519B"/>
    <w:rsid w:val="6F4B2CC1"/>
    <w:rsid w:val="6F4C1E78"/>
    <w:rsid w:val="6F511295"/>
    <w:rsid w:val="6F591DC4"/>
    <w:rsid w:val="6F615975"/>
    <w:rsid w:val="6F627B19"/>
    <w:rsid w:val="6F63625D"/>
    <w:rsid w:val="6F653D83"/>
    <w:rsid w:val="6F6D0E8A"/>
    <w:rsid w:val="6F712728"/>
    <w:rsid w:val="6F7E4E45"/>
    <w:rsid w:val="6F7E6BF3"/>
    <w:rsid w:val="6F8A763A"/>
    <w:rsid w:val="6FA10B33"/>
    <w:rsid w:val="6FA61EDA"/>
    <w:rsid w:val="6FB17851"/>
    <w:rsid w:val="6FB22D40"/>
    <w:rsid w:val="6FB35CCE"/>
    <w:rsid w:val="6FB940CF"/>
    <w:rsid w:val="6FBC6B6A"/>
    <w:rsid w:val="6FBD596D"/>
    <w:rsid w:val="6FC0310B"/>
    <w:rsid w:val="6FC84312"/>
    <w:rsid w:val="6FCA008A"/>
    <w:rsid w:val="6FCA56FF"/>
    <w:rsid w:val="6FCF26C8"/>
    <w:rsid w:val="6FDB5DF3"/>
    <w:rsid w:val="6FE117B7"/>
    <w:rsid w:val="6FE17B63"/>
    <w:rsid w:val="6FE729EA"/>
    <w:rsid w:val="6FEC0A99"/>
    <w:rsid w:val="6FF6177C"/>
    <w:rsid w:val="6FFE7D34"/>
    <w:rsid w:val="70027824"/>
    <w:rsid w:val="70117DBC"/>
    <w:rsid w:val="70125E9D"/>
    <w:rsid w:val="70316E4B"/>
    <w:rsid w:val="70324DB5"/>
    <w:rsid w:val="70351797"/>
    <w:rsid w:val="70357BF9"/>
    <w:rsid w:val="7040659E"/>
    <w:rsid w:val="70444E49"/>
    <w:rsid w:val="70500004"/>
    <w:rsid w:val="705362D1"/>
    <w:rsid w:val="70553DF8"/>
    <w:rsid w:val="70580FD2"/>
    <w:rsid w:val="705B0CE2"/>
    <w:rsid w:val="7064228D"/>
    <w:rsid w:val="70673B2B"/>
    <w:rsid w:val="706A7177"/>
    <w:rsid w:val="707029DF"/>
    <w:rsid w:val="707B3B76"/>
    <w:rsid w:val="707D50FC"/>
    <w:rsid w:val="70810BBD"/>
    <w:rsid w:val="708244C1"/>
    <w:rsid w:val="708A15C7"/>
    <w:rsid w:val="70926DFA"/>
    <w:rsid w:val="70A64653"/>
    <w:rsid w:val="70AA4DD8"/>
    <w:rsid w:val="70AF133A"/>
    <w:rsid w:val="70B57499"/>
    <w:rsid w:val="70C2252D"/>
    <w:rsid w:val="70C426AE"/>
    <w:rsid w:val="70D24CB2"/>
    <w:rsid w:val="70D82318"/>
    <w:rsid w:val="70EA5B0A"/>
    <w:rsid w:val="70F34CED"/>
    <w:rsid w:val="70F52EE5"/>
    <w:rsid w:val="70FC0717"/>
    <w:rsid w:val="70FF1FB5"/>
    <w:rsid w:val="70FF2622"/>
    <w:rsid w:val="71045574"/>
    <w:rsid w:val="71093FAF"/>
    <w:rsid w:val="71170DE7"/>
    <w:rsid w:val="711A294B"/>
    <w:rsid w:val="711B1D67"/>
    <w:rsid w:val="71291388"/>
    <w:rsid w:val="712F289B"/>
    <w:rsid w:val="712F4EF8"/>
    <w:rsid w:val="712F66B1"/>
    <w:rsid w:val="71325EE7"/>
    <w:rsid w:val="7136234C"/>
    <w:rsid w:val="713779A1"/>
    <w:rsid w:val="71386AE4"/>
    <w:rsid w:val="71424063"/>
    <w:rsid w:val="71467BE4"/>
    <w:rsid w:val="715440AF"/>
    <w:rsid w:val="7162598C"/>
    <w:rsid w:val="717007BD"/>
    <w:rsid w:val="717464FF"/>
    <w:rsid w:val="71754A1B"/>
    <w:rsid w:val="71765292"/>
    <w:rsid w:val="717A3B7A"/>
    <w:rsid w:val="717B788E"/>
    <w:rsid w:val="71837D11"/>
    <w:rsid w:val="7185070D"/>
    <w:rsid w:val="71881FAB"/>
    <w:rsid w:val="718B7326"/>
    <w:rsid w:val="718F6E95"/>
    <w:rsid w:val="71995F66"/>
    <w:rsid w:val="719A55EB"/>
    <w:rsid w:val="719C15B2"/>
    <w:rsid w:val="719C7804"/>
    <w:rsid w:val="71A1306D"/>
    <w:rsid w:val="71AF6B64"/>
    <w:rsid w:val="71AF7537"/>
    <w:rsid w:val="71B608C6"/>
    <w:rsid w:val="71B66B18"/>
    <w:rsid w:val="71C11019"/>
    <w:rsid w:val="71C31235"/>
    <w:rsid w:val="71C805F9"/>
    <w:rsid w:val="71CB1E97"/>
    <w:rsid w:val="71CF16F7"/>
    <w:rsid w:val="71D074AE"/>
    <w:rsid w:val="71DB032D"/>
    <w:rsid w:val="71DF7843"/>
    <w:rsid w:val="71E80C9B"/>
    <w:rsid w:val="71EA67C2"/>
    <w:rsid w:val="71F87130"/>
    <w:rsid w:val="72083FD5"/>
    <w:rsid w:val="72135D18"/>
    <w:rsid w:val="72225F5B"/>
    <w:rsid w:val="72233A82"/>
    <w:rsid w:val="722515A8"/>
    <w:rsid w:val="72304AE9"/>
    <w:rsid w:val="724063E2"/>
    <w:rsid w:val="724240AF"/>
    <w:rsid w:val="724C2FD8"/>
    <w:rsid w:val="7251239D"/>
    <w:rsid w:val="72550017"/>
    <w:rsid w:val="726C5429"/>
    <w:rsid w:val="726E67CB"/>
    <w:rsid w:val="727B395B"/>
    <w:rsid w:val="72830134"/>
    <w:rsid w:val="72842772"/>
    <w:rsid w:val="72893519"/>
    <w:rsid w:val="72966949"/>
    <w:rsid w:val="72971E6C"/>
    <w:rsid w:val="7298446F"/>
    <w:rsid w:val="7298621E"/>
    <w:rsid w:val="729D3834"/>
    <w:rsid w:val="72AC77B8"/>
    <w:rsid w:val="72AC7F1B"/>
    <w:rsid w:val="72AF11DE"/>
    <w:rsid w:val="72AF5315"/>
    <w:rsid w:val="72BF19FC"/>
    <w:rsid w:val="72C50343"/>
    <w:rsid w:val="72C60FDD"/>
    <w:rsid w:val="72C62E8F"/>
    <w:rsid w:val="72CC7058"/>
    <w:rsid w:val="72CD5ED6"/>
    <w:rsid w:val="72D07765"/>
    <w:rsid w:val="72DB7800"/>
    <w:rsid w:val="72DD00D4"/>
    <w:rsid w:val="72E17BC5"/>
    <w:rsid w:val="72E27499"/>
    <w:rsid w:val="72EC6569"/>
    <w:rsid w:val="72F21DD2"/>
    <w:rsid w:val="72F83160"/>
    <w:rsid w:val="7309711B"/>
    <w:rsid w:val="730B0266"/>
    <w:rsid w:val="73132FE3"/>
    <w:rsid w:val="731A30D6"/>
    <w:rsid w:val="731C6E4F"/>
    <w:rsid w:val="73214465"/>
    <w:rsid w:val="73247AB1"/>
    <w:rsid w:val="73277873"/>
    <w:rsid w:val="7329331A"/>
    <w:rsid w:val="732B52E4"/>
    <w:rsid w:val="732D4BB8"/>
    <w:rsid w:val="732E26DE"/>
    <w:rsid w:val="7332728E"/>
    <w:rsid w:val="734168B5"/>
    <w:rsid w:val="734B7734"/>
    <w:rsid w:val="734E792B"/>
    <w:rsid w:val="735272D8"/>
    <w:rsid w:val="7355410F"/>
    <w:rsid w:val="73571C35"/>
    <w:rsid w:val="735760D9"/>
    <w:rsid w:val="73634A7D"/>
    <w:rsid w:val="736507F6"/>
    <w:rsid w:val="73733BEB"/>
    <w:rsid w:val="7379430D"/>
    <w:rsid w:val="737E0695"/>
    <w:rsid w:val="73892A42"/>
    <w:rsid w:val="738B7B30"/>
    <w:rsid w:val="73970283"/>
    <w:rsid w:val="739704D6"/>
    <w:rsid w:val="73976F1E"/>
    <w:rsid w:val="73A86934"/>
    <w:rsid w:val="73A94CE3"/>
    <w:rsid w:val="73AB01D2"/>
    <w:rsid w:val="73AD7AA7"/>
    <w:rsid w:val="73AF7CC3"/>
    <w:rsid w:val="73BE1CB4"/>
    <w:rsid w:val="73C72F6F"/>
    <w:rsid w:val="73C81CF5"/>
    <w:rsid w:val="73CA68AB"/>
    <w:rsid w:val="73CF036D"/>
    <w:rsid w:val="73D2750D"/>
    <w:rsid w:val="73D85635"/>
    <w:rsid w:val="73DA4614"/>
    <w:rsid w:val="73DB0AB8"/>
    <w:rsid w:val="73E159A2"/>
    <w:rsid w:val="73E3796C"/>
    <w:rsid w:val="73E67E08"/>
    <w:rsid w:val="73ED4347"/>
    <w:rsid w:val="73F7186B"/>
    <w:rsid w:val="74026176"/>
    <w:rsid w:val="740A4B8B"/>
    <w:rsid w:val="74185891"/>
    <w:rsid w:val="741A4194"/>
    <w:rsid w:val="741C2EBF"/>
    <w:rsid w:val="74202B35"/>
    <w:rsid w:val="74213E3F"/>
    <w:rsid w:val="74257F85"/>
    <w:rsid w:val="74336F75"/>
    <w:rsid w:val="743B50B2"/>
    <w:rsid w:val="74452E4D"/>
    <w:rsid w:val="744A79EB"/>
    <w:rsid w:val="7458144D"/>
    <w:rsid w:val="74600FBD"/>
    <w:rsid w:val="74626AE3"/>
    <w:rsid w:val="74654825"/>
    <w:rsid w:val="746A1E3C"/>
    <w:rsid w:val="746C1710"/>
    <w:rsid w:val="74716D26"/>
    <w:rsid w:val="747800B5"/>
    <w:rsid w:val="74784559"/>
    <w:rsid w:val="747F7695"/>
    <w:rsid w:val="74844CAB"/>
    <w:rsid w:val="748922C2"/>
    <w:rsid w:val="748E7A24"/>
    <w:rsid w:val="749B3DA3"/>
    <w:rsid w:val="74A15EE3"/>
    <w:rsid w:val="74A25132"/>
    <w:rsid w:val="74A92964"/>
    <w:rsid w:val="74AA04E4"/>
    <w:rsid w:val="74AF784E"/>
    <w:rsid w:val="74B007C8"/>
    <w:rsid w:val="74B310ED"/>
    <w:rsid w:val="74B45308"/>
    <w:rsid w:val="74BF3F35"/>
    <w:rsid w:val="74C27582"/>
    <w:rsid w:val="74CA6436"/>
    <w:rsid w:val="74CD7EB1"/>
    <w:rsid w:val="74CF1C9F"/>
    <w:rsid w:val="74D6302D"/>
    <w:rsid w:val="74DF6D8A"/>
    <w:rsid w:val="74E41BEE"/>
    <w:rsid w:val="74E94872"/>
    <w:rsid w:val="74E97204"/>
    <w:rsid w:val="74F0120D"/>
    <w:rsid w:val="74F160B9"/>
    <w:rsid w:val="74F51705"/>
    <w:rsid w:val="74F55BA9"/>
    <w:rsid w:val="74FF4332"/>
    <w:rsid w:val="750174DE"/>
    <w:rsid w:val="75053C12"/>
    <w:rsid w:val="75165E2B"/>
    <w:rsid w:val="751667A4"/>
    <w:rsid w:val="751E7EA9"/>
    <w:rsid w:val="75240788"/>
    <w:rsid w:val="75265D63"/>
    <w:rsid w:val="752913AF"/>
    <w:rsid w:val="75371D1E"/>
    <w:rsid w:val="753B3CE4"/>
    <w:rsid w:val="753C5586"/>
    <w:rsid w:val="753C7334"/>
    <w:rsid w:val="754B3A1B"/>
    <w:rsid w:val="754E52B9"/>
    <w:rsid w:val="755D067C"/>
    <w:rsid w:val="756248C1"/>
    <w:rsid w:val="75705230"/>
    <w:rsid w:val="757545F4"/>
    <w:rsid w:val="75842A89"/>
    <w:rsid w:val="759251A6"/>
    <w:rsid w:val="75970A0E"/>
    <w:rsid w:val="75AA6994"/>
    <w:rsid w:val="75B01AD0"/>
    <w:rsid w:val="75B5264E"/>
    <w:rsid w:val="75B90985"/>
    <w:rsid w:val="75CE1F56"/>
    <w:rsid w:val="75E63FB9"/>
    <w:rsid w:val="75EC09C9"/>
    <w:rsid w:val="75F0011F"/>
    <w:rsid w:val="75F96FD3"/>
    <w:rsid w:val="76040816"/>
    <w:rsid w:val="760660B3"/>
    <w:rsid w:val="76103868"/>
    <w:rsid w:val="76120095"/>
    <w:rsid w:val="761D53B8"/>
    <w:rsid w:val="7621477C"/>
    <w:rsid w:val="76220B2D"/>
    <w:rsid w:val="76285B0A"/>
    <w:rsid w:val="762B73A9"/>
    <w:rsid w:val="76310E01"/>
    <w:rsid w:val="76377AFB"/>
    <w:rsid w:val="763C15B6"/>
    <w:rsid w:val="763F6AF7"/>
    <w:rsid w:val="76407E59"/>
    <w:rsid w:val="764C17F9"/>
    <w:rsid w:val="76514E25"/>
    <w:rsid w:val="765468FF"/>
    <w:rsid w:val="76640BA3"/>
    <w:rsid w:val="76684159"/>
    <w:rsid w:val="76766876"/>
    <w:rsid w:val="76872831"/>
    <w:rsid w:val="768F5B89"/>
    <w:rsid w:val="76915043"/>
    <w:rsid w:val="769211D6"/>
    <w:rsid w:val="7693567A"/>
    <w:rsid w:val="76962A74"/>
    <w:rsid w:val="769C643A"/>
    <w:rsid w:val="76A038F3"/>
    <w:rsid w:val="76A333E3"/>
    <w:rsid w:val="76AB5518"/>
    <w:rsid w:val="76AF3B36"/>
    <w:rsid w:val="76BF103C"/>
    <w:rsid w:val="76C515AB"/>
    <w:rsid w:val="76C75323"/>
    <w:rsid w:val="76CD24DB"/>
    <w:rsid w:val="76CE535E"/>
    <w:rsid w:val="76D36023"/>
    <w:rsid w:val="76DA5057"/>
    <w:rsid w:val="76DB0DCF"/>
    <w:rsid w:val="76DD072F"/>
    <w:rsid w:val="76E23F0B"/>
    <w:rsid w:val="76EC2FDC"/>
    <w:rsid w:val="77004391"/>
    <w:rsid w:val="77032368"/>
    <w:rsid w:val="770A5814"/>
    <w:rsid w:val="770D4555"/>
    <w:rsid w:val="7715608F"/>
    <w:rsid w:val="771C1FDE"/>
    <w:rsid w:val="771D190F"/>
    <w:rsid w:val="771F2A69"/>
    <w:rsid w:val="77204A34"/>
    <w:rsid w:val="772462D2"/>
    <w:rsid w:val="77271D0E"/>
    <w:rsid w:val="77297D8C"/>
    <w:rsid w:val="7730111A"/>
    <w:rsid w:val="77402F1E"/>
    <w:rsid w:val="77422EBA"/>
    <w:rsid w:val="7742417D"/>
    <w:rsid w:val="774626EC"/>
    <w:rsid w:val="77585F7B"/>
    <w:rsid w:val="775C1F10"/>
    <w:rsid w:val="775D3592"/>
    <w:rsid w:val="775F555C"/>
    <w:rsid w:val="77672662"/>
    <w:rsid w:val="776911FE"/>
    <w:rsid w:val="77692650"/>
    <w:rsid w:val="776E579F"/>
    <w:rsid w:val="777A05E8"/>
    <w:rsid w:val="777C7EBC"/>
    <w:rsid w:val="778B00FF"/>
    <w:rsid w:val="778E33FA"/>
    <w:rsid w:val="779B4D17"/>
    <w:rsid w:val="779F3850"/>
    <w:rsid w:val="779F3BAA"/>
    <w:rsid w:val="77AB69F3"/>
    <w:rsid w:val="77B51620"/>
    <w:rsid w:val="77B8087C"/>
    <w:rsid w:val="77C655DB"/>
    <w:rsid w:val="77C96E79"/>
    <w:rsid w:val="77CA50CB"/>
    <w:rsid w:val="77D45F4A"/>
    <w:rsid w:val="77DC01F8"/>
    <w:rsid w:val="77DC6BAC"/>
    <w:rsid w:val="77E23101"/>
    <w:rsid w:val="77E31CE9"/>
    <w:rsid w:val="77E43CB3"/>
    <w:rsid w:val="77FC60FC"/>
    <w:rsid w:val="780305DD"/>
    <w:rsid w:val="780455AE"/>
    <w:rsid w:val="78100B75"/>
    <w:rsid w:val="781C51FB"/>
    <w:rsid w:val="781C6803"/>
    <w:rsid w:val="78264642"/>
    <w:rsid w:val="78267E28"/>
    <w:rsid w:val="78282708"/>
    <w:rsid w:val="782D11B6"/>
    <w:rsid w:val="782D7408"/>
    <w:rsid w:val="7840538D"/>
    <w:rsid w:val="7840713B"/>
    <w:rsid w:val="7845018F"/>
    <w:rsid w:val="784B3700"/>
    <w:rsid w:val="784C3D32"/>
    <w:rsid w:val="786453D8"/>
    <w:rsid w:val="78711EA5"/>
    <w:rsid w:val="787768D5"/>
    <w:rsid w:val="78855BE3"/>
    <w:rsid w:val="78915BE9"/>
    <w:rsid w:val="78931961"/>
    <w:rsid w:val="7898151B"/>
    <w:rsid w:val="78992CEF"/>
    <w:rsid w:val="78A31478"/>
    <w:rsid w:val="78AC273E"/>
    <w:rsid w:val="78AF42C1"/>
    <w:rsid w:val="78BB2C66"/>
    <w:rsid w:val="78BE4504"/>
    <w:rsid w:val="78CA10FB"/>
    <w:rsid w:val="78CF18F3"/>
    <w:rsid w:val="78D14237"/>
    <w:rsid w:val="78D427BB"/>
    <w:rsid w:val="78D87374"/>
    <w:rsid w:val="78E74C65"/>
    <w:rsid w:val="78E765DB"/>
    <w:rsid w:val="78EB1369"/>
    <w:rsid w:val="78EC1071"/>
    <w:rsid w:val="78EE303B"/>
    <w:rsid w:val="78EE5DE4"/>
    <w:rsid w:val="78EF0B61"/>
    <w:rsid w:val="78F07CFF"/>
    <w:rsid w:val="78F10436"/>
    <w:rsid w:val="78F87A16"/>
    <w:rsid w:val="790463BB"/>
    <w:rsid w:val="790623B2"/>
    <w:rsid w:val="79076AF4"/>
    <w:rsid w:val="790A599B"/>
    <w:rsid w:val="790E7239"/>
    <w:rsid w:val="79153E8F"/>
    <w:rsid w:val="7919798C"/>
    <w:rsid w:val="791F1447"/>
    <w:rsid w:val="792F41EE"/>
    <w:rsid w:val="79312F28"/>
    <w:rsid w:val="793547C6"/>
    <w:rsid w:val="793842B6"/>
    <w:rsid w:val="79420C91"/>
    <w:rsid w:val="7950018C"/>
    <w:rsid w:val="795A422D"/>
    <w:rsid w:val="796343F3"/>
    <w:rsid w:val="796432FD"/>
    <w:rsid w:val="796C3F60"/>
    <w:rsid w:val="796E1A86"/>
    <w:rsid w:val="797572B9"/>
    <w:rsid w:val="79774418"/>
    <w:rsid w:val="7981580B"/>
    <w:rsid w:val="798219D5"/>
    <w:rsid w:val="798338A8"/>
    <w:rsid w:val="79893713"/>
    <w:rsid w:val="798E2128"/>
    <w:rsid w:val="79975481"/>
    <w:rsid w:val="799C46FE"/>
    <w:rsid w:val="79A27982"/>
    <w:rsid w:val="79A75DED"/>
    <w:rsid w:val="79B25E17"/>
    <w:rsid w:val="79BC6C95"/>
    <w:rsid w:val="79BF6786"/>
    <w:rsid w:val="79C142AC"/>
    <w:rsid w:val="79C45B4A"/>
    <w:rsid w:val="79CB3CB1"/>
    <w:rsid w:val="79CE69C9"/>
    <w:rsid w:val="79DD09BA"/>
    <w:rsid w:val="79DE4E5E"/>
    <w:rsid w:val="79E76D73"/>
    <w:rsid w:val="79FD2E0A"/>
    <w:rsid w:val="79FD49B1"/>
    <w:rsid w:val="7A010B4C"/>
    <w:rsid w:val="7A0423EA"/>
    <w:rsid w:val="7A0E65CB"/>
    <w:rsid w:val="7A1E16FE"/>
    <w:rsid w:val="7A206B88"/>
    <w:rsid w:val="7A214D4A"/>
    <w:rsid w:val="7A232871"/>
    <w:rsid w:val="7A266805"/>
    <w:rsid w:val="7A291E51"/>
    <w:rsid w:val="7A2D7B93"/>
    <w:rsid w:val="7A310A9A"/>
    <w:rsid w:val="7A337702"/>
    <w:rsid w:val="7A344A7E"/>
    <w:rsid w:val="7A3A5E0C"/>
    <w:rsid w:val="7A410F49"/>
    <w:rsid w:val="7A4A42A1"/>
    <w:rsid w:val="7A5E5F9F"/>
    <w:rsid w:val="7A61783D"/>
    <w:rsid w:val="7A632BD2"/>
    <w:rsid w:val="7A637111"/>
    <w:rsid w:val="7A664E53"/>
    <w:rsid w:val="7A6A41B1"/>
    <w:rsid w:val="7A6B246A"/>
    <w:rsid w:val="7A7271B3"/>
    <w:rsid w:val="7A792DD8"/>
    <w:rsid w:val="7A8105BA"/>
    <w:rsid w:val="7A88301C"/>
    <w:rsid w:val="7A8F6158"/>
    <w:rsid w:val="7A9820D4"/>
    <w:rsid w:val="7A9F2AF1"/>
    <w:rsid w:val="7AA5772A"/>
    <w:rsid w:val="7AAA2F92"/>
    <w:rsid w:val="7AAB7C7F"/>
    <w:rsid w:val="7AAC0AB8"/>
    <w:rsid w:val="7AB124F9"/>
    <w:rsid w:val="7AB616DF"/>
    <w:rsid w:val="7AB931D5"/>
    <w:rsid w:val="7ABF2A91"/>
    <w:rsid w:val="7AC0190A"/>
    <w:rsid w:val="7AC01F9E"/>
    <w:rsid w:val="7ACF47A6"/>
    <w:rsid w:val="7AD31EBB"/>
    <w:rsid w:val="7AD4000F"/>
    <w:rsid w:val="7AD87AFF"/>
    <w:rsid w:val="7AD93877"/>
    <w:rsid w:val="7ADE2C3C"/>
    <w:rsid w:val="7AE00762"/>
    <w:rsid w:val="7AE077B3"/>
    <w:rsid w:val="7AE244DA"/>
    <w:rsid w:val="7AED2E7F"/>
    <w:rsid w:val="7AEF309B"/>
    <w:rsid w:val="7AF1296F"/>
    <w:rsid w:val="7AFD1845"/>
    <w:rsid w:val="7AFE6E3A"/>
    <w:rsid w:val="7B057619"/>
    <w:rsid w:val="7B080F8B"/>
    <w:rsid w:val="7B09415C"/>
    <w:rsid w:val="7B095F0A"/>
    <w:rsid w:val="7B0C1C63"/>
    <w:rsid w:val="7B0F54EB"/>
    <w:rsid w:val="7B141EB5"/>
    <w:rsid w:val="7B1867BE"/>
    <w:rsid w:val="7B193C74"/>
    <w:rsid w:val="7B1E128A"/>
    <w:rsid w:val="7B2528B4"/>
    <w:rsid w:val="7B28738D"/>
    <w:rsid w:val="7B2E5971"/>
    <w:rsid w:val="7B2E771F"/>
    <w:rsid w:val="7B2F16E9"/>
    <w:rsid w:val="7B315461"/>
    <w:rsid w:val="7B3E36DA"/>
    <w:rsid w:val="7B3F7B7E"/>
    <w:rsid w:val="7B445194"/>
    <w:rsid w:val="7B542EFE"/>
    <w:rsid w:val="7B590472"/>
    <w:rsid w:val="7B5B603A"/>
    <w:rsid w:val="7B5E1D41"/>
    <w:rsid w:val="7B672C31"/>
    <w:rsid w:val="7B694BFB"/>
    <w:rsid w:val="7B6E0463"/>
    <w:rsid w:val="7B6E3382"/>
    <w:rsid w:val="7B736704"/>
    <w:rsid w:val="7B747C5C"/>
    <w:rsid w:val="7B7507E2"/>
    <w:rsid w:val="7B7A2F80"/>
    <w:rsid w:val="7B7A6E08"/>
    <w:rsid w:val="7B7B66DC"/>
    <w:rsid w:val="7B7E62BE"/>
    <w:rsid w:val="7B811F45"/>
    <w:rsid w:val="7B8C08E9"/>
    <w:rsid w:val="7B8D6A5D"/>
    <w:rsid w:val="7B955782"/>
    <w:rsid w:val="7B9C70ED"/>
    <w:rsid w:val="7BAB0D70"/>
    <w:rsid w:val="7BAE45F5"/>
    <w:rsid w:val="7BB35E76"/>
    <w:rsid w:val="7BB37C24"/>
    <w:rsid w:val="7BBA7CF2"/>
    <w:rsid w:val="7BBD0AA3"/>
    <w:rsid w:val="7BC10593"/>
    <w:rsid w:val="7BC736D0"/>
    <w:rsid w:val="7BC77B74"/>
    <w:rsid w:val="7BCC6F38"/>
    <w:rsid w:val="7BCD3D73"/>
    <w:rsid w:val="7BCF0EA8"/>
    <w:rsid w:val="7BD32392"/>
    <w:rsid w:val="7BD55DED"/>
    <w:rsid w:val="7BDC361F"/>
    <w:rsid w:val="7BE10C35"/>
    <w:rsid w:val="7BE355C9"/>
    <w:rsid w:val="7BE81FC4"/>
    <w:rsid w:val="7BFE17E7"/>
    <w:rsid w:val="7BFF10BB"/>
    <w:rsid w:val="7C07182B"/>
    <w:rsid w:val="7C1F350C"/>
    <w:rsid w:val="7C280612"/>
    <w:rsid w:val="7C29438A"/>
    <w:rsid w:val="7C2A25DC"/>
    <w:rsid w:val="7C2E374F"/>
    <w:rsid w:val="7C372603"/>
    <w:rsid w:val="7C3B7EB4"/>
    <w:rsid w:val="7C413125"/>
    <w:rsid w:val="7C4F3DF1"/>
    <w:rsid w:val="7C501917"/>
    <w:rsid w:val="7C5036C5"/>
    <w:rsid w:val="7C5043B4"/>
    <w:rsid w:val="7C611D76"/>
    <w:rsid w:val="7C631FD2"/>
    <w:rsid w:val="7C6929D9"/>
    <w:rsid w:val="7C695F8E"/>
    <w:rsid w:val="7C6B75C4"/>
    <w:rsid w:val="7C790E6E"/>
    <w:rsid w:val="7C7C44BA"/>
    <w:rsid w:val="7C803B0E"/>
    <w:rsid w:val="7C8D66C7"/>
    <w:rsid w:val="7C9F63FA"/>
    <w:rsid w:val="7CB023B6"/>
    <w:rsid w:val="7CB71996"/>
    <w:rsid w:val="7CB9570E"/>
    <w:rsid w:val="7CBA32DC"/>
    <w:rsid w:val="7CC209A0"/>
    <w:rsid w:val="7CF77FE5"/>
    <w:rsid w:val="7CF91FAF"/>
    <w:rsid w:val="7D0050EB"/>
    <w:rsid w:val="7D080444"/>
    <w:rsid w:val="7D172435"/>
    <w:rsid w:val="7D1A3643"/>
    <w:rsid w:val="7D1D3EEF"/>
    <w:rsid w:val="7D331DEE"/>
    <w:rsid w:val="7D3F20B7"/>
    <w:rsid w:val="7D4130D2"/>
    <w:rsid w:val="7D425704"/>
    <w:rsid w:val="7D4C0330"/>
    <w:rsid w:val="7D5E593D"/>
    <w:rsid w:val="7D60202E"/>
    <w:rsid w:val="7D6513F2"/>
    <w:rsid w:val="7D670130"/>
    <w:rsid w:val="7D6B43A4"/>
    <w:rsid w:val="7D6F6ABF"/>
    <w:rsid w:val="7D7143AA"/>
    <w:rsid w:val="7D7358BD"/>
    <w:rsid w:val="7D747887"/>
    <w:rsid w:val="7D7A23E5"/>
    <w:rsid w:val="7D87580C"/>
    <w:rsid w:val="7D893333"/>
    <w:rsid w:val="7D8D31B8"/>
    <w:rsid w:val="7D975247"/>
    <w:rsid w:val="7DA939D5"/>
    <w:rsid w:val="7DB54128"/>
    <w:rsid w:val="7DC10D1E"/>
    <w:rsid w:val="7DC425BD"/>
    <w:rsid w:val="7DC64A9B"/>
    <w:rsid w:val="7DD2663D"/>
    <w:rsid w:val="7DDD71DA"/>
    <w:rsid w:val="7DDF11A4"/>
    <w:rsid w:val="7DE06543"/>
    <w:rsid w:val="7DE22A43"/>
    <w:rsid w:val="7DE44A0D"/>
    <w:rsid w:val="7DE7137D"/>
    <w:rsid w:val="7DEC566F"/>
    <w:rsid w:val="7DEE3DB1"/>
    <w:rsid w:val="7DF01848"/>
    <w:rsid w:val="7DF05160"/>
    <w:rsid w:val="7DF960D0"/>
    <w:rsid w:val="7E066643"/>
    <w:rsid w:val="7E0B3D48"/>
    <w:rsid w:val="7E0D45AB"/>
    <w:rsid w:val="7E21356B"/>
    <w:rsid w:val="7E2B43EA"/>
    <w:rsid w:val="7E2F26CA"/>
    <w:rsid w:val="7E33329E"/>
    <w:rsid w:val="7E3E236F"/>
    <w:rsid w:val="7E4079AE"/>
    <w:rsid w:val="7E4330DC"/>
    <w:rsid w:val="7E490D14"/>
    <w:rsid w:val="7E505BFE"/>
    <w:rsid w:val="7E551467"/>
    <w:rsid w:val="7E552417"/>
    <w:rsid w:val="7E565F38"/>
    <w:rsid w:val="7E573431"/>
    <w:rsid w:val="7E576F8D"/>
    <w:rsid w:val="7E5E47BF"/>
    <w:rsid w:val="7E607F4D"/>
    <w:rsid w:val="7E611BB9"/>
    <w:rsid w:val="7E617E0B"/>
    <w:rsid w:val="7E6873EC"/>
    <w:rsid w:val="7E6B0C8A"/>
    <w:rsid w:val="7E775881"/>
    <w:rsid w:val="7E786F03"/>
    <w:rsid w:val="7E7E276B"/>
    <w:rsid w:val="7E8104AE"/>
    <w:rsid w:val="7E867872"/>
    <w:rsid w:val="7E924469"/>
    <w:rsid w:val="7E966512"/>
    <w:rsid w:val="7E9C1DA5"/>
    <w:rsid w:val="7EAA17B2"/>
    <w:rsid w:val="7EB048EF"/>
    <w:rsid w:val="7EB42631"/>
    <w:rsid w:val="7EB4618D"/>
    <w:rsid w:val="7EB516FA"/>
    <w:rsid w:val="7EB73ECF"/>
    <w:rsid w:val="7EB7538D"/>
    <w:rsid w:val="7EB75C7D"/>
    <w:rsid w:val="7EB959EF"/>
    <w:rsid w:val="7EBB39C0"/>
    <w:rsid w:val="7EBE700C"/>
    <w:rsid w:val="7EC14D4E"/>
    <w:rsid w:val="7EC32874"/>
    <w:rsid w:val="7EC513D0"/>
    <w:rsid w:val="7EC565EC"/>
    <w:rsid w:val="7ECF1219"/>
    <w:rsid w:val="7ED00AED"/>
    <w:rsid w:val="7ED566F5"/>
    <w:rsid w:val="7ED83B5B"/>
    <w:rsid w:val="7EDB7BBE"/>
    <w:rsid w:val="7EED169F"/>
    <w:rsid w:val="7EF649F8"/>
    <w:rsid w:val="7EF667A6"/>
    <w:rsid w:val="7EF70770"/>
    <w:rsid w:val="7EFE38AC"/>
    <w:rsid w:val="7F0069C7"/>
    <w:rsid w:val="7F007380"/>
    <w:rsid w:val="7F007624"/>
    <w:rsid w:val="7F01409C"/>
    <w:rsid w:val="7F0A2251"/>
    <w:rsid w:val="7F0A3FFF"/>
    <w:rsid w:val="7F1368B9"/>
    <w:rsid w:val="7F144E7E"/>
    <w:rsid w:val="7F1B620C"/>
    <w:rsid w:val="7F2676A5"/>
    <w:rsid w:val="7F286B7B"/>
    <w:rsid w:val="7F2A46A1"/>
    <w:rsid w:val="7F2F3A66"/>
    <w:rsid w:val="7F390D88"/>
    <w:rsid w:val="7F3D0030"/>
    <w:rsid w:val="7F467FEE"/>
    <w:rsid w:val="7F4A08A0"/>
    <w:rsid w:val="7F4F235A"/>
    <w:rsid w:val="7F4F4108"/>
    <w:rsid w:val="7F6000C3"/>
    <w:rsid w:val="7F613FBC"/>
    <w:rsid w:val="7F657780"/>
    <w:rsid w:val="7F686F78"/>
    <w:rsid w:val="7F710945"/>
    <w:rsid w:val="7F721393"/>
    <w:rsid w:val="7F724DD0"/>
    <w:rsid w:val="7F757771"/>
    <w:rsid w:val="7F7678E7"/>
    <w:rsid w:val="7F7F2C3F"/>
    <w:rsid w:val="7F853FCE"/>
    <w:rsid w:val="7F912972"/>
    <w:rsid w:val="7F9B3821"/>
    <w:rsid w:val="7F9B734D"/>
    <w:rsid w:val="7F9C2254"/>
    <w:rsid w:val="7F9D17E6"/>
    <w:rsid w:val="7FA2248A"/>
    <w:rsid w:val="7FA53D28"/>
    <w:rsid w:val="7FB00A6C"/>
    <w:rsid w:val="7FB977D3"/>
    <w:rsid w:val="7FC00B62"/>
    <w:rsid w:val="7FC13BE8"/>
    <w:rsid w:val="7FC93EBA"/>
    <w:rsid w:val="7FD60385"/>
    <w:rsid w:val="7FD64829"/>
    <w:rsid w:val="7FD83650"/>
    <w:rsid w:val="7FD91C23"/>
    <w:rsid w:val="7FDC6DE5"/>
    <w:rsid w:val="7FDD7966"/>
    <w:rsid w:val="7FE505C8"/>
    <w:rsid w:val="7FE9630A"/>
    <w:rsid w:val="7FF52F01"/>
    <w:rsid w:val="7FF826CC"/>
    <w:rsid w:val="7FFF5B2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iPriority="3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qFormat="1" w:uiPriority="99" w:semiHidden="0"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qFormat="1"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qFormat="1" w:unhideWhenUsed="0" w:uiPriority="99" w:semiHidden="0" w:name="Subtitle"/>
    <w:lsdException w:uiPriority="99" w:name="Salutation" w:locked="1"/>
    <w:lsdException w:uiPriority="99" w:name="Date" w:locked="1"/>
    <w:lsdException w:qFormat="1" w:uiPriority="99" w:semiHidden="0" w:name="Body Text First Indent" w:locked="1"/>
    <w:lsdException w:qFormat="1" w:uiPriority="99" w:semiHidden="0"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ocked="1"/>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8">
    <w:name w:val="heading 1"/>
    <w:basedOn w:val="9"/>
    <w:next w:val="1"/>
    <w:link w:val="70"/>
    <w:qFormat/>
    <w:uiPriority w:val="99"/>
    <w:pPr>
      <w:keepNext/>
      <w:keepLines/>
      <w:spacing w:before="340" w:after="330" w:line="578" w:lineRule="atLeast"/>
      <w:ind w:left="1130" w:firstLine="288"/>
      <w:outlineLvl w:val="0"/>
    </w:pPr>
    <w:rPr>
      <w:kern w:val="44"/>
      <w:sz w:val="44"/>
    </w:rPr>
  </w:style>
  <w:style w:type="paragraph" w:styleId="10">
    <w:name w:val="heading 2"/>
    <w:basedOn w:val="1"/>
    <w:next w:val="11"/>
    <w:link w:val="46"/>
    <w:qFormat/>
    <w:uiPriority w:val="99"/>
    <w:pPr>
      <w:keepNext/>
      <w:keepLines/>
      <w:spacing w:before="260" w:after="260" w:line="416" w:lineRule="atLeast"/>
      <w:ind w:left="3" w:firstLine="177"/>
      <w:outlineLvl w:val="1"/>
    </w:pPr>
    <w:rPr>
      <w:rFonts w:ascii="Arial" w:hAnsi="Arial" w:eastAsia="黑体"/>
      <w:b/>
      <w:kern w:val="0"/>
      <w:sz w:val="32"/>
      <w:szCs w:val="20"/>
    </w:rPr>
  </w:style>
  <w:style w:type="paragraph" w:styleId="13">
    <w:name w:val="heading 3"/>
    <w:basedOn w:val="1"/>
    <w:next w:val="1"/>
    <w:link w:val="65"/>
    <w:unhideWhenUsed/>
    <w:qFormat/>
    <w:locked/>
    <w:uiPriority w:val="0"/>
    <w:pPr>
      <w:keepNext/>
      <w:keepLines/>
      <w:spacing w:before="260" w:after="260" w:line="416" w:lineRule="auto"/>
      <w:outlineLvl w:val="2"/>
    </w:pPr>
    <w:rPr>
      <w:rFonts w:cs="黑体"/>
      <w:b/>
      <w:bCs/>
      <w:sz w:val="32"/>
      <w:szCs w:val="32"/>
    </w:rPr>
  </w:style>
  <w:style w:type="paragraph" w:styleId="14">
    <w:name w:val="heading 4"/>
    <w:basedOn w:val="1"/>
    <w:next w:val="1"/>
    <w:link w:val="47"/>
    <w:qFormat/>
    <w:uiPriority w:val="99"/>
    <w:pPr>
      <w:keepNext/>
      <w:keepLines/>
      <w:spacing w:line="376" w:lineRule="auto"/>
      <w:outlineLvl w:val="3"/>
    </w:pPr>
    <w:rPr>
      <w:rFonts w:ascii="Arial" w:hAnsi="Arial" w:eastAsia="黑体"/>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64"/>
    <w:unhideWhenUsed/>
    <w:qFormat/>
    <w:locked/>
    <w:uiPriority w:val="99"/>
    <w:pPr>
      <w:ind w:firstLine="420" w:firstLineChars="100"/>
    </w:pPr>
  </w:style>
  <w:style w:type="paragraph" w:styleId="3">
    <w:name w:val="Body Text"/>
    <w:basedOn w:val="1"/>
    <w:next w:val="4"/>
    <w:link w:val="63"/>
    <w:unhideWhenUsed/>
    <w:qFormat/>
    <w:locked/>
    <w:uiPriority w:val="99"/>
    <w:pPr>
      <w:spacing w:after="120"/>
    </w:pPr>
  </w:style>
  <w:style w:type="paragraph" w:styleId="4">
    <w:name w:val="Body Text 2"/>
    <w:basedOn w:val="1"/>
    <w:next w:val="3"/>
    <w:link w:val="53"/>
    <w:qFormat/>
    <w:uiPriority w:val="99"/>
    <w:pPr>
      <w:spacing w:line="480" w:lineRule="auto"/>
    </w:pPr>
  </w:style>
  <w:style w:type="paragraph" w:styleId="5">
    <w:name w:val="Body Text First Indent 2"/>
    <w:basedOn w:val="6"/>
    <w:next w:val="1"/>
    <w:unhideWhenUsed/>
    <w:qFormat/>
    <w:locked/>
    <w:uiPriority w:val="99"/>
    <w:pPr>
      <w:ind w:firstLine="420" w:firstLineChars="200"/>
    </w:pPr>
  </w:style>
  <w:style w:type="paragraph" w:styleId="6">
    <w:name w:val="Body Text Indent"/>
    <w:basedOn w:val="1"/>
    <w:next w:val="7"/>
    <w:link w:val="48"/>
    <w:qFormat/>
    <w:uiPriority w:val="99"/>
    <w:pPr>
      <w:ind w:left="420" w:leftChars="200"/>
    </w:pPr>
  </w:style>
  <w:style w:type="paragraph" w:styleId="7">
    <w:name w:val="envelope return"/>
    <w:basedOn w:val="1"/>
    <w:qFormat/>
    <w:locked/>
    <w:uiPriority w:val="0"/>
    <w:pPr>
      <w:snapToGrid w:val="0"/>
    </w:pPr>
    <w:rPr>
      <w:rFonts w:ascii="Arial" w:hAnsi="Arial"/>
    </w:rPr>
  </w:style>
  <w:style w:type="paragraph" w:styleId="9">
    <w:name w:val="Title"/>
    <w:basedOn w:val="1"/>
    <w:next w:val="1"/>
    <w:link w:val="54"/>
    <w:qFormat/>
    <w:uiPriority w:val="99"/>
    <w:pPr>
      <w:spacing w:before="240" w:after="60"/>
      <w:jc w:val="center"/>
      <w:outlineLvl w:val="0"/>
    </w:pPr>
    <w:rPr>
      <w:rFonts w:ascii="Cambria" w:hAnsi="Cambria"/>
      <w:b/>
      <w:bCs/>
      <w:sz w:val="32"/>
      <w:szCs w:val="32"/>
    </w:rPr>
  </w:style>
  <w:style w:type="paragraph" w:customStyle="1" w:styleId="11">
    <w:name w:val="样式 正文缩进 + 首行缩进:  2 字符"/>
    <w:basedOn w:val="12"/>
    <w:qFormat/>
    <w:uiPriority w:val="0"/>
    <w:pPr>
      <w:widowControl/>
      <w:spacing w:line="360" w:lineRule="auto"/>
      <w:ind w:firstLine="200"/>
      <w:jc w:val="left"/>
    </w:pPr>
    <w:rPr>
      <w:rFonts w:ascii="宋体" w:hAnsi="宋体" w:cs="宋体"/>
      <w:kern w:val="0"/>
      <w:sz w:val="24"/>
      <w:szCs w:val="20"/>
      <w:lang w:val="zh-CN"/>
    </w:rPr>
  </w:style>
  <w:style w:type="paragraph" w:styleId="12">
    <w:name w:val="Normal Indent"/>
    <w:basedOn w:val="1"/>
    <w:qFormat/>
    <w:uiPriority w:val="99"/>
    <w:pPr>
      <w:adjustRightInd w:val="0"/>
      <w:spacing w:line="360" w:lineRule="atLeast"/>
      <w:ind w:firstLine="420"/>
      <w:jc w:val="left"/>
      <w:textAlignment w:val="baseline"/>
    </w:pPr>
    <w:rPr>
      <w:kern w:val="0"/>
      <w:sz w:val="24"/>
    </w:rPr>
  </w:style>
  <w:style w:type="paragraph" w:styleId="15">
    <w:name w:val="table of authorities"/>
    <w:basedOn w:val="1"/>
    <w:next w:val="1"/>
    <w:semiHidden/>
    <w:unhideWhenUsed/>
    <w:qFormat/>
    <w:locked/>
    <w:uiPriority w:val="99"/>
    <w:pPr>
      <w:ind w:left="420" w:leftChars="200"/>
    </w:pPr>
  </w:style>
  <w:style w:type="paragraph" w:styleId="16">
    <w:name w:val="annotation text"/>
    <w:basedOn w:val="1"/>
    <w:qFormat/>
    <w:locked/>
    <w:uiPriority w:val="0"/>
    <w:pPr>
      <w:jc w:val="left"/>
    </w:pPr>
  </w:style>
  <w:style w:type="paragraph" w:styleId="17">
    <w:name w:val="toc 3"/>
    <w:basedOn w:val="1"/>
    <w:next w:val="1"/>
    <w:unhideWhenUsed/>
    <w:qFormat/>
    <w:locked/>
    <w:uiPriority w:val="39"/>
    <w:pPr>
      <w:ind w:left="840" w:leftChars="400"/>
    </w:pPr>
  </w:style>
  <w:style w:type="paragraph" w:styleId="18">
    <w:name w:val="Plain Text"/>
    <w:basedOn w:val="1"/>
    <w:link w:val="49"/>
    <w:qFormat/>
    <w:uiPriority w:val="99"/>
    <w:rPr>
      <w:rFonts w:ascii="宋体" w:hAnsi="Courier New" w:cs="Courier New"/>
      <w:szCs w:val="21"/>
    </w:rPr>
  </w:style>
  <w:style w:type="paragraph" w:styleId="19">
    <w:name w:val="Balloon Text"/>
    <w:basedOn w:val="1"/>
    <w:link w:val="66"/>
    <w:unhideWhenUsed/>
    <w:qFormat/>
    <w:locked/>
    <w:uiPriority w:val="99"/>
    <w:rPr>
      <w:sz w:val="18"/>
      <w:szCs w:val="18"/>
    </w:rPr>
  </w:style>
  <w:style w:type="paragraph" w:styleId="20">
    <w:name w:val="footer"/>
    <w:basedOn w:val="1"/>
    <w:link w:val="50"/>
    <w:qFormat/>
    <w:uiPriority w:val="99"/>
    <w:pPr>
      <w:tabs>
        <w:tab w:val="center" w:pos="4153"/>
        <w:tab w:val="right" w:pos="8306"/>
      </w:tabs>
      <w:snapToGrid w:val="0"/>
      <w:jc w:val="left"/>
    </w:pPr>
    <w:rPr>
      <w:sz w:val="18"/>
    </w:rPr>
  </w:style>
  <w:style w:type="paragraph" w:styleId="21">
    <w:name w:val="header"/>
    <w:basedOn w:val="1"/>
    <w:link w:val="5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39"/>
  </w:style>
  <w:style w:type="paragraph" w:styleId="23">
    <w:name w:val="index heading"/>
    <w:basedOn w:val="1"/>
    <w:next w:val="24"/>
    <w:unhideWhenUsed/>
    <w:qFormat/>
    <w:locked/>
    <w:uiPriority w:val="99"/>
    <w:rPr>
      <w:rFonts w:ascii="Cambria" w:hAnsi="Cambria" w:eastAsia="宋体" w:cs="Times New Roman"/>
      <w:b/>
      <w:bCs/>
    </w:rPr>
  </w:style>
  <w:style w:type="paragraph" w:styleId="24">
    <w:name w:val="index 1"/>
    <w:basedOn w:val="1"/>
    <w:next w:val="1"/>
    <w:qFormat/>
    <w:locked/>
    <w:uiPriority w:val="0"/>
    <w:pPr>
      <w:spacing w:line="220" w:lineRule="exact"/>
      <w:jc w:val="center"/>
    </w:pPr>
    <w:rPr>
      <w:rFonts w:ascii="仿宋_GB2312" w:eastAsia="仿宋_GB2312"/>
      <w:szCs w:val="21"/>
    </w:rPr>
  </w:style>
  <w:style w:type="paragraph" w:styleId="25">
    <w:name w:val="Subtitle"/>
    <w:basedOn w:val="1"/>
    <w:next w:val="1"/>
    <w:link w:val="52"/>
    <w:qFormat/>
    <w:uiPriority w:val="99"/>
    <w:pPr>
      <w:spacing w:before="240" w:after="60" w:line="312" w:lineRule="auto"/>
      <w:jc w:val="center"/>
      <w:outlineLvl w:val="1"/>
    </w:pPr>
    <w:rPr>
      <w:rFonts w:ascii="Cambria" w:hAnsi="Cambria"/>
      <w:b/>
      <w:bCs/>
      <w:kern w:val="28"/>
      <w:sz w:val="32"/>
      <w:szCs w:val="32"/>
    </w:rPr>
  </w:style>
  <w:style w:type="paragraph" w:styleId="26">
    <w:name w:val="toc 2"/>
    <w:basedOn w:val="1"/>
    <w:next w:val="1"/>
    <w:qFormat/>
    <w:uiPriority w:val="39"/>
    <w:pPr>
      <w:ind w:left="420" w:leftChars="200"/>
    </w:pPr>
  </w:style>
  <w:style w:type="paragraph" w:styleId="27">
    <w:name w:val="Message Header"/>
    <w:basedOn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locked/>
    <w:uiPriority w:val="0"/>
  </w:style>
  <w:style w:type="character" w:styleId="33">
    <w:name w:val="Hyperlink"/>
    <w:basedOn w:val="31"/>
    <w:unhideWhenUsed/>
    <w:qFormat/>
    <w:locked/>
    <w:uiPriority w:val="99"/>
    <w:rPr>
      <w:color w:val="0000FF"/>
      <w:u w:val="single"/>
    </w:rPr>
  </w:style>
  <w:style w:type="paragraph" w:customStyle="1" w:styleId="34">
    <w:name w:val="一级条标题"/>
    <w:basedOn w:val="1"/>
    <w:next w:val="35"/>
    <w:qFormat/>
    <w:uiPriority w:val="0"/>
    <w:pPr>
      <w:tabs>
        <w:tab w:val="left" w:pos="810"/>
        <w:tab w:val="left" w:pos="907"/>
        <w:tab w:val="left" w:pos="1265"/>
      </w:tabs>
      <w:spacing w:line="1292" w:lineRule="atLeast"/>
      <w:ind w:left="907" w:hanging="907"/>
      <w:jc w:val="center"/>
      <w:outlineLvl w:val="2"/>
    </w:pPr>
    <w:rPr>
      <w:rFonts w:ascii="Arial" w:hAnsi="宋体" w:eastAsia="黑体" w:cs="黑体"/>
      <w:sz w:val="20"/>
      <w:lang w:eastAsia="en-US" w:bidi="en-US"/>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37">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38">
    <w:name w:val="列表 21"/>
    <w:basedOn w:val="1"/>
    <w:qFormat/>
    <w:uiPriority w:val="0"/>
    <w:pPr>
      <w:suppressAutoHyphens/>
      <w:ind w:left="100" w:hanging="200"/>
    </w:pPr>
    <w:rPr>
      <w:kern w:val="1"/>
    </w:rPr>
  </w:style>
  <w:style w:type="paragraph" w:customStyle="1" w:styleId="39">
    <w:name w:val="表格文字"/>
    <w:basedOn w:val="1"/>
    <w:next w:val="3"/>
    <w:qFormat/>
    <w:uiPriority w:val="99"/>
    <w:pPr>
      <w:adjustRightInd w:val="0"/>
      <w:spacing w:line="420" w:lineRule="atLeast"/>
      <w:jc w:val="left"/>
      <w:textAlignment w:val="baseline"/>
    </w:pPr>
    <w:rPr>
      <w:rFonts w:ascii="Times New Roman" w:hAnsi="Times New Roman"/>
      <w:szCs w:val="20"/>
    </w:rPr>
  </w:style>
  <w:style w:type="paragraph" w:customStyle="1" w:styleId="40">
    <w:name w:val="Default"/>
    <w:basedOn w:val="1"/>
    <w:next w:val="39"/>
    <w:qFormat/>
    <w:uiPriority w:val="0"/>
    <w:pPr>
      <w:autoSpaceDE w:val="0"/>
      <w:autoSpaceDN w:val="0"/>
      <w:adjustRightInd w:val="0"/>
      <w:jc w:val="left"/>
    </w:pPr>
    <w:rPr>
      <w:rFonts w:ascii="宋体" w:hAnsi="Times New Roman" w:cs="宋体"/>
      <w:color w:val="000000"/>
      <w:kern w:val="0"/>
      <w:sz w:val="24"/>
      <w:szCs w:val="24"/>
    </w:rPr>
  </w:style>
  <w:style w:type="paragraph" w:customStyle="1" w:styleId="41">
    <w:name w:val="文档正文5"/>
    <w:basedOn w:val="12"/>
    <w:qFormat/>
    <w:uiPriority w:val="0"/>
    <w:pPr>
      <w:autoSpaceDE w:val="0"/>
      <w:autoSpaceDN w:val="0"/>
      <w:snapToGrid w:val="0"/>
      <w:spacing w:line="440" w:lineRule="exact"/>
      <w:ind w:firstLine="505"/>
    </w:pPr>
    <w:rPr>
      <w:spacing w:val="4"/>
      <w:sz w:val="24"/>
    </w:rPr>
  </w:style>
  <w:style w:type="paragraph" w:customStyle="1" w:styleId="42">
    <w:name w:val="p0"/>
    <w:basedOn w:val="1"/>
    <w:qFormat/>
    <w:uiPriority w:val="99"/>
    <w:pPr>
      <w:widowControl/>
      <w:snapToGrid w:val="0"/>
    </w:pPr>
    <w:rPr>
      <w:szCs w:val="24"/>
    </w:rPr>
  </w:style>
  <w:style w:type="paragraph" w:customStyle="1" w:styleId="43">
    <w:name w:val="文档正文"/>
    <w:basedOn w:val="1"/>
    <w:qFormat/>
    <w:uiPriority w:val="99"/>
    <w:pPr>
      <w:adjustRightInd w:val="0"/>
      <w:spacing w:line="480" w:lineRule="atLeast"/>
      <w:ind w:firstLine="567"/>
    </w:pPr>
    <w:rPr>
      <w:rFonts w:ascii="仿宋_GB2312" w:hAnsi="Times New Roman" w:eastAsia="仿宋_GB2312"/>
      <w:kern w:val="0"/>
      <w:sz w:val="28"/>
      <w:szCs w:val="20"/>
    </w:rPr>
  </w:style>
  <w:style w:type="paragraph" w:customStyle="1" w:styleId="44">
    <w:name w:val="列出段落1"/>
    <w:basedOn w:val="1"/>
    <w:unhideWhenUsed/>
    <w:qFormat/>
    <w:uiPriority w:val="99"/>
    <w:pPr>
      <w:ind w:firstLine="420" w:firstLineChars="200"/>
    </w:pPr>
  </w:style>
  <w:style w:type="character" w:customStyle="1" w:styleId="45">
    <w:name w:val="标题 1 Char"/>
    <w:basedOn w:val="31"/>
    <w:link w:val="8"/>
    <w:qFormat/>
    <w:uiPriority w:val="99"/>
    <w:rPr>
      <w:rFonts w:ascii="Calibri" w:hAnsi="Calibri" w:cs="Times New Roman"/>
      <w:b/>
      <w:bCs/>
      <w:kern w:val="44"/>
      <w:sz w:val="44"/>
      <w:szCs w:val="44"/>
    </w:rPr>
  </w:style>
  <w:style w:type="character" w:customStyle="1" w:styleId="46">
    <w:name w:val="标题 2 Char"/>
    <w:basedOn w:val="31"/>
    <w:link w:val="10"/>
    <w:qFormat/>
    <w:uiPriority w:val="99"/>
    <w:rPr>
      <w:rFonts w:ascii="Arial" w:hAnsi="Arial" w:eastAsia="黑体" w:cs="Times New Roman"/>
      <w:b/>
      <w:kern w:val="0"/>
      <w:sz w:val="32"/>
    </w:rPr>
  </w:style>
  <w:style w:type="character" w:customStyle="1" w:styleId="47">
    <w:name w:val="标题 4 Char"/>
    <w:basedOn w:val="31"/>
    <w:link w:val="14"/>
    <w:qFormat/>
    <w:uiPriority w:val="99"/>
    <w:rPr>
      <w:rFonts w:ascii="Cambria" w:hAnsi="Cambria" w:eastAsia="宋体" w:cs="Times New Roman"/>
      <w:b/>
      <w:bCs/>
      <w:sz w:val="28"/>
      <w:szCs w:val="28"/>
    </w:rPr>
  </w:style>
  <w:style w:type="character" w:customStyle="1" w:styleId="48">
    <w:name w:val="正文文本缩进 Char"/>
    <w:basedOn w:val="31"/>
    <w:link w:val="6"/>
    <w:qFormat/>
    <w:uiPriority w:val="99"/>
    <w:rPr>
      <w:rFonts w:ascii="Calibri" w:hAnsi="Calibri" w:cs="Times New Roman"/>
    </w:rPr>
  </w:style>
  <w:style w:type="character" w:customStyle="1" w:styleId="49">
    <w:name w:val="纯文本 Char"/>
    <w:basedOn w:val="31"/>
    <w:link w:val="18"/>
    <w:qFormat/>
    <w:uiPriority w:val="99"/>
    <w:rPr>
      <w:rFonts w:ascii="宋体" w:hAnsi="Courier New" w:cs="Courier New"/>
      <w:sz w:val="21"/>
      <w:szCs w:val="21"/>
    </w:rPr>
  </w:style>
  <w:style w:type="character" w:customStyle="1" w:styleId="50">
    <w:name w:val="页脚 Char"/>
    <w:basedOn w:val="31"/>
    <w:link w:val="20"/>
    <w:qFormat/>
    <w:uiPriority w:val="99"/>
    <w:rPr>
      <w:rFonts w:ascii="Calibri" w:hAnsi="Calibri" w:cs="Times New Roman"/>
      <w:sz w:val="18"/>
      <w:szCs w:val="18"/>
    </w:rPr>
  </w:style>
  <w:style w:type="character" w:customStyle="1" w:styleId="51">
    <w:name w:val="页眉 Char"/>
    <w:basedOn w:val="31"/>
    <w:link w:val="21"/>
    <w:qFormat/>
    <w:uiPriority w:val="99"/>
    <w:rPr>
      <w:rFonts w:ascii="Calibri" w:hAnsi="Calibri" w:cs="Times New Roman"/>
      <w:sz w:val="18"/>
      <w:szCs w:val="18"/>
    </w:rPr>
  </w:style>
  <w:style w:type="character" w:customStyle="1" w:styleId="52">
    <w:name w:val="副标题 Char"/>
    <w:basedOn w:val="31"/>
    <w:link w:val="25"/>
    <w:qFormat/>
    <w:uiPriority w:val="99"/>
    <w:rPr>
      <w:rFonts w:ascii="Cambria" w:hAnsi="Cambria" w:cs="Times New Roman"/>
      <w:b/>
      <w:bCs/>
      <w:kern w:val="28"/>
      <w:sz w:val="32"/>
      <w:szCs w:val="32"/>
    </w:rPr>
  </w:style>
  <w:style w:type="character" w:customStyle="1" w:styleId="53">
    <w:name w:val="正文文本 2 Char"/>
    <w:basedOn w:val="31"/>
    <w:link w:val="4"/>
    <w:qFormat/>
    <w:uiPriority w:val="99"/>
    <w:rPr>
      <w:rFonts w:ascii="Calibri" w:hAnsi="Calibri" w:cs="Times New Roman"/>
    </w:rPr>
  </w:style>
  <w:style w:type="character" w:customStyle="1" w:styleId="54">
    <w:name w:val="标题 Char"/>
    <w:basedOn w:val="31"/>
    <w:link w:val="9"/>
    <w:qFormat/>
    <w:uiPriority w:val="99"/>
    <w:rPr>
      <w:rFonts w:ascii="Cambria" w:hAnsi="Cambria" w:cs="Times New Roman"/>
      <w:b/>
      <w:bCs/>
      <w:sz w:val="32"/>
      <w:szCs w:val="32"/>
    </w:rPr>
  </w:style>
  <w:style w:type="character" w:customStyle="1" w:styleId="55">
    <w:name w:val="font31"/>
    <w:basedOn w:val="31"/>
    <w:qFormat/>
    <w:uiPriority w:val="99"/>
    <w:rPr>
      <w:rFonts w:ascii="宋体" w:hAnsi="宋体" w:eastAsia="宋体" w:cs="宋体"/>
      <w:color w:val="FF0000"/>
      <w:sz w:val="20"/>
      <w:szCs w:val="20"/>
      <w:u w:val="none"/>
    </w:rPr>
  </w:style>
  <w:style w:type="character" w:customStyle="1" w:styleId="56">
    <w:name w:val="font41"/>
    <w:basedOn w:val="31"/>
    <w:qFormat/>
    <w:uiPriority w:val="99"/>
    <w:rPr>
      <w:rFonts w:ascii="宋体" w:hAnsi="宋体" w:eastAsia="宋体" w:cs="宋体"/>
      <w:color w:val="000000"/>
      <w:sz w:val="18"/>
      <w:szCs w:val="18"/>
      <w:u w:val="none"/>
    </w:rPr>
  </w:style>
  <w:style w:type="character" w:customStyle="1" w:styleId="57">
    <w:name w:val="font11"/>
    <w:basedOn w:val="31"/>
    <w:qFormat/>
    <w:uiPriority w:val="99"/>
    <w:rPr>
      <w:rFonts w:ascii="宋体" w:hAnsi="宋体" w:eastAsia="宋体" w:cs="宋体"/>
      <w:color w:val="000000"/>
      <w:sz w:val="21"/>
      <w:szCs w:val="21"/>
      <w:u w:val="none"/>
    </w:rPr>
  </w:style>
  <w:style w:type="character" w:customStyle="1" w:styleId="58">
    <w:name w:val="font01"/>
    <w:basedOn w:val="31"/>
    <w:qFormat/>
    <w:uiPriority w:val="99"/>
    <w:rPr>
      <w:rFonts w:ascii="宋体" w:hAnsi="宋体" w:eastAsia="宋体" w:cs="宋体"/>
      <w:color w:val="000000"/>
      <w:sz w:val="24"/>
      <w:szCs w:val="24"/>
      <w:u w:val="none"/>
    </w:rPr>
  </w:style>
  <w:style w:type="character" w:customStyle="1" w:styleId="59">
    <w:name w:val="font81"/>
    <w:basedOn w:val="31"/>
    <w:qFormat/>
    <w:uiPriority w:val="99"/>
    <w:rPr>
      <w:rFonts w:ascii="宋体" w:hAnsi="宋体" w:eastAsia="宋体" w:cs="宋体"/>
      <w:color w:val="000000"/>
      <w:sz w:val="20"/>
      <w:szCs w:val="20"/>
      <w:u w:val="none"/>
    </w:rPr>
  </w:style>
  <w:style w:type="character" w:customStyle="1" w:styleId="60">
    <w:name w:val="font91"/>
    <w:basedOn w:val="31"/>
    <w:qFormat/>
    <w:uiPriority w:val="99"/>
    <w:rPr>
      <w:rFonts w:ascii="宋体" w:hAnsi="宋体" w:eastAsia="宋体" w:cs="宋体"/>
      <w:color w:val="000000"/>
      <w:sz w:val="52"/>
      <w:szCs w:val="52"/>
      <w:u w:val="none"/>
    </w:rPr>
  </w:style>
  <w:style w:type="character" w:customStyle="1" w:styleId="61">
    <w:name w:val="font51"/>
    <w:basedOn w:val="31"/>
    <w:qFormat/>
    <w:uiPriority w:val="99"/>
    <w:rPr>
      <w:rFonts w:ascii="宋体" w:hAnsi="宋体" w:eastAsia="宋体" w:cs="宋体"/>
      <w:b/>
      <w:color w:val="000000"/>
      <w:sz w:val="20"/>
      <w:szCs w:val="20"/>
      <w:u w:val="none"/>
    </w:rPr>
  </w:style>
  <w:style w:type="character" w:customStyle="1" w:styleId="62">
    <w:name w:val="font61"/>
    <w:basedOn w:val="31"/>
    <w:qFormat/>
    <w:uiPriority w:val="99"/>
    <w:rPr>
      <w:rFonts w:ascii="宋体" w:hAnsi="宋体" w:eastAsia="宋体" w:cs="宋体"/>
      <w:b/>
      <w:color w:val="000000"/>
      <w:sz w:val="52"/>
      <w:szCs w:val="52"/>
      <w:u w:val="none"/>
    </w:rPr>
  </w:style>
  <w:style w:type="character" w:customStyle="1" w:styleId="63">
    <w:name w:val="正文文本 Char"/>
    <w:basedOn w:val="31"/>
    <w:link w:val="3"/>
    <w:qFormat/>
    <w:uiPriority w:val="99"/>
    <w:rPr>
      <w:rFonts w:ascii="Calibri" w:hAnsi="Calibri"/>
      <w:kern w:val="2"/>
      <w:sz w:val="21"/>
      <w:szCs w:val="22"/>
    </w:rPr>
  </w:style>
  <w:style w:type="character" w:customStyle="1" w:styleId="64">
    <w:name w:val="正文首行缩进 Char"/>
    <w:basedOn w:val="63"/>
    <w:link w:val="2"/>
    <w:qFormat/>
    <w:uiPriority w:val="99"/>
    <w:rPr>
      <w:rFonts w:ascii="Calibri" w:hAnsi="Calibri"/>
      <w:kern w:val="2"/>
      <w:sz w:val="21"/>
      <w:szCs w:val="22"/>
    </w:rPr>
  </w:style>
  <w:style w:type="character" w:customStyle="1" w:styleId="65">
    <w:name w:val="标题 3 Char"/>
    <w:basedOn w:val="31"/>
    <w:link w:val="13"/>
    <w:qFormat/>
    <w:uiPriority w:val="0"/>
    <w:rPr>
      <w:rFonts w:ascii="Calibri" w:hAnsi="Calibri" w:eastAsia="宋体" w:cs="黑体"/>
      <w:b/>
      <w:bCs/>
      <w:kern w:val="2"/>
      <w:sz w:val="32"/>
      <w:szCs w:val="32"/>
    </w:rPr>
  </w:style>
  <w:style w:type="character" w:customStyle="1" w:styleId="66">
    <w:name w:val="批注框文本 Char"/>
    <w:basedOn w:val="31"/>
    <w:link w:val="19"/>
    <w:qFormat/>
    <w:uiPriority w:val="99"/>
    <w:rPr>
      <w:rFonts w:ascii="Calibri" w:hAnsi="Calibri"/>
      <w:kern w:val="2"/>
      <w:sz w:val="18"/>
      <w:szCs w:val="18"/>
    </w:rPr>
  </w:style>
  <w:style w:type="table" w:customStyle="1" w:styleId="67">
    <w:name w:val="Table Normal1"/>
    <w:semiHidden/>
    <w:unhideWhenUsed/>
    <w:qFormat/>
    <w:uiPriority w:val="0"/>
    <w:tblPr>
      <w:tblCellMar>
        <w:top w:w="0" w:type="dxa"/>
        <w:left w:w="0" w:type="dxa"/>
        <w:bottom w:w="0" w:type="dxa"/>
        <w:right w:w="0" w:type="dxa"/>
      </w:tblCellMar>
    </w:tblPr>
  </w:style>
  <w:style w:type="paragraph" w:customStyle="1" w:styleId="68">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9">
    <w:name w:val="Table Normal"/>
    <w:semiHidden/>
    <w:unhideWhenUsed/>
    <w:qFormat/>
    <w:uiPriority w:val="0"/>
    <w:tblPr>
      <w:tblCellMar>
        <w:top w:w="0" w:type="dxa"/>
        <w:left w:w="0" w:type="dxa"/>
        <w:bottom w:w="0" w:type="dxa"/>
        <w:right w:w="0" w:type="dxa"/>
      </w:tblCellMar>
    </w:tblPr>
  </w:style>
  <w:style w:type="character" w:customStyle="1" w:styleId="70">
    <w:name w:val="标题 1 字符"/>
    <w:link w:val="8"/>
    <w:qFormat/>
    <w:uiPriority w:val="0"/>
    <w:rPr>
      <w:rFonts w:ascii="Times New Roman" w:hAnsi="Times New Roman" w:eastAsia="宋体" w:cs="Times New Roman"/>
      <w:kern w:val="44"/>
      <w:sz w:val="32"/>
    </w:rPr>
  </w:style>
  <w:style w:type="paragraph" w:customStyle="1" w:styleId="71">
    <w:name w:val="Table Text"/>
    <w:basedOn w:val="1"/>
    <w:semiHidden/>
    <w:qFormat/>
    <w:uiPriority w:val="0"/>
    <w:rPr>
      <w:rFonts w:ascii="微软雅黑" w:hAnsi="微软雅黑" w:eastAsia="微软雅黑" w:cs="微软雅黑"/>
      <w:sz w:val="22"/>
      <w:szCs w:val="22"/>
      <w:lang w:val="en-US" w:eastAsia="en-US" w:bidi="ar-SA"/>
    </w:rPr>
  </w:style>
  <w:style w:type="paragraph" w:customStyle="1" w:styleId="72">
    <w:name w:val="无间隔1"/>
    <w:basedOn w:val="1"/>
    <w:qFormat/>
    <w:uiPriority w:val="1"/>
    <w:rPr>
      <w:rFonts w:ascii="等线" w:hAnsi="等线" w:eastAsia="等线"/>
      <w:szCs w:val="22"/>
    </w:rPr>
  </w:style>
  <w:style w:type="paragraph" w:customStyle="1" w:styleId="7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49</Pages>
  <Words>23193</Words>
  <Characters>24632</Characters>
  <Lines>261</Lines>
  <Paragraphs>73</Paragraphs>
  <TotalTime>4</TotalTime>
  <ScaleCrop>false</ScaleCrop>
  <LinksUpToDate>false</LinksUpToDate>
  <CharactersWithSpaces>27345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2018-03-30T07:17:00Z</dcterms:created>
  <dc:creator>Administrator</dc:creator>
  <cp:lastModifiedBy>涵丫头</cp:lastModifiedBy>
  <cp:lastPrinted>2023-09-11T01:24:00Z</cp:lastPrinted>
  <dcterms:modified xsi:type="dcterms:W3CDTF">2023-11-17T00:59:35Z</dcterms:modified>
  <dc:title>温县产业新城PPP项目咨询服务机构采购项目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A9EA12DF003D453A87F92010B894B512_13</vt:lpwstr>
  </property>
</Properties>
</file>