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00" w:lineRule="exact"/>
        <w:jc w:val="center"/>
        <w:outlineLvl w:val="0"/>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货物分项报价一览表</w:t>
      </w:r>
    </w:p>
    <w:p>
      <w:pPr>
        <w:widowControl/>
        <w:spacing w:line="360" w:lineRule="exact"/>
        <w:jc w:val="left"/>
        <w:rPr>
          <w:rFonts w:hint="eastAsia" w:ascii="宋体" w:hAnsi="宋体" w:eastAsia="宋体" w:cs="宋体"/>
          <w:i/>
          <w:kern w:val="0"/>
          <w:szCs w:val="21"/>
        </w:rPr>
      </w:pPr>
    </w:p>
    <w:tbl>
      <w:tblPr>
        <w:tblStyle w:val="8"/>
        <w:tblpPr w:leftFromText="180" w:rightFromText="180" w:vertAnchor="text" w:horzAnchor="page" w:tblpX="838" w:tblpY="355"/>
        <w:tblOverlap w:val="never"/>
        <w:tblW w:w="10151" w:type="dxa"/>
        <w:tblInd w:w="0" w:type="dxa"/>
        <w:tblLayout w:type="fixed"/>
        <w:tblCellMar>
          <w:top w:w="0" w:type="dxa"/>
          <w:left w:w="0" w:type="dxa"/>
          <w:bottom w:w="0" w:type="dxa"/>
          <w:right w:w="0" w:type="dxa"/>
        </w:tblCellMar>
      </w:tblPr>
      <w:tblGrid>
        <w:gridCol w:w="690"/>
        <w:gridCol w:w="885"/>
        <w:gridCol w:w="4365"/>
        <w:gridCol w:w="555"/>
        <w:gridCol w:w="720"/>
        <w:gridCol w:w="1110"/>
        <w:gridCol w:w="1065"/>
        <w:gridCol w:w="761"/>
      </w:tblGrid>
      <w:tr>
        <w:tblPrEx>
          <w:tblCellMar>
            <w:top w:w="0" w:type="dxa"/>
            <w:left w:w="0" w:type="dxa"/>
            <w:bottom w:w="0" w:type="dxa"/>
            <w:right w:w="0" w:type="dxa"/>
          </w:tblCellMar>
        </w:tblPrEx>
        <w:trPr>
          <w:cantSplit/>
          <w:trHeight w:val="540" w:hRule="atLeast"/>
        </w:trPr>
        <w:tc>
          <w:tcPr>
            <w:tcW w:w="10151" w:type="dxa"/>
            <w:gridSpan w:val="8"/>
            <w:noWrap w:val="0"/>
            <w:tcMar>
              <w:top w:w="20" w:type="dxa"/>
              <w:left w:w="20" w:type="dxa"/>
              <w:bottom w:w="0" w:type="dxa"/>
              <w:right w:w="20" w:type="dxa"/>
            </w:tcMar>
            <w:vAlign w:val="center"/>
          </w:tcPr>
          <w:p>
            <w:pPr>
              <w:rPr>
                <w:rFonts w:hint="eastAsia" w:ascii="宋体" w:hAnsi="宋体" w:eastAsia="宋体" w:cs="宋体"/>
                <w:sz w:val="21"/>
                <w:szCs w:val="21"/>
              </w:rPr>
            </w:pPr>
            <w:r>
              <w:rPr>
                <w:rFonts w:hint="eastAsia" w:ascii="宋体" w:hAnsi="宋体" w:eastAsia="宋体" w:cs="宋体"/>
                <w:sz w:val="21"/>
                <w:szCs w:val="21"/>
              </w:rPr>
              <w:t>投标商：（此处填名称并盖章）</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焦作海康威视网络科技有限公司</w:t>
            </w:r>
            <w:r>
              <w:rPr>
                <w:rFonts w:hint="eastAsia" w:ascii="宋体" w:hAnsi="宋体" w:eastAsia="宋体" w:cs="宋体"/>
                <w:sz w:val="21"/>
                <w:szCs w:val="21"/>
                <w:u w:val="single"/>
              </w:rPr>
              <w:t xml:space="preserve"> </w:t>
            </w:r>
          </w:p>
        </w:tc>
      </w:tr>
      <w:tr>
        <w:tblPrEx>
          <w:tblCellMar>
            <w:top w:w="0" w:type="dxa"/>
            <w:left w:w="0" w:type="dxa"/>
            <w:bottom w:w="0" w:type="dxa"/>
            <w:right w:w="0" w:type="dxa"/>
          </w:tblCellMar>
        </w:tblPrEx>
        <w:trPr>
          <w:cantSplit/>
          <w:trHeight w:val="469" w:hRule="atLeast"/>
        </w:trPr>
        <w:tc>
          <w:tcPr>
            <w:tcW w:w="10151" w:type="dxa"/>
            <w:gridSpan w:val="8"/>
            <w:noWrap w:val="0"/>
            <w:tcMar>
              <w:top w:w="20" w:type="dxa"/>
              <w:left w:w="20" w:type="dxa"/>
              <w:bottom w:w="0" w:type="dxa"/>
              <w:right w:w="20" w:type="dxa"/>
            </w:tcMar>
            <w:vAlign w:val="center"/>
          </w:tcPr>
          <w:p>
            <w:pPr>
              <w:rPr>
                <w:rFonts w:hint="eastAsia" w:ascii="宋体" w:hAnsi="宋体" w:eastAsia="宋体" w:cs="宋体"/>
                <w:sz w:val="21"/>
                <w:szCs w:val="21"/>
              </w:rPr>
            </w:pPr>
            <w:r>
              <w:rPr>
                <w:rFonts w:hint="eastAsia" w:ascii="宋体" w:hAnsi="宋体" w:eastAsia="宋体" w:cs="宋体"/>
                <w:sz w:val="21"/>
                <w:szCs w:val="21"/>
              </w:rPr>
              <w:t>项目：</w:t>
            </w:r>
            <w:r>
              <w:rPr>
                <w:rFonts w:hint="eastAsia" w:ascii="宋体" w:hAnsi="宋体" w:eastAsia="宋体" w:cs="宋体"/>
                <w:color w:val="000000"/>
                <w:sz w:val="21"/>
                <w:szCs w:val="21"/>
                <w:u w:val="single"/>
                <w:shd w:val="clear" w:color="auto" w:fill="FFFFFF"/>
                <w:lang w:eastAsia="zh-CN"/>
              </w:rPr>
              <w:t>温县公安局城区街道翻新修建后增加交通设施费用项目(二次）</w:t>
            </w:r>
            <w:r>
              <w:rPr>
                <w:rFonts w:hint="eastAsia" w:ascii="宋体" w:hAnsi="宋体" w:eastAsia="宋体" w:cs="宋体"/>
                <w:sz w:val="21"/>
                <w:szCs w:val="21"/>
              </w:rPr>
              <w:t>（此处填项目名称）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金额单位：元</w:t>
            </w:r>
          </w:p>
        </w:tc>
      </w:tr>
      <w:tr>
        <w:tblPrEx>
          <w:tblCellMar>
            <w:top w:w="0" w:type="dxa"/>
            <w:left w:w="0" w:type="dxa"/>
            <w:bottom w:w="0" w:type="dxa"/>
            <w:right w:w="0" w:type="dxa"/>
          </w:tblCellMar>
        </w:tblPrEx>
        <w:trPr>
          <w:trHeight w:val="518"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436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参数或要求</w:t>
            </w:r>
          </w:p>
        </w:tc>
        <w:tc>
          <w:tcPr>
            <w:tcW w:w="55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720"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1110"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pPr>
              <w:ind w:firstLine="210" w:firstLineChars="100"/>
              <w:jc w:val="both"/>
              <w:rPr>
                <w:rFonts w:hint="eastAsia" w:ascii="宋体" w:hAnsi="宋体" w:eastAsia="宋体" w:cs="宋体"/>
                <w:sz w:val="21"/>
                <w:szCs w:val="21"/>
              </w:rPr>
            </w:pPr>
            <w:r>
              <w:rPr>
                <w:rFonts w:hint="eastAsia" w:ascii="宋体" w:hAnsi="宋体" w:eastAsia="宋体" w:cs="宋体"/>
                <w:sz w:val="21"/>
                <w:szCs w:val="21"/>
              </w:rPr>
              <w:t>单价</w:t>
            </w:r>
          </w:p>
        </w:tc>
        <w:tc>
          <w:tcPr>
            <w:tcW w:w="106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pPr>
              <w:ind w:firstLine="210" w:firstLineChars="100"/>
              <w:jc w:val="both"/>
              <w:rPr>
                <w:rFonts w:hint="eastAsia" w:ascii="宋体" w:hAnsi="宋体" w:eastAsia="宋体" w:cs="宋体"/>
                <w:sz w:val="21"/>
                <w:szCs w:val="21"/>
              </w:rPr>
            </w:pPr>
            <w:r>
              <w:rPr>
                <w:rFonts w:hint="eastAsia" w:ascii="宋体" w:hAnsi="宋体" w:eastAsia="宋体" w:cs="宋体"/>
                <w:sz w:val="21"/>
                <w:szCs w:val="21"/>
              </w:rPr>
              <w:t>合计</w:t>
            </w:r>
          </w:p>
        </w:tc>
        <w:tc>
          <w:tcPr>
            <w:tcW w:w="761"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pPr>
              <w:ind w:firstLine="210" w:firstLineChars="10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CellMar>
            <w:top w:w="0" w:type="dxa"/>
            <w:left w:w="0" w:type="dxa"/>
            <w:bottom w:w="0" w:type="dxa"/>
            <w:right w:w="0" w:type="dxa"/>
          </w:tblCellMar>
        </w:tblPrEx>
        <w:trPr>
          <w:trHeight w:val="782"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900万像素高清电警抓拍单元</w:t>
            </w:r>
          </w:p>
        </w:tc>
        <w:tc>
          <w:tcPr>
            <w:tcW w:w="43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海康威视  iDS-TCE900-B</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包含摄像机、高清镜头、室外防护罩、内置补光灯、风扇、电源适配器、安装万向节等</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像素：900W</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分辨率：4096(H)*2160(V)</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帧率：25fps</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感光器件：两个1英寸全局曝光CMOS</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镜头：专用镜头</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码流：6144Kbps</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接口协议：ONVIF(PROFILE S,PROFILE G),ISAPI ,GB28181，SDK</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内部组件：LED补光灯</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视频压缩标准：H.265/H.264/MJPEG</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图像输出格式：JPEG</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通讯接口：4个RS-485接口,1个RS-232接口；2个RJ45 10M/100M/1000M自适应以太网口</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外部接口：7路（光耦隔离2500VAC/5V TTL 电平量），作为补光灯同步输出控制；一路继电器输出口</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存储支持：支持TF卡（64G ），支持云存储协议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终端接入：支持终端服务器接入</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工作电压：100VAC～240VAC；频率：48Hz～52Hz</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功耗：＜20W</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重量：5.2±0.5kg</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外形尺寸（不含支架）：180mm(W)×152.7（H）×636mm(D)</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工作环境温度：-30℃~+70℃</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防护等级：IP65</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智能功能，目标检测：机动车抓拍，车辆捕获率99%（线圈）车辆捕获率95%（视频），非机动抓拍，行人抓拍；违章检测：压线、逆行、闯红灯、不按导向行驶、违法变道、路口停止、绿灯停车、机占非、闯禁令（禁左、禁右、禁止大车、公交专用道）、闯绿灯；车辆特征检测：车牌识别、车型识别、车身颜色识别(环境光有要求)、违章检测、车辆品牌等特征检测</w:t>
            </w:r>
          </w:p>
        </w:tc>
        <w:tc>
          <w:tcPr>
            <w:tcW w:w="5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台</w:t>
            </w:r>
          </w:p>
        </w:tc>
        <w:tc>
          <w:tcPr>
            <w:tcW w:w="72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111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16000</w:t>
            </w:r>
          </w:p>
        </w:tc>
        <w:tc>
          <w:tcPr>
            <w:tcW w:w="10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64000</w:t>
            </w:r>
          </w:p>
        </w:tc>
        <w:tc>
          <w:tcPr>
            <w:tcW w:w="76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782"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900万像素高清反向抓拍单元</w:t>
            </w:r>
          </w:p>
        </w:tc>
        <w:tc>
          <w:tcPr>
            <w:tcW w:w="43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海康威视</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iDS-TCV900-BE</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包含摄像机、高清镜头、室外防护罩、内置补光灯、风扇、电源适配器、安装万向节等</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像素：900W</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分辨率：4096(H)×2160(V)</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帧率：25fps</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感光器件：1英寸全局曝光CMOS（*2）</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镜头：专用镜头（50mm）</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视频压缩标准：H.265/H.264/MJPEG</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图像输出格式：JPEG</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通讯接口：4个RS-485接口,1个RS-232接口；2个RJ45 10M/100M/1000M自适应以太网口</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触发输出：7路（光耦隔离2500VAC/5V TTL电平量），作为补光灯同步输出控制；一路继电器输出口</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存储支持：支持64G TF卡，支持云存储协议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终端接入：支持终端服务器接入</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工作电压：100VAC～240VAC；频率：48Hz～52Hz</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功耗：＜20W</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重量：5.2±0.5kg</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智能功能，目标检测：支持机动车、非机动车、行人抓拍；违章检测：超速、压线、逆行、禁止大货车等违法行为；车辆特征检测：车牌识别、车型识别、车身颜色识别(环境光有要求)、违章检测、车辆品牌等特征检测</w:t>
            </w:r>
          </w:p>
        </w:tc>
        <w:tc>
          <w:tcPr>
            <w:tcW w:w="5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台</w:t>
            </w:r>
          </w:p>
        </w:tc>
        <w:tc>
          <w:tcPr>
            <w:tcW w:w="72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111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16400</w:t>
            </w:r>
          </w:p>
        </w:tc>
        <w:tc>
          <w:tcPr>
            <w:tcW w:w="10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16400</w:t>
            </w:r>
          </w:p>
        </w:tc>
        <w:tc>
          <w:tcPr>
            <w:tcW w:w="76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782"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LED频闪环境补光灯</w:t>
            </w:r>
          </w:p>
        </w:tc>
        <w:tc>
          <w:tcPr>
            <w:tcW w:w="43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海康威视  CXBG-1-PS-DS-TL2000A-L1-N</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光源类型：原装进口大功率LED，单车道环境补光</w:t>
            </w:r>
            <w:r>
              <w:rPr>
                <w:rFonts w:hint="eastAsia" w:ascii="宋体" w:hAnsi="宋体" w:eastAsia="宋体" w:cs="宋体"/>
                <w:kern w:val="0"/>
                <w:sz w:val="21"/>
                <w:szCs w:val="21"/>
              </w:rPr>
              <w:br w:type="textWrapping"/>
            </w:r>
            <w:r>
              <w:rPr>
                <w:rFonts w:hint="eastAsia" w:ascii="宋体" w:hAnsi="宋体" w:eastAsia="宋体" w:cs="宋体"/>
                <w:kern w:val="0"/>
                <w:sz w:val="21"/>
                <w:szCs w:val="21"/>
              </w:rPr>
              <w:t>LED灯珠数量：16颗</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发光角度：10°</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最佳补光距离：16米-25米</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触发方式：电平量触发</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响应时间：小于20us</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日夜功能：支持环境亮度监测,低照度下自动开启</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触发信号电平：4V-6V</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防护等级：IP66</w:t>
            </w:r>
          </w:p>
        </w:tc>
        <w:tc>
          <w:tcPr>
            <w:tcW w:w="5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只</w:t>
            </w:r>
          </w:p>
        </w:tc>
        <w:tc>
          <w:tcPr>
            <w:tcW w:w="72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12</w:t>
            </w:r>
          </w:p>
        </w:tc>
        <w:tc>
          <w:tcPr>
            <w:tcW w:w="111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1800</w:t>
            </w:r>
          </w:p>
        </w:tc>
        <w:tc>
          <w:tcPr>
            <w:tcW w:w="10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21600</w:t>
            </w:r>
          </w:p>
        </w:tc>
        <w:tc>
          <w:tcPr>
            <w:tcW w:w="76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反向抓拍闪光灯</w:t>
            </w:r>
          </w:p>
        </w:tc>
        <w:tc>
          <w:tcPr>
            <w:tcW w:w="43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海康威视  CXBG-2-MC-DS-TL3000B</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24颗大功率进口LED灯珠，支持LED频闪，白光气体爆闪，红外气体爆闪。LED频闪支持PWM跟随触发，具有频率及占空比保护功能，发光角度10°；气体爆闪具有防误触发功能，提高产品寿命。可覆盖1个车道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采用24颗原装进口高亮度LED芯片，寿命长，稳定性好，发光效率高</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采用步进电机功能，实现红外滤片的切换</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气体光源回电时间小于67ms，支持超速连拍，</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气体补光控制具有峰值抑制功能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支持LED灯频闪、白光气体爆闪，红外气体爆闪</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支持相机误触发保护功能，触发信号输入异常时自动保护、且自动恢复</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结构采用IP65设计，增加透气孔，保持内外压强均衡，可靠防水、防尘</w:t>
            </w:r>
          </w:p>
        </w:tc>
        <w:tc>
          <w:tcPr>
            <w:tcW w:w="5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只</w:t>
            </w:r>
          </w:p>
        </w:tc>
        <w:tc>
          <w:tcPr>
            <w:tcW w:w="72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w:t>
            </w:r>
          </w:p>
        </w:tc>
        <w:tc>
          <w:tcPr>
            <w:tcW w:w="111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5000</w:t>
            </w:r>
          </w:p>
        </w:tc>
        <w:tc>
          <w:tcPr>
            <w:tcW w:w="10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15000</w:t>
            </w:r>
          </w:p>
        </w:tc>
        <w:tc>
          <w:tcPr>
            <w:tcW w:w="76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信号灯检测器</w:t>
            </w:r>
          </w:p>
        </w:tc>
        <w:tc>
          <w:tcPr>
            <w:tcW w:w="43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left"/>
              <w:rPr>
                <w:rFonts w:hint="eastAsia" w:ascii="Symbol" w:hAnsi="Symbol" w:eastAsia="宋体" w:cs="宋体"/>
                <w:kern w:val="0"/>
                <w:sz w:val="21"/>
                <w:szCs w:val="21"/>
              </w:rPr>
            </w:pPr>
            <w:r>
              <w:rPr>
                <w:rFonts w:hint="eastAsia" w:ascii="Symbol" w:hAnsi="Symbol" w:eastAsia="宋体" w:cs="宋体"/>
                <w:kern w:val="0"/>
                <w:sz w:val="21"/>
                <w:szCs w:val="21"/>
              </w:rPr>
              <w:t xml:space="preserve">海康威视  </w:t>
            </w:r>
            <w:r>
              <w:rPr>
                <w:rFonts w:hint="eastAsia" w:ascii="华文仿宋" w:hAnsi="华文仿宋" w:eastAsia="华文仿宋" w:cs="华文仿宋"/>
                <w:kern w:val="0"/>
                <w:sz w:val="21"/>
                <w:szCs w:val="21"/>
              </w:rPr>
              <w:t>T</w:t>
            </w:r>
            <w:r>
              <w:rPr>
                <w:rFonts w:hint="eastAsia" w:ascii="华文仿宋" w:hAnsi="华文仿宋" w:eastAsia="华文仿宋" w:cs="华文仿宋"/>
                <w:kern w:val="0"/>
                <w:sz w:val="21"/>
                <w:szCs w:val="21"/>
                <w:lang w:val="en-US" w:eastAsia="zh-CN"/>
              </w:rPr>
              <w:t>LD</w:t>
            </w:r>
            <w:r>
              <w:rPr>
                <w:rFonts w:hint="eastAsia" w:ascii="Symbol" w:hAnsi="Symbol" w:eastAsia="宋体" w:cs="宋体"/>
                <w:kern w:val="0"/>
                <w:sz w:val="21"/>
                <w:szCs w:val="21"/>
              </w:rPr>
              <w:t>-2016-6</w:t>
            </w:r>
          </w:p>
          <w:p>
            <w:pPr>
              <w:widowControl/>
              <w:jc w:val="left"/>
              <w:rPr>
                <w:rFonts w:hint="eastAsia" w:ascii="Symbol" w:hAnsi="Symbol" w:eastAsia="宋体" w:cs="宋体"/>
                <w:kern w:val="0"/>
                <w:sz w:val="21"/>
                <w:szCs w:val="21"/>
                <w:lang w:val="en-US" w:eastAsia="zh-CN" w:bidi="ar-SA"/>
              </w:rPr>
            </w:pPr>
            <w:r>
              <w:rPr>
                <w:rFonts w:ascii="Symbol" w:hAnsi="Symbol" w:eastAsia="宋体" w:cs="宋体"/>
                <w:kern w:val="0"/>
                <w:sz w:val="21"/>
                <w:szCs w:val="21"/>
              </w:rPr>
              <w:t></w:t>
            </w:r>
            <w:r>
              <w:rPr>
                <w:rFonts w:hint="eastAsia" w:ascii="宋体" w:hAnsi="宋体" w:eastAsia="宋体" w:cs="宋体"/>
                <w:kern w:val="0"/>
                <w:sz w:val="21"/>
                <w:szCs w:val="21"/>
              </w:rPr>
              <w:t xml:space="preserve"> 检测、通讯单元采用微控制器设计，稳定可靠；</w:t>
            </w:r>
            <w:r>
              <w:rPr>
                <w:rFonts w:hint="eastAsia" w:ascii="宋体" w:hAnsi="宋体" w:eastAsia="宋体" w:cs="宋体"/>
                <w:kern w:val="0"/>
                <w:sz w:val="21"/>
                <w:szCs w:val="21"/>
              </w:rPr>
              <w:br w:type="textWrapping"/>
            </w:r>
            <w:r>
              <w:rPr>
                <w:rFonts w:ascii="Symbol" w:hAnsi="Symbol" w:eastAsia="宋体" w:cs="宋体"/>
                <w:kern w:val="0"/>
                <w:sz w:val="21"/>
                <w:szCs w:val="21"/>
              </w:rPr>
              <w:t></w:t>
            </w:r>
            <w:r>
              <w:rPr>
                <w:rFonts w:hint="eastAsia" w:ascii="宋体" w:hAnsi="宋体" w:eastAsia="宋体" w:cs="宋体"/>
                <w:kern w:val="0"/>
                <w:sz w:val="21"/>
                <w:szCs w:val="21"/>
              </w:rPr>
              <w:t xml:space="preserve"> 信号灯交流信号输入接口16路;</w:t>
            </w:r>
            <w:r>
              <w:rPr>
                <w:rFonts w:hint="eastAsia" w:ascii="宋体" w:hAnsi="宋体" w:eastAsia="宋体" w:cs="宋体"/>
                <w:kern w:val="0"/>
                <w:sz w:val="21"/>
                <w:szCs w:val="21"/>
              </w:rPr>
              <w:br w:type="textWrapping"/>
            </w:r>
            <w:r>
              <w:rPr>
                <w:rFonts w:ascii="Symbol" w:hAnsi="Symbol" w:eastAsia="宋体" w:cs="宋体"/>
                <w:kern w:val="0"/>
                <w:sz w:val="21"/>
                <w:szCs w:val="21"/>
              </w:rPr>
              <w:t></w:t>
            </w:r>
            <w:r>
              <w:rPr>
                <w:rFonts w:hint="eastAsia" w:ascii="宋体" w:hAnsi="宋体" w:eastAsia="宋体" w:cs="宋体"/>
                <w:kern w:val="0"/>
                <w:sz w:val="21"/>
                <w:szCs w:val="21"/>
              </w:rPr>
              <w:t xml:space="preserve"> 配置16路交通灯信号状态指示灯；</w:t>
            </w:r>
            <w:r>
              <w:rPr>
                <w:rFonts w:hint="eastAsia" w:ascii="宋体" w:hAnsi="宋体" w:eastAsia="宋体" w:cs="宋体"/>
                <w:kern w:val="0"/>
                <w:sz w:val="21"/>
                <w:szCs w:val="21"/>
              </w:rPr>
              <w:br w:type="textWrapping"/>
            </w:r>
            <w:r>
              <w:rPr>
                <w:rFonts w:ascii="Symbol" w:hAnsi="Symbol" w:eastAsia="宋体" w:cs="宋体"/>
                <w:kern w:val="0"/>
                <w:sz w:val="21"/>
                <w:szCs w:val="21"/>
              </w:rPr>
              <w:t></w:t>
            </w:r>
            <w:r>
              <w:rPr>
                <w:rFonts w:hint="eastAsia" w:ascii="宋体" w:hAnsi="宋体" w:eastAsia="宋体" w:cs="宋体"/>
                <w:kern w:val="0"/>
                <w:sz w:val="21"/>
                <w:szCs w:val="21"/>
              </w:rPr>
              <w:t xml:space="preserve"> RS485输出接口4路；  </w:t>
            </w:r>
            <w:r>
              <w:rPr>
                <w:rFonts w:hint="eastAsia" w:ascii="宋体" w:hAnsi="宋体" w:eastAsia="宋体" w:cs="宋体"/>
                <w:kern w:val="0"/>
                <w:sz w:val="21"/>
                <w:szCs w:val="21"/>
              </w:rPr>
              <w:br w:type="textWrapping"/>
            </w:r>
            <w:r>
              <w:rPr>
                <w:rFonts w:ascii="Symbol" w:hAnsi="Symbol" w:eastAsia="宋体" w:cs="宋体"/>
                <w:kern w:val="0"/>
                <w:sz w:val="21"/>
                <w:szCs w:val="21"/>
              </w:rPr>
              <w:t></w:t>
            </w:r>
            <w:r>
              <w:rPr>
                <w:rFonts w:hint="eastAsia" w:ascii="宋体" w:hAnsi="宋体" w:eastAsia="宋体" w:cs="宋体"/>
                <w:kern w:val="0"/>
                <w:sz w:val="21"/>
                <w:szCs w:val="21"/>
              </w:rPr>
              <w:t xml:space="preserve"> 5位拨码开关设置波特率、地址和上传模式；</w:t>
            </w:r>
            <w:r>
              <w:rPr>
                <w:rFonts w:hint="eastAsia" w:ascii="宋体" w:hAnsi="宋体" w:eastAsia="宋体" w:cs="宋体"/>
                <w:kern w:val="0"/>
                <w:sz w:val="21"/>
                <w:szCs w:val="21"/>
              </w:rPr>
              <w:br w:type="textWrapping"/>
            </w:r>
            <w:r>
              <w:rPr>
                <w:rFonts w:ascii="Symbol" w:hAnsi="Symbol" w:eastAsia="宋体" w:cs="宋体"/>
                <w:kern w:val="0"/>
                <w:sz w:val="21"/>
                <w:szCs w:val="21"/>
              </w:rPr>
              <w:t></w:t>
            </w:r>
            <w:r>
              <w:rPr>
                <w:rFonts w:hint="eastAsia" w:ascii="宋体" w:hAnsi="宋体" w:eastAsia="宋体" w:cs="宋体"/>
                <w:kern w:val="0"/>
                <w:sz w:val="21"/>
                <w:szCs w:val="21"/>
              </w:rPr>
              <w:t xml:space="preserve"> 设备功耗：3瓦；</w:t>
            </w:r>
            <w:r>
              <w:rPr>
                <w:rFonts w:hint="eastAsia" w:ascii="宋体" w:hAnsi="宋体" w:eastAsia="宋体" w:cs="宋体"/>
                <w:kern w:val="0"/>
                <w:sz w:val="21"/>
                <w:szCs w:val="21"/>
              </w:rPr>
              <w:br w:type="textWrapping"/>
            </w:r>
            <w:r>
              <w:rPr>
                <w:rFonts w:ascii="Symbol" w:hAnsi="Symbol" w:eastAsia="宋体" w:cs="宋体"/>
                <w:kern w:val="0"/>
                <w:sz w:val="21"/>
                <w:szCs w:val="21"/>
              </w:rPr>
              <w:t></w:t>
            </w:r>
            <w:r>
              <w:rPr>
                <w:rFonts w:hint="eastAsia" w:ascii="宋体" w:hAnsi="宋体" w:eastAsia="宋体" w:cs="宋体"/>
                <w:kern w:val="0"/>
                <w:sz w:val="21"/>
                <w:szCs w:val="21"/>
              </w:rPr>
              <w:t xml:space="preserve"> 工作环境温度：-40℃～+80℃;</w:t>
            </w:r>
            <w:r>
              <w:rPr>
                <w:rFonts w:hint="eastAsia" w:ascii="宋体" w:hAnsi="宋体" w:eastAsia="宋体" w:cs="宋体"/>
                <w:kern w:val="0"/>
                <w:sz w:val="21"/>
                <w:szCs w:val="21"/>
              </w:rPr>
              <w:br w:type="textWrapping"/>
            </w:r>
            <w:r>
              <w:rPr>
                <w:rFonts w:ascii="Symbol" w:hAnsi="Symbol" w:eastAsia="宋体" w:cs="宋体"/>
                <w:kern w:val="0"/>
                <w:sz w:val="21"/>
                <w:szCs w:val="21"/>
              </w:rPr>
              <w:t></w:t>
            </w:r>
            <w:r>
              <w:rPr>
                <w:rFonts w:hint="eastAsia" w:ascii="宋体" w:hAnsi="宋体" w:eastAsia="宋体" w:cs="宋体"/>
                <w:kern w:val="0"/>
                <w:sz w:val="21"/>
                <w:szCs w:val="21"/>
              </w:rPr>
              <w:t xml:space="preserve"> 1U上架式机箱。</w:t>
            </w:r>
          </w:p>
        </w:tc>
        <w:tc>
          <w:tcPr>
            <w:tcW w:w="5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只</w:t>
            </w:r>
          </w:p>
        </w:tc>
        <w:tc>
          <w:tcPr>
            <w:tcW w:w="72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111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3400</w:t>
            </w:r>
          </w:p>
        </w:tc>
        <w:tc>
          <w:tcPr>
            <w:tcW w:w="10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3400</w:t>
            </w:r>
          </w:p>
        </w:tc>
        <w:tc>
          <w:tcPr>
            <w:tcW w:w="76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前端</w:t>
            </w:r>
            <w:r>
              <w:rPr>
                <w:rFonts w:hint="eastAsia" w:ascii="宋体" w:hAnsi="宋体" w:eastAsia="宋体" w:cs="宋体"/>
                <w:kern w:val="0"/>
                <w:sz w:val="21"/>
                <w:szCs w:val="21"/>
              </w:rPr>
              <w:t>控制主机</w:t>
            </w:r>
          </w:p>
        </w:tc>
        <w:tc>
          <w:tcPr>
            <w:tcW w:w="43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海康威视  DS-TP50-YY</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高性能ARM A17四核数字媒体处理器；</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内置1块3.5寸4T硬盘；支持16路IPC接入；</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网络接口：设备具有16个1000M以太网接口，1个内部和1个外部10/100/1000M自适应以太网接口，1个内部和1个外部千兆可光电切换光纤接口；</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其他接口：设备具有2个RS-232接口、2个RS-485接口、1个USB3.0接口、2路报警输入接口、2路报警输出接口、1个音频输入接口、1个音频输出接口、1个USB3.0接口；</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支持对通行车辆的信息（记录和图片）存储；</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支持录像存储功能；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可配置多种字符叠加、图片合成模式；</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支持区间测速功能；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所投产品厂家须具有完善的工业信息安全应急体系、良好的安全应急能力，具备工业信息安全应急服务支撑单位证书；须具有公安部重点实验室；须在产品质量管理、设计、制造、风险控制等方面均处于行业较先进水平，具备CCC现场检测实验室资质。以上证明材料须提供复印件并加盖厂家公章。 提供所投产品厂家针对本项目的售后服务承诺书原件并加盖厂家公章。</w:t>
            </w:r>
          </w:p>
        </w:tc>
        <w:tc>
          <w:tcPr>
            <w:tcW w:w="5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台</w:t>
            </w:r>
          </w:p>
        </w:tc>
        <w:tc>
          <w:tcPr>
            <w:tcW w:w="72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111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19000</w:t>
            </w:r>
          </w:p>
        </w:tc>
        <w:tc>
          <w:tcPr>
            <w:tcW w:w="10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19000</w:t>
            </w:r>
          </w:p>
        </w:tc>
        <w:tc>
          <w:tcPr>
            <w:tcW w:w="76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球机</w:t>
            </w:r>
          </w:p>
        </w:tc>
        <w:tc>
          <w:tcPr>
            <w:tcW w:w="43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海康威视  iDS-2DF8YLN-F</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200万8寸红外；1920×1080@60fps；星光级超低照度:0.0005ux/F1.5(彩色),0.0001ux/F1.5(黑白) ,0 ux with IR；200米红外照射距离；焦距：5.9-135.7mm, 23倍光学；支持音频、报警；支持120dB宽动态、透雾、强光抑制、Smart IR 、电子防抖、3D数字降噪；支持智能运动跟踪；支持区域入侵、越界、进入区域、离开区域、徘徊、人员聚集、快速移动、停车、物品遗留、物品拿取、音频异常、人脸、移动侦测；支持车牌识别；水平键控速度最大210°/s，垂直键控速度最大150°/s，垂直范围-20°-90° (自动翻转)；H.265/H.264/MJPEG；支持128GB Micro SD卡；电源：AC24V，50W max；支持IP66；工作温度：-40℃-70℃。</w:t>
            </w:r>
          </w:p>
        </w:tc>
        <w:tc>
          <w:tcPr>
            <w:tcW w:w="5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台</w:t>
            </w:r>
          </w:p>
        </w:tc>
        <w:tc>
          <w:tcPr>
            <w:tcW w:w="72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p>
        </w:tc>
        <w:tc>
          <w:tcPr>
            <w:tcW w:w="111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9800</w:t>
            </w:r>
          </w:p>
        </w:tc>
        <w:tc>
          <w:tcPr>
            <w:tcW w:w="10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49000</w:t>
            </w:r>
          </w:p>
        </w:tc>
        <w:tc>
          <w:tcPr>
            <w:tcW w:w="76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电警立杆</w:t>
            </w:r>
          </w:p>
        </w:tc>
        <w:tc>
          <w:tcPr>
            <w:tcW w:w="43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昆腾  定制</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JXCB7m*8mm-11m*6mm定制八棱杆，（具体臂长视路口情况定）。立杆整体热镀锌,整个杆体无任何一处漏焊，焊缝平整，无任何焊接缺陷。喷塑工艺：后钝化处理，喷塑附着力好，厚度80 m。喷塑采用优质塑粉。符合astm d3359－83标准。热镀锌量每平方米不少于500g。1.2*1.2*1.5mC30商品砼，含开挖、下笼、回填、清理。</w:t>
            </w:r>
          </w:p>
        </w:tc>
        <w:tc>
          <w:tcPr>
            <w:tcW w:w="5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根</w:t>
            </w:r>
          </w:p>
        </w:tc>
        <w:tc>
          <w:tcPr>
            <w:tcW w:w="72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111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6000</w:t>
            </w:r>
          </w:p>
        </w:tc>
        <w:tc>
          <w:tcPr>
            <w:tcW w:w="10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24000</w:t>
            </w:r>
          </w:p>
        </w:tc>
        <w:tc>
          <w:tcPr>
            <w:tcW w:w="76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9</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电警机柜</w:t>
            </w:r>
          </w:p>
        </w:tc>
        <w:tc>
          <w:tcPr>
            <w:tcW w:w="43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华安  定制</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定制；采用不锈钢材质，机箱安装在立杆的适当位置，机箱内安装配电设备、安装支架和线槽，并提供维护电源插座。防护等级：IP54。</w:t>
            </w:r>
          </w:p>
        </w:tc>
        <w:tc>
          <w:tcPr>
            <w:tcW w:w="5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个</w:t>
            </w:r>
          </w:p>
        </w:tc>
        <w:tc>
          <w:tcPr>
            <w:tcW w:w="72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111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6000</w:t>
            </w:r>
          </w:p>
        </w:tc>
        <w:tc>
          <w:tcPr>
            <w:tcW w:w="10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6000</w:t>
            </w:r>
          </w:p>
        </w:tc>
        <w:tc>
          <w:tcPr>
            <w:tcW w:w="76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10</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电警顶管</w:t>
            </w:r>
          </w:p>
        </w:tc>
        <w:tc>
          <w:tcPr>
            <w:tcW w:w="43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电警顶管</w:t>
            </w:r>
          </w:p>
        </w:tc>
        <w:tc>
          <w:tcPr>
            <w:tcW w:w="5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米</w:t>
            </w:r>
          </w:p>
        </w:tc>
        <w:tc>
          <w:tcPr>
            <w:tcW w:w="72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150</w:t>
            </w:r>
          </w:p>
        </w:tc>
        <w:tc>
          <w:tcPr>
            <w:tcW w:w="111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130</w:t>
            </w:r>
          </w:p>
        </w:tc>
        <w:tc>
          <w:tcPr>
            <w:tcW w:w="10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19500</w:t>
            </w:r>
          </w:p>
        </w:tc>
        <w:tc>
          <w:tcPr>
            <w:tcW w:w="76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11</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雷达视频车检器</w:t>
            </w:r>
          </w:p>
        </w:tc>
        <w:tc>
          <w:tcPr>
            <w:tcW w:w="43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海康威视  iDS-TCD402-BR/12</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77GHz高频段毫米波雷达 &amp; 400万低照度摄像机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支持8车道多目标检测及目标可视化，纵向检测大于200米</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支持全天候环境下工作，不受雨、雾、大风、灰尘、光照等影响</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内置深度学习算法，支持智能识别功能，支持车牌识别及目标全结构化</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支持多目标的位置，车道，速度、方向等信息检测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支持多种道路交通数据采集功能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支持分车道统计，车流量、速度、状态、队列、时距、间距、区域停车数、平均延误、空间占有率以及时间占有率数据，支持1-3600秒统计上传</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支持交通评价数据输出，包括停车时长、停车次数、排队长度</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每个车道支持两个虚拟线圈，输出车辆的进入和离开信号，虚拟线圈位置可以配置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支持透雾、强光抑制、宽动态，并具有多种白平衡模式，适合各种场景需求</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支持网络与RS485数据上传</w:t>
            </w:r>
          </w:p>
        </w:tc>
        <w:tc>
          <w:tcPr>
            <w:tcW w:w="5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台</w:t>
            </w:r>
          </w:p>
        </w:tc>
        <w:tc>
          <w:tcPr>
            <w:tcW w:w="72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111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22000</w:t>
            </w:r>
          </w:p>
        </w:tc>
        <w:tc>
          <w:tcPr>
            <w:tcW w:w="10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88000</w:t>
            </w:r>
          </w:p>
        </w:tc>
        <w:tc>
          <w:tcPr>
            <w:tcW w:w="76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12</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辅材</w:t>
            </w:r>
          </w:p>
        </w:tc>
        <w:tc>
          <w:tcPr>
            <w:tcW w:w="43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配套网线、电源线、套管、各种接头、等</w:t>
            </w:r>
          </w:p>
        </w:tc>
        <w:tc>
          <w:tcPr>
            <w:tcW w:w="5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批</w:t>
            </w:r>
          </w:p>
        </w:tc>
        <w:tc>
          <w:tcPr>
            <w:tcW w:w="72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111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3000</w:t>
            </w:r>
          </w:p>
        </w:tc>
        <w:tc>
          <w:tcPr>
            <w:tcW w:w="10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3000</w:t>
            </w:r>
          </w:p>
        </w:tc>
        <w:tc>
          <w:tcPr>
            <w:tcW w:w="76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10151" w:type="dxa"/>
            <w:gridSpan w:val="8"/>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r>
              <w:rPr>
                <w:rFonts w:hint="eastAsia" w:ascii="华文中宋" w:hAnsi="华文中宋" w:eastAsia="华文中宋" w:cs="宋体"/>
                <w:b/>
                <w:bCs/>
                <w:kern w:val="0"/>
                <w:sz w:val="21"/>
                <w:szCs w:val="21"/>
              </w:rPr>
              <w:t>二：子夏大街与北二路十字路口信号灯</w:t>
            </w:r>
          </w:p>
        </w:tc>
      </w:tr>
      <w:tr>
        <w:tblPrEx>
          <w:tblCellMar>
            <w:top w:w="0" w:type="dxa"/>
            <w:left w:w="0" w:type="dxa"/>
            <w:bottom w:w="0" w:type="dxa"/>
            <w:right w:w="0" w:type="dxa"/>
          </w:tblCellMar>
        </w:tblPrEx>
        <w:trPr>
          <w:trHeight w:val="845"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交通信号控制机</w:t>
            </w:r>
          </w:p>
        </w:tc>
        <w:tc>
          <w:tcPr>
            <w:tcW w:w="43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海康威视  XHJ-CW-GA-HK344H</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包含：控制主机、配电单元、机柜、无线遥控器、GPS。</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相位：支持24主相位+16跟随相位；</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灯控输出：44路输出，单通道负载800W；</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灯控板：4块，每块支持11路；</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车检板：无，可选配；</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通讯协议：支持NTCIP协议；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网络接口：1个RJ45接口</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其他接口：1个RS232接口，2个RS485接口，1个USB接口</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外部输入：8路行人按钮输入</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外部输出：无</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无线遥控：支持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无线接入：可选配3G/WIFI模块</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工作电压： AC220V±44V，50Hz±2Hz</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温度：-40℃～+70℃</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功耗：35W</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绝缘强度：＞500 MΩ</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防护等级：IP54</w:t>
            </w:r>
          </w:p>
        </w:tc>
        <w:tc>
          <w:tcPr>
            <w:tcW w:w="5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台</w:t>
            </w:r>
          </w:p>
        </w:tc>
        <w:tc>
          <w:tcPr>
            <w:tcW w:w="72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111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20000</w:t>
            </w:r>
          </w:p>
        </w:tc>
        <w:tc>
          <w:tcPr>
            <w:tcW w:w="10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20000</w:t>
            </w:r>
          </w:p>
        </w:tc>
        <w:tc>
          <w:tcPr>
            <w:tcW w:w="76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机动车信号灯(左转箭头灯）</w:t>
            </w:r>
          </w:p>
        </w:tc>
        <w:tc>
          <w:tcPr>
            <w:tcW w:w="43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海康威视  FX400-3-3021SL</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信号灯采用三联体结构，发光单元直径为Φ400mm，进口芯片，红、黄、绿灯管数分别不于186颗，压铸铝外壳体，每单元内壳体及面罩必须完全密封，可整体更换。包含：灯具、帽檐、装饰边、背杆支架、U型抱箍</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产品尺寸：1380×455×130mm（铝壳灯体）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面罩规格：φ400mm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面罩材质：玻璃</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外壳材质：铝压铸</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表面处理：黑色喷塑哑光</w:t>
            </w:r>
            <w:r>
              <w:rPr>
                <w:rFonts w:hint="eastAsia" w:ascii="宋体" w:hAnsi="宋体" w:eastAsia="宋体" w:cs="宋体"/>
                <w:kern w:val="0"/>
                <w:sz w:val="21"/>
                <w:szCs w:val="21"/>
              </w:rPr>
              <w:br w:type="textWrapping"/>
            </w:r>
            <w:r>
              <w:rPr>
                <w:rFonts w:hint="eastAsia" w:ascii="宋体" w:hAnsi="宋体" w:eastAsia="宋体" w:cs="宋体"/>
                <w:kern w:val="0"/>
                <w:sz w:val="21"/>
                <w:szCs w:val="21"/>
              </w:rPr>
              <w:t>LED数量：红90，黄90，绿90</w:t>
            </w:r>
            <w:r>
              <w:rPr>
                <w:rFonts w:hint="eastAsia" w:ascii="宋体" w:hAnsi="宋体" w:eastAsia="宋体" w:cs="宋体"/>
                <w:kern w:val="0"/>
                <w:sz w:val="21"/>
                <w:szCs w:val="21"/>
              </w:rPr>
              <w:br w:type="textWrapping"/>
            </w:r>
            <w:r>
              <w:rPr>
                <w:rFonts w:hint="eastAsia" w:ascii="宋体" w:hAnsi="宋体" w:eastAsia="宋体" w:cs="宋体"/>
                <w:kern w:val="0"/>
                <w:sz w:val="21"/>
                <w:szCs w:val="21"/>
              </w:rPr>
              <w:t>LED波长：红：625nm；黄：590nm；绿：505nm</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LED直径：φ5mm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单管电流：＜18mA</w:t>
            </w:r>
            <w:r>
              <w:rPr>
                <w:rFonts w:hint="eastAsia" w:ascii="宋体" w:hAnsi="宋体" w:eastAsia="宋体" w:cs="宋体"/>
                <w:kern w:val="0"/>
                <w:sz w:val="21"/>
                <w:szCs w:val="21"/>
              </w:rPr>
              <w:br w:type="textWrapping"/>
            </w:r>
            <w:r>
              <w:rPr>
                <w:rFonts w:hint="eastAsia" w:ascii="宋体" w:hAnsi="宋体" w:eastAsia="宋体" w:cs="宋体"/>
                <w:kern w:val="0"/>
                <w:sz w:val="21"/>
                <w:szCs w:val="21"/>
              </w:rPr>
              <w:t>LED寿命：70000小时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绝缘电阻：500MΩ</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介电强度：1440V</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中心亮度：5000 ~15000 cd/m2</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可视距离：＞450m</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可视角度：＞30°</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工作电压：AC 220V±44V，50HZ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功率：功率20W</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工作温度：-40 ~ +80℃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相对湿度：93%</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防护等级：IP53</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重量：20kg</w:t>
            </w:r>
          </w:p>
        </w:tc>
        <w:tc>
          <w:tcPr>
            <w:tcW w:w="5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只</w:t>
            </w:r>
          </w:p>
        </w:tc>
        <w:tc>
          <w:tcPr>
            <w:tcW w:w="72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111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3800</w:t>
            </w:r>
          </w:p>
        </w:tc>
        <w:tc>
          <w:tcPr>
            <w:tcW w:w="10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15200</w:t>
            </w:r>
          </w:p>
        </w:tc>
        <w:tc>
          <w:tcPr>
            <w:tcW w:w="76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机动车信号灯(满屏灯）</w:t>
            </w:r>
          </w:p>
        </w:tc>
        <w:tc>
          <w:tcPr>
            <w:tcW w:w="43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海康威视  JD400-3-301SL</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信号灯采用三联体结构，发光单元直径为Φ400mm，进口芯片，红、黄、绿灯管数分别不于186颗，压铸铝外壳体，每单元内壳体及面罩必须完全密封，可整体更换。包含：灯具、帽檐、装饰边、背杆支架、U型抱箍</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产品尺寸：1380×455×130mm（铝壳灯体）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面罩规格：φ400mm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面罩材质：玻璃</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外壳材质：铝压铸</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表面处理：黑色喷塑哑光</w:t>
            </w:r>
            <w:r>
              <w:rPr>
                <w:rFonts w:hint="eastAsia" w:ascii="宋体" w:hAnsi="宋体" w:eastAsia="宋体" w:cs="宋体"/>
                <w:kern w:val="0"/>
                <w:sz w:val="21"/>
                <w:szCs w:val="21"/>
              </w:rPr>
              <w:br w:type="textWrapping"/>
            </w:r>
            <w:r>
              <w:rPr>
                <w:rFonts w:hint="eastAsia" w:ascii="宋体" w:hAnsi="宋体" w:eastAsia="宋体" w:cs="宋体"/>
                <w:kern w:val="0"/>
                <w:sz w:val="21"/>
                <w:szCs w:val="21"/>
              </w:rPr>
              <w:t>LED数量：红90，黄90，绿90</w:t>
            </w:r>
            <w:r>
              <w:rPr>
                <w:rFonts w:hint="eastAsia" w:ascii="宋体" w:hAnsi="宋体" w:eastAsia="宋体" w:cs="宋体"/>
                <w:kern w:val="0"/>
                <w:sz w:val="21"/>
                <w:szCs w:val="21"/>
              </w:rPr>
              <w:br w:type="textWrapping"/>
            </w:r>
            <w:r>
              <w:rPr>
                <w:rFonts w:hint="eastAsia" w:ascii="宋体" w:hAnsi="宋体" w:eastAsia="宋体" w:cs="宋体"/>
                <w:kern w:val="0"/>
                <w:sz w:val="21"/>
                <w:szCs w:val="21"/>
              </w:rPr>
              <w:t>LED波长：红：625nm；黄：590nm；绿：505nm</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LED直径：φ5mm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单管电流：＜18mA</w:t>
            </w:r>
            <w:r>
              <w:rPr>
                <w:rFonts w:hint="eastAsia" w:ascii="宋体" w:hAnsi="宋体" w:eastAsia="宋体" w:cs="宋体"/>
                <w:kern w:val="0"/>
                <w:sz w:val="21"/>
                <w:szCs w:val="21"/>
              </w:rPr>
              <w:br w:type="textWrapping"/>
            </w:r>
            <w:r>
              <w:rPr>
                <w:rFonts w:hint="eastAsia" w:ascii="宋体" w:hAnsi="宋体" w:eastAsia="宋体" w:cs="宋体"/>
                <w:kern w:val="0"/>
                <w:sz w:val="21"/>
                <w:szCs w:val="21"/>
              </w:rPr>
              <w:t>LED寿命：70000小时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绝缘电阻：500MΩ</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介电强度：1440V</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中心亮度：5000 ~15000 cd/m2</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可视距离：＞450m</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可视角度：＞30°</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工作电压：AC 220V±44V，50HZ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功率：功率20W</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工作温度：-40 ~ +80℃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相对湿度：93%</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防护等级：IP53</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重量：20kg</w:t>
            </w:r>
          </w:p>
        </w:tc>
        <w:tc>
          <w:tcPr>
            <w:tcW w:w="5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只</w:t>
            </w:r>
          </w:p>
        </w:tc>
        <w:tc>
          <w:tcPr>
            <w:tcW w:w="72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111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3800</w:t>
            </w:r>
          </w:p>
        </w:tc>
        <w:tc>
          <w:tcPr>
            <w:tcW w:w="10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15200</w:t>
            </w:r>
          </w:p>
        </w:tc>
        <w:tc>
          <w:tcPr>
            <w:tcW w:w="76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倒计时器</w:t>
            </w:r>
          </w:p>
        </w:tc>
        <w:tc>
          <w:tcPr>
            <w:tcW w:w="43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海康威视  DX-3-T-1-80607L11</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面罩规格：800×600×420mm（带帽檐）</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产品尺寸：770×581×120mm</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数字尺寸：500×260mm</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计时方式：跟随/触发/RS485通信</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显示数值：红99~1；绿99~1；黄9~1</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面罩材质：PC</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外壳材质：铝、黑色喷塑</w:t>
            </w:r>
            <w:r>
              <w:rPr>
                <w:rFonts w:hint="eastAsia" w:ascii="宋体" w:hAnsi="宋体" w:eastAsia="宋体" w:cs="宋体"/>
                <w:kern w:val="0"/>
                <w:sz w:val="21"/>
                <w:szCs w:val="21"/>
              </w:rPr>
              <w:br w:type="textWrapping"/>
            </w:r>
            <w:r>
              <w:rPr>
                <w:rFonts w:hint="eastAsia" w:ascii="宋体" w:hAnsi="宋体" w:eastAsia="宋体" w:cs="宋体"/>
                <w:kern w:val="0"/>
                <w:sz w:val="21"/>
                <w:szCs w:val="21"/>
              </w:rPr>
              <w:t>LED数量：红420，黄420，绿420</w:t>
            </w:r>
            <w:r>
              <w:rPr>
                <w:rFonts w:hint="eastAsia" w:ascii="宋体" w:hAnsi="宋体" w:eastAsia="宋体" w:cs="宋体"/>
                <w:kern w:val="0"/>
                <w:sz w:val="21"/>
                <w:szCs w:val="21"/>
              </w:rPr>
              <w:br w:type="textWrapping"/>
            </w:r>
            <w:r>
              <w:rPr>
                <w:rFonts w:hint="eastAsia" w:ascii="宋体" w:hAnsi="宋体" w:eastAsia="宋体" w:cs="宋体"/>
                <w:kern w:val="0"/>
                <w:sz w:val="21"/>
                <w:szCs w:val="21"/>
              </w:rPr>
              <w:t>LED波长：红：625nm；黄：590nm；绿：505nm</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LED直径：φ5mm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单管电流：＜18mA</w:t>
            </w:r>
            <w:r>
              <w:rPr>
                <w:rFonts w:hint="eastAsia" w:ascii="宋体" w:hAnsi="宋体" w:eastAsia="宋体" w:cs="宋体"/>
                <w:kern w:val="0"/>
                <w:sz w:val="21"/>
                <w:szCs w:val="21"/>
              </w:rPr>
              <w:br w:type="textWrapping"/>
            </w:r>
            <w:r>
              <w:rPr>
                <w:rFonts w:hint="eastAsia" w:ascii="宋体" w:hAnsi="宋体" w:eastAsia="宋体" w:cs="宋体"/>
                <w:kern w:val="0"/>
                <w:sz w:val="21"/>
                <w:szCs w:val="21"/>
              </w:rPr>
              <w:t>LED寿命：70000小时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中心亮度：红＞5000 cd/m2；黄＞5000 cd/m2；绿＞5000 cd/m2</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可视距离：＞500m</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可视角度：＞30°</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工作电压：AC 220V±44V，50HZ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功率：25W</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工作温度：-40 ~ +80℃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相对湿度：93%</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防护等级：IP53</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重量：15kg</w:t>
            </w:r>
          </w:p>
        </w:tc>
        <w:tc>
          <w:tcPr>
            <w:tcW w:w="5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台</w:t>
            </w:r>
          </w:p>
        </w:tc>
        <w:tc>
          <w:tcPr>
            <w:tcW w:w="72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111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4400</w:t>
            </w:r>
          </w:p>
        </w:tc>
        <w:tc>
          <w:tcPr>
            <w:tcW w:w="10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17600</w:t>
            </w:r>
          </w:p>
        </w:tc>
        <w:tc>
          <w:tcPr>
            <w:tcW w:w="76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非机动车信号灯</w:t>
            </w:r>
          </w:p>
        </w:tc>
        <w:tc>
          <w:tcPr>
            <w:tcW w:w="43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海康威视  FJ400-3-3011SL</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包含：灯具、帽檐、装饰边、背杆支架、U型抱箍</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产品尺寸：1380×455×130mm（铝壳灯体）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面罩规格：φ400mm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面罩材质：玻璃</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外壳材质：铝压铸</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表面处理：黑色喷塑哑光</w:t>
            </w:r>
            <w:r>
              <w:rPr>
                <w:rFonts w:hint="eastAsia" w:ascii="宋体" w:hAnsi="宋体" w:eastAsia="宋体" w:cs="宋体"/>
                <w:kern w:val="0"/>
                <w:sz w:val="21"/>
                <w:szCs w:val="21"/>
              </w:rPr>
              <w:br w:type="textWrapping"/>
            </w:r>
            <w:r>
              <w:rPr>
                <w:rFonts w:hint="eastAsia" w:ascii="宋体" w:hAnsi="宋体" w:eastAsia="宋体" w:cs="宋体"/>
                <w:kern w:val="0"/>
                <w:sz w:val="21"/>
                <w:szCs w:val="21"/>
              </w:rPr>
              <w:t>LED数量：红90，黄90，绿90</w:t>
            </w:r>
            <w:r>
              <w:rPr>
                <w:rFonts w:hint="eastAsia" w:ascii="宋体" w:hAnsi="宋体" w:eastAsia="宋体" w:cs="宋体"/>
                <w:kern w:val="0"/>
                <w:sz w:val="21"/>
                <w:szCs w:val="21"/>
              </w:rPr>
              <w:br w:type="textWrapping"/>
            </w:r>
            <w:r>
              <w:rPr>
                <w:rFonts w:hint="eastAsia" w:ascii="宋体" w:hAnsi="宋体" w:eastAsia="宋体" w:cs="宋体"/>
                <w:kern w:val="0"/>
                <w:sz w:val="21"/>
                <w:szCs w:val="21"/>
              </w:rPr>
              <w:t>LED波长：红：625nm；黄：590nm；绿：505nm</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LED直径：φ5mm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单管电流：＜18mA</w:t>
            </w:r>
            <w:r>
              <w:rPr>
                <w:rFonts w:hint="eastAsia" w:ascii="宋体" w:hAnsi="宋体" w:eastAsia="宋体" w:cs="宋体"/>
                <w:kern w:val="0"/>
                <w:sz w:val="21"/>
                <w:szCs w:val="21"/>
              </w:rPr>
              <w:br w:type="textWrapping"/>
            </w:r>
            <w:r>
              <w:rPr>
                <w:rFonts w:hint="eastAsia" w:ascii="宋体" w:hAnsi="宋体" w:eastAsia="宋体" w:cs="宋体"/>
                <w:kern w:val="0"/>
                <w:sz w:val="21"/>
                <w:szCs w:val="21"/>
              </w:rPr>
              <w:t>LED寿命：70000小时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绝缘电阻：500MΩ</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介电强度：1440V</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中心光强：150~400 cd</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可视距离：＞450m</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可视角度：＞30°</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工作电压：AC 220V±44V，50HZ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功率：功率15W</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工作温度：-40 ~ +80℃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相对湿度：93%</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防护等级：IP53</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重量：20kg</w:t>
            </w:r>
          </w:p>
        </w:tc>
        <w:tc>
          <w:tcPr>
            <w:tcW w:w="5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只</w:t>
            </w:r>
          </w:p>
        </w:tc>
        <w:tc>
          <w:tcPr>
            <w:tcW w:w="72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111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3600</w:t>
            </w:r>
          </w:p>
        </w:tc>
        <w:tc>
          <w:tcPr>
            <w:tcW w:w="10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14400</w:t>
            </w:r>
          </w:p>
        </w:tc>
        <w:tc>
          <w:tcPr>
            <w:tcW w:w="76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人行横道信号灯</w:t>
            </w:r>
          </w:p>
        </w:tc>
        <w:tc>
          <w:tcPr>
            <w:tcW w:w="43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海康威视  RX300-3-2010SL</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包含：灯具、帽檐、装饰边、背杆支架、U型抱箍</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产品尺寸：710×350×120mm（铝壳灯体）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面罩规格：φ300mm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面罩材质：玻璃</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外壳材质：铝压铸</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表面处理：黑色喷塑哑光</w:t>
            </w:r>
            <w:r>
              <w:rPr>
                <w:rFonts w:hint="eastAsia" w:ascii="宋体" w:hAnsi="宋体" w:eastAsia="宋体" w:cs="宋体"/>
                <w:kern w:val="0"/>
                <w:sz w:val="21"/>
                <w:szCs w:val="21"/>
              </w:rPr>
              <w:br w:type="textWrapping"/>
            </w:r>
            <w:r>
              <w:rPr>
                <w:rFonts w:hint="eastAsia" w:ascii="宋体" w:hAnsi="宋体" w:eastAsia="宋体" w:cs="宋体"/>
                <w:kern w:val="0"/>
                <w:sz w:val="21"/>
                <w:szCs w:val="21"/>
              </w:rPr>
              <w:t>LED数量：红60，绿56</w:t>
            </w:r>
            <w:r>
              <w:rPr>
                <w:rFonts w:hint="eastAsia" w:ascii="宋体" w:hAnsi="宋体" w:eastAsia="宋体" w:cs="宋体"/>
                <w:kern w:val="0"/>
                <w:sz w:val="21"/>
                <w:szCs w:val="21"/>
              </w:rPr>
              <w:br w:type="textWrapping"/>
            </w:r>
            <w:r>
              <w:rPr>
                <w:rFonts w:hint="eastAsia" w:ascii="宋体" w:hAnsi="宋体" w:eastAsia="宋体" w:cs="宋体"/>
                <w:kern w:val="0"/>
                <w:sz w:val="21"/>
                <w:szCs w:val="21"/>
              </w:rPr>
              <w:t>LED波长：红：625nm；绿：505nm</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LED直径：φ5mm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单管电流：＜18mA</w:t>
            </w:r>
            <w:r>
              <w:rPr>
                <w:rFonts w:hint="eastAsia" w:ascii="宋体" w:hAnsi="宋体" w:eastAsia="宋体" w:cs="宋体"/>
                <w:kern w:val="0"/>
                <w:sz w:val="21"/>
                <w:szCs w:val="21"/>
              </w:rPr>
              <w:br w:type="textWrapping"/>
            </w:r>
            <w:r>
              <w:rPr>
                <w:rFonts w:hint="eastAsia" w:ascii="宋体" w:hAnsi="宋体" w:eastAsia="宋体" w:cs="宋体"/>
                <w:kern w:val="0"/>
                <w:sz w:val="21"/>
                <w:szCs w:val="21"/>
              </w:rPr>
              <w:t>LED寿命：70000小时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绝缘电阻：500MΩ</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介电强度：1440V</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中心光强：150~400 cd</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可视距离：＞300m</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可视角度：＞30°</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工作电压：AC 220V±44V，50HZ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功率：功率10W</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工作温度：-40 ~ +80℃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相对湿度：93%</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防护等级：IP53</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重量：10kg</w:t>
            </w:r>
          </w:p>
        </w:tc>
        <w:tc>
          <w:tcPr>
            <w:tcW w:w="5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只</w:t>
            </w:r>
          </w:p>
        </w:tc>
        <w:tc>
          <w:tcPr>
            <w:tcW w:w="72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w:t>
            </w:r>
          </w:p>
        </w:tc>
        <w:tc>
          <w:tcPr>
            <w:tcW w:w="111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0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16000</w:t>
            </w:r>
          </w:p>
        </w:tc>
        <w:tc>
          <w:tcPr>
            <w:tcW w:w="76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机动车信号灯立杆</w:t>
            </w:r>
          </w:p>
        </w:tc>
        <w:tc>
          <w:tcPr>
            <w:tcW w:w="43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昆腾  定制</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JXCB7m*8mm-11m*6mm-4m*6mm(T型)定制八棱杆，（具体臂长视路口情况定）。立杆整体热镀锌,整个杆体无任何一处漏焊，焊缝平整，无任何焊接缺陷。喷塑工艺：后钝化处理，喷塑附着力好，厚度80 m。喷塑采用优质塑粉。符合astm d3359－83标准。热镀锌量每平方米不少于500g。1.2*1.2*1.5mC30商品砼，含开挖、下笼、回填、清理。</w:t>
            </w:r>
          </w:p>
        </w:tc>
        <w:tc>
          <w:tcPr>
            <w:tcW w:w="5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根</w:t>
            </w:r>
          </w:p>
        </w:tc>
        <w:tc>
          <w:tcPr>
            <w:tcW w:w="72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p>
        </w:tc>
        <w:tc>
          <w:tcPr>
            <w:tcW w:w="111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6000</w:t>
            </w:r>
          </w:p>
        </w:tc>
        <w:tc>
          <w:tcPr>
            <w:tcW w:w="10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12000</w:t>
            </w:r>
          </w:p>
        </w:tc>
        <w:tc>
          <w:tcPr>
            <w:tcW w:w="76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69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w:t>
            </w:r>
          </w:p>
        </w:tc>
        <w:tc>
          <w:tcPr>
            <w:tcW w:w="88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机动车信号灯立杆</w:t>
            </w:r>
          </w:p>
        </w:tc>
        <w:tc>
          <w:tcPr>
            <w:tcW w:w="43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昆腾  定制</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JXCB7m*8mm-11m*6mm定制八棱杆，（具体臂长视路口情况定）。立杆整体热镀锌,整个杆体无任何一处漏焊，焊缝平整，无任何焊接缺陷。喷塑工艺：后钝化处理，喷塑附着力好，厚度80 m。喷塑采用优质塑粉。符合astm d3359－83标准。热镀锌量每平方米不少于500g。1.2*1.2*1.5mC30商品砼，含开挖、下笼、回填、清理。</w:t>
            </w:r>
          </w:p>
        </w:tc>
        <w:tc>
          <w:tcPr>
            <w:tcW w:w="5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根</w:t>
            </w:r>
          </w:p>
        </w:tc>
        <w:tc>
          <w:tcPr>
            <w:tcW w:w="72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p>
        </w:tc>
        <w:tc>
          <w:tcPr>
            <w:tcW w:w="111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6000</w:t>
            </w:r>
          </w:p>
        </w:tc>
        <w:tc>
          <w:tcPr>
            <w:tcW w:w="106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12000</w:t>
            </w:r>
          </w:p>
        </w:tc>
        <w:tc>
          <w:tcPr>
            <w:tcW w:w="76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9</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人行横道信号灯立杆</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昆腾  定制</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JXCB4m*4.5mm立杆整体热镀锌,整个杆体无任何一处漏焊，焊缝平整，无任何焊接缺陷。喷塑工艺：后钝化处理，喷塑附着力好，厚度80 m。喷塑采用优质塑粉。符合astm d3359－83标准。热镀锌量每平方米不少于500g。0.7*0.7*0.8mC30商品砼，含开挖、下笼、回填、清理。</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根</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2400</w:t>
            </w:r>
          </w:p>
        </w:tc>
        <w:tc>
          <w:tcPr>
            <w:tcW w:w="0" w:type="auto"/>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10</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顶管</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顶管</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200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26000</w:t>
            </w:r>
          </w:p>
        </w:tc>
        <w:tc>
          <w:tcPr>
            <w:tcW w:w="0" w:type="auto"/>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11</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分道牌</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昆腾  定制</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标志牌：1.2m*2.4m（3M工程棱镜反光膜，3mm厚铝板）；1、材料品种:Q235钢管，热浸镀喷塑。2、规格:立柱 φ165×6mm×7000mm，横梁2*φ90×4mm×4000mm。3、基础预制1M×1M×1.2M</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套</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2500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2500</w:t>
            </w:r>
          </w:p>
        </w:tc>
        <w:tc>
          <w:tcPr>
            <w:tcW w:w="0" w:type="auto"/>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12</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辅材</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配套网线、电源线、</w:t>
            </w:r>
            <w:r>
              <w:rPr>
                <w:rFonts w:hint="eastAsia" w:ascii="宋体" w:hAnsi="宋体" w:eastAsia="宋体" w:cs="宋体"/>
                <w:color w:val="000000"/>
                <w:kern w:val="0"/>
                <w:sz w:val="21"/>
                <w:szCs w:val="21"/>
              </w:rPr>
              <w:t>信号灯控制电缆、套</w:t>
            </w:r>
            <w:r>
              <w:rPr>
                <w:rFonts w:hint="eastAsia" w:ascii="宋体" w:hAnsi="宋体" w:eastAsia="宋体" w:cs="宋体"/>
                <w:kern w:val="0"/>
                <w:sz w:val="21"/>
                <w:szCs w:val="21"/>
              </w:rPr>
              <w:t>管、各种接头、等</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批</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10000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10000</w:t>
            </w:r>
          </w:p>
        </w:tc>
        <w:tc>
          <w:tcPr>
            <w:tcW w:w="0" w:type="auto"/>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1015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华文中宋" w:hAnsi="华文中宋" w:eastAsia="华文中宋" w:cs="宋体"/>
                <w:b/>
                <w:bCs/>
                <w:kern w:val="0"/>
                <w:sz w:val="21"/>
                <w:szCs w:val="21"/>
              </w:rPr>
              <w:t>三：交通设施</w:t>
            </w:r>
          </w:p>
        </w:tc>
      </w:tr>
      <w:tr>
        <w:tblPrEx>
          <w:tblCellMar>
            <w:top w:w="0" w:type="dxa"/>
            <w:left w:w="0" w:type="dxa"/>
            <w:bottom w:w="0" w:type="dxa"/>
            <w:right w:w="0" w:type="dxa"/>
          </w:tblCellMar>
        </w:tblPrEx>
        <w:trPr>
          <w:trHeight w:val="845"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标志牌</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昆腾  定制</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立柱：热镀锌￠114×4mm×6000mm、</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预埋件：600mm×600mm×800mm、</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板面:800mm×2.5mm、</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禁货（货车、客车、农用三轮车）、</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限速（30公里）、</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禁停</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套</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24</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5480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131520</w:t>
            </w:r>
          </w:p>
        </w:tc>
        <w:tc>
          <w:tcPr>
            <w:tcW w:w="0" w:type="auto"/>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标线</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三艾斯</w:t>
            </w:r>
            <w:r>
              <w:rPr>
                <w:rFonts w:hint="eastAsia" w:ascii="宋体" w:hAnsi="宋体" w:eastAsia="宋体" w:cs="宋体"/>
                <w:kern w:val="0"/>
                <w:sz w:val="21"/>
                <w:szCs w:val="21"/>
              </w:rPr>
              <w:t xml:space="preserve"> 定制</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冷喷</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平方</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3100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77500</w:t>
            </w:r>
          </w:p>
        </w:tc>
        <w:tc>
          <w:tcPr>
            <w:tcW w:w="0" w:type="auto"/>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停车位</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三艾斯</w:t>
            </w:r>
            <w:r>
              <w:rPr>
                <w:rFonts w:hint="eastAsia" w:ascii="宋体" w:hAnsi="宋体" w:eastAsia="宋体" w:cs="宋体"/>
                <w:kern w:val="0"/>
                <w:sz w:val="21"/>
                <w:szCs w:val="21"/>
              </w:rPr>
              <w:t xml:space="preserve"> 定制</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冷喷：2300mm×6000mm</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个</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850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25500</w:t>
            </w:r>
          </w:p>
        </w:tc>
        <w:tc>
          <w:tcPr>
            <w:tcW w:w="0" w:type="auto"/>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45"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减速带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昆腾  定制</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橡胶：50mm×300mm</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450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22500</w:t>
            </w:r>
          </w:p>
        </w:tc>
        <w:tc>
          <w:tcPr>
            <w:tcW w:w="0" w:type="auto"/>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2660" w:hRule="atLeast"/>
        </w:trPr>
        <w:tc>
          <w:tcPr>
            <w:tcW w:w="10151"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right="0" w:rightChars="0"/>
              <w:jc w:val="left"/>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优惠条件1、</w:t>
            </w:r>
            <w:r>
              <w:rPr>
                <w:rFonts w:hint="eastAsia" w:asciiTheme="majorEastAsia" w:hAnsiTheme="majorEastAsia" w:eastAsiaTheme="majorEastAsia" w:cstheme="majorEastAsia"/>
                <w:sz w:val="21"/>
                <w:szCs w:val="21"/>
              </w:rPr>
              <w:t>免费为用户提供</w:t>
            </w:r>
            <w:r>
              <w:rPr>
                <w:rFonts w:hint="eastAsia" w:asciiTheme="majorEastAsia" w:hAnsiTheme="majorEastAsia" w:eastAsiaTheme="majorEastAsia" w:cstheme="majorEastAsia"/>
                <w:sz w:val="21"/>
                <w:szCs w:val="21"/>
                <w:lang w:eastAsia="zh-CN"/>
              </w:rPr>
              <w:t>相关</w:t>
            </w:r>
            <w:r>
              <w:rPr>
                <w:rFonts w:hint="eastAsia" w:asciiTheme="majorEastAsia" w:hAnsiTheme="majorEastAsia" w:eastAsiaTheme="majorEastAsia" w:cstheme="majorEastAsia"/>
                <w:sz w:val="21"/>
                <w:szCs w:val="21"/>
              </w:rPr>
              <w:t>产品</w:t>
            </w:r>
            <w:r>
              <w:rPr>
                <w:rFonts w:hint="eastAsia" w:asciiTheme="majorEastAsia" w:hAnsiTheme="majorEastAsia" w:eastAsiaTheme="majorEastAsia" w:cstheme="majorEastAsia"/>
                <w:sz w:val="21"/>
                <w:szCs w:val="21"/>
                <w:lang w:eastAsia="zh-CN"/>
              </w:rPr>
              <w:t>、系统软件</w:t>
            </w:r>
            <w:r>
              <w:rPr>
                <w:rFonts w:hint="eastAsia" w:asciiTheme="majorEastAsia" w:hAnsiTheme="majorEastAsia" w:eastAsiaTheme="majorEastAsia" w:cstheme="majorEastAsia"/>
                <w:sz w:val="21"/>
                <w:szCs w:val="21"/>
              </w:rPr>
              <w:t>的</w:t>
            </w:r>
            <w:r>
              <w:rPr>
                <w:rFonts w:hint="eastAsia" w:asciiTheme="majorEastAsia" w:hAnsiTheme="majorEastAsia" w:eastAsiaTheme="majorEastAsia" w:cstheme="majorEastAsia"/>
                <w:sz w:val="21"/>
                <w:szCs w:val="21"/>
                <w:lang w:eastAsia="zh-CN"/>
              </w:rPr>
              <w:t>技术</w:t>
            </w:r>
            <w:r>
              <w:rPr>
                <w:rFonts w:hint="eastAsia" w:asciiTheme="majorEastAsia" w:hAnsiTheme="majorEastAsia" w:eastAsiaTheme="majorEastAsia" w:cstheme="majorEastAsia"/>
                <w:sz w:val="21"/>
                <w:szCs w:val="21"/>
              </w:rPr>
              <w:t>培训</w:t>
            </w:r>
            <w:r>
              <w:rPr>
                <w:rFonts w:hint="eastAsia" w:asciiTheme="majorEastAsia" w:hAnsiTheme="majorEastAsia" w:eastAsiaTheme="majorEastAsia" w:cstheme="majorEastAsia"/>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right="0" w:rightChars="0" w:firstLine="840" w:firstLineChars="400"/>
              <w:jc w:val="left"/>
              <w:textAlignment w:val="auto"/>
              <w:outlineLvl w:val="9"/>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2、终身免费提供售后服务，超过保修期的设备，维修时只收部件成本费。</w:t>
            </w:r>
          </w:p>
          <w:p>
            <w:pPr>
              <w:ind w:firstLine="840" w:firstLineChars="4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、待产品的安装调试完毕后，我</w:t>
            </w:r>
            <w:r>
              <w:rPr>
                <w:rFonts w:hint="eastAsia" w:asciiTheme="majorEastAsia" w:hAnsiTheme="majorEastAsia" w:eastAsiaTheme="majorEastAsia" w:cstheme="majorEastAsia"/>
                <w:sz w:val="21"/>
                <w:szCs w:val="21"/>
                <w:lang w:eastAsia="zh-CN"/>
              </w:rPr>
              <w:t>公司委派专业</w:t>
            </w:r>
            <w:r>
              <w:rPr>
                <w:rFonts w:hint="eastAsia" w:asciiTheme="majorEastAsia" w:hAnsiTheme="majorEastAsia" w:eastAsiaTheme="majorEastAsia" w:cstheme="majorEastAsia"/>
                <w:sz w:val="21"/>
                <w:szCs w:val="21"/>
              </w:rPr>
              <w:t>技术人员为贵方免费培训</w:t>
            </w:r>
            <w:r>
              <w:rPr>
                <w:rFonts w:hint="eastAsia" w:asciiTheme="majorEastAsia" w:hAnsiTheme="majorEastAsia" w:eastAsiaTheme="majorEastAsia" w:cstheme="majorEastAsia"/>
                <w:sz w:val="21"/>
                <w:szCs w:val="21"/>
                <w:lang w:eastAsia="zh-CN"/>
              </w:rPr>
              <w:t>专职</w:t>
            </w:r>
            <w:r>
              <w:rPr>
                <w:rFonts w:hint="eastAsia" w:asciiTheme="majorEastAsia" w:hAnsiTheme="majorEastAsia" w:eastAsiaTheme="majorEastAsia" w:cstheme="majorEastAsia"/>
                <w:sz w:val="21"/>
                <w:szCs w:val="21"/>
              </w:rPr>
              <w:t>人员。培训内容：</w:t>
            </w:r>
            <w:r>
              <w:rPr>
                <w:rFonts w:hint="eastAsia" w:asciiTheme="majorEastAsia" w:hAnsiTheme="majorEastAsia" w:eastAsiaTheme="majorEastAsia" w:cstheme="majorEastAsia"/>
                <w:sz w:val="21"/>
                <w:szCs w:val="21"/>
                <w:lang w:eastAsia="zh-CN"/>
              </w:rPr>
              <w:t>与</w:t>
            </w:r>
            <w:r>
              <w:rPr>
                <w:rFonts w:hint="eastAsia" w:asciiTheme="majorEastAsia" w:hAnsiTheme="majorEastAsia" w:eastAsiaTheme="majorEastAsia" w:cstheme="majorEastAsia"/>
                <w:sz w:val="21"/>
                <w:szCs w:val="21"/>
              </w:rPr>
              <w:t>设备</w:t>
            </w:r>
          </w:p>
          <w:p>
            <w:pPr>
              <w:ind w:firstLine="1260" w:firstLineChars="6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相关的</w:t>
            </w:r>
            <w:r>
              <w:rPr>
                <w:rFonts w:hint="eastAsia" w:asciiTheme="majorEastAsia" w:hAnsiTheme="majorEastAsia" w:eastAsiaTheme="majorEastAsia" w:cstheme="majorEastAsia"/>
                <w:sz w:val="21"/>
                <w:szCs w:val="21"/>
              </w:rPr>
              <w:t>操作、保养</w:t>
            </w:r>
            <w:r>
              <w:rPr>
                <w:rFonts w:hint="eastAsia" w:asciiTheme="majorEastAsia" w:hAnsiTheme="majorEastAsia" w:eastAsiaTheme="majorEastAsia" w:cstheme="majorEastAsia"/>
                <w:sz w:val="21"/>
                <w:szCs w:val="21"/>
                <w:lang w:eastAsia="zh-CN"/>
              </w:rPr>
              <w:t>和</w:t>
            </w:r>
            <w:r>
              <w:rPr>
                <w:rFonts w:hint="eastAsia" w:asciiTheme="majorEastAsia" w:hAnsiTheme="majorEastAsia" w:eastAsiaTheme="majorEastAsia" w:cstheme="majorEastAsia"/>
                <w:sz w:val="21"/>
                <w:szCs w:val="21"/>
              </w:rPr>
              <w:t>维修。</w:t>
            </w:r>
          </w:p>
          <w:p>
            <w:pPr>
              <w:rPr>
                <w:rFonts w:hint="eastAsia" w:asciiTheme="majorEastAsia" w:hAnsiTheme="majorEastAsia" w:eastAsiaTheme="majorEastAsia" w:cstheme="majorEastAsia"/>
                <w:sz w:val="21"/>
                <w:szCs w:val="21"/>
              </w:rPr>
            </w:pPr>
          </w:p>
          <w:p>
            <w:pPr>
              <w:rPr>
                <w:rFonts w:hint="eastAsia" w:asciiTheme="majorEastAsia" w:hAnsiTheme="majorEastAsia" w:eastAsiaTheme="majorEastAsia" w:cstheme="majorEastAsia"/>
                <w:sz w:val="21"/>
                <w:szCs w:val="21"/>
              </w:rPr>
            </w:pPr>
          </w:p>
          <w:p>
            <w:pPr>
              <w:ind w:firstLine="2940" w:firstLineChars="1400"/>
              <w:rPr>
                <w:rFonts w:hint="eastAsia" w:ascii="宋体" w:hAnsi="宋体" w:eastAsia="宋体" w:cs="宋体"/>
                <w:sz w:val="21"/>
                <w:szCs w:val="21"/>
              </w:rPr>
            </w:pPr>
            <w:r>
              <w:rPr>
                <w:rFonts w:hint="eastAsia" w:ascii="宋体" w:hAnsi="宋体" w:eastAsia="宋体" w:cs="宋体"/>
                <w:sz w:val="21"/>
                <w:szCs w:val="21"/>
              </w:rPr>
              <w:t>法定代表人或授权委托人签字（公章）：</w:t>
            </w:r>
          </w:p>
        </w:tc>
      </w:tr>
    </w:tbl>
    <w:p>
      <w:pPr>
        <w:pStyle w:val="2"/>
        <w:pageBreakBefore w:val="0"/>
        <w:widowControl w:val="0"/>
        <w:pBdr>
          <w:top w:val="none" w:color="auto" w:sz="0" w:space="1"/>
          <w:left w:val="none" w:color="auto" w:sz="0" w:space="4"/>
          <w:bottom w:val="none" w:color="auto" w:sz="0" w:space="1"/>
          <w:right w:val="none" w:color="auto" w:sz="0" w:space="4"/>
          <w:between w:val="none" w:color="auto" w:sz="0" w:space="0"/>
        </w:pBdr>
        <w:shd w:val="clear" w:fill="auto"/>
        <w:kinsoku/>
        <w:wordWrap/>
        <w:overflowPunct/>
        <w:topLinePunct w:val="0"/>
        <w:autoSpaceDE/>
        <w:autoSpaceDN/>
        <w:bidi w:val="0"/>
        <w:adjustRightInd/>
        <w:snapToGrid/>
        <w:spacing w:line="600" w:lineRule="exact"/>
        <w:ind w:left="0" w:leftChars="0" w:firstLine="0" w:firstLineChars="0"/>
        <w:jc w:val="both"/>
        <w:textAlignment w:val="auto"/>
        <w:rPr>
          <w:rFonts w:hint="eastAsia" w:ascii="宋体" w:hAnsi="宋体" w:eastAsia="宋体" w:cs="宋体"/>
          <w:b/>
          <w:color w:val="000000"/>
          <w:szCs w:val="21"/>
          <w:lang w:val="en-US" w:eastAsia="zh-CN"/>
        </w:rPr>
      </w:pPr>
      <w:r>
        <w:rPr>
          <w:rFonts w:hint="eastAsia" w:ascii="宋体" w:hAnsi="宋体" w:eastAsia="宋体" w:cs="宋体"/>
          <w:b/>
          <w:color w:val="000000"/>
          <w:szCs w:val="21"/>
          <w:lang w:val="en-US" w:eastAsia="zh-CN"/>
        </w:rPr>
        <w:t xml:space="preserve">                                      </w:t>
      </w:r>
    </w:p>
    <w:p>
      <w:pPr>
        <w:pStyle w:val="2"/>
        <w:pageBreakBefore w:val="0"/>
        <w:widowControl w:val="0"/>
        <w:pBdr>
          <w:top w:val="none" w:color="auto" w:sz="0" w:space="1"/>
          <w:left w:val="none" w:color="auto" w:sz="0" w:space="4"/>
          <w:bottom w:val="none" w:color="auto" w:sz="0" w:space="1"/>
          <w:right w:val="none" w:color="auto" w:sz="0" w:space="4"/>
          <w:between w:val="none" w:color="auto" w:sz="0" w:space="0"/>
        </w:pBdr>
        <w:shd w:val="clear" w:fill="auto"/>
        <w:kinsoku/>
        <w:wordWrap/>
        <w:overflowPunct/>
        <w:topLinePunct w:val="0"/>
        <w:autoSpaceDE/>
        <w:autoSpaceDN/>
        <w:bidi w:val="0"/>
        <w:adjustRightInd/>
        <w:snapToGrid/>
        <w:spacing w:line="600" w:lineRule="exact"/>
        <w:ind w:left="0" w:leftChars="0" w:firstLine="0" w:firstLineChars="0"/>
        <w:jc w:val="both"/>
        <w:textAlignment w:val="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2021</w:t>
      </w:r>
      <w:r>
        <w:rPr>
          <w:rFonts w:hint="eastAsia" w:ascii="宋体" w:hAnsi="宋体" w:eastAsia="宋体" w:cs="宋体"/>
          <w:sz w:val="24"/>
        </w:rPr>
        <w:t xml:space="preserve"> 年 </w:t>
      </w:r>
      <w:r>
        <w:rPr>
          <w:rFonts w:hint="eastAsia" w:ascii="宋体" w:hAnsi="宋体" w:eastAsia="宋体" w:cs="宋体"/>
          <w:sz w:val="24"/>
          <w:lang w:val="en-US" w:eastAsia="zh-CN"/>
        </w:rPr>
        <w:t>6</w:t>
      </w:r>
      <w:r>
        <w:rPr>
          <w:rFonts w:hint="eastAsia" w:ascii="宋体" w:hAnsi="宋体" w:eastAsia="宋体" w:cs="宋体"/>
          <w:sz w:val="24"/>
        </w:rPr>
        <w:t xml:space="preserve"> 月 </w:t>
      </w:r>
      <w:r>
        <w:rPr>
          <w:rFonts w:hint="eastAsia" w:ascii="宋体" w:hAnsi="宋体" w:eastAsia="宋体" w:cs="宋体"/>
          <w:sz w:val="24"/>
          <w:lang w:val="en-US" w:eastAsia="zh-CN"/>
        </w:rPr>
        <w:t>25</w:t>
      </w:r>
      <w:r>
        <w:rPr>
          <w:rFonts w:hint="eastAsia" w:ascii="宋体" w:hAnsi="宋体" w:eastAsia="宋体" w:cs="宋体"/>
          <w:sz w:val="24"/>
        </w:rPr>
        <w:t xml:space="preserve">  日</w:t>
      </w:r>
    </w:p>
    <w:p>
      <w:pPr>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F368A"/>
    <w:rsid w:val="2D397A9C"/>
    <w:rsid w:val="3D4E509D"/>
    <w:rsid w:val="42E91D40"/>
    <w:rsid w:val="528114BD"/>
    <w:rsid w:val="56801A15"/>
    <w:rsid w:val="5DCE784D"/>
    <w:rsid w:val="7B822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font31"/>
    <w:basedOn w:val="9"/>
    <w:qFormat/>
    <w:uiPriority w:val="0"/>
    <w:rPr>
      <w:rFonts w:hint="eastAsia" w:ascii="宋体" w:hAnsi="宋体" w:eastAsia="宋体" w:cs="宋体"/>
      <w:color w:val="666666"/>
      <w:sz w:val="21"/>
      <w:szCs w:val="21"/>
      <w:u w:val="none"/>
    </w:rPr>
  </w:style>
  <w:style w:type="character" w:customStyle="1" w:styleId="13">
    <w:name w:val="font11"/>
    <w:basedOn w:val="9"/>
    <w:qFormat/>
    <w:uiPriority w:val="0"/>
    <w:rPr>
      <w:rFonts w:hint="default" w:ascii="Calibri" w:hAnsi="Calibri" w:cs="Calibri"/>
      <w:color w:val="666666"/>
      <w:sz w:val="21"/>
      <w:szCs w:val="21"/>
      <w:u w:val="none"/>
    </w:rPr>
  </w:style>
  <w:style w:type="character" w:customStyle="1" w:styleId="14">
    <w:name w:val="font41"/>
    <w:basedOn w:val="9"/>
    <w:qFormat/>
    <w:uiPriority w:val="0"/>
    <w:rPr>
      <w:rFonts w:hint="eastAsia" w:ascii="宋体" w:hAnsi="宋体" w:eastAsia="宋体" w:cs="宋体"/>
      <w:b/>
      <w:bCs/>
      <w:color w:val="666666"/>
      <w:sz w:val="21"/>
      <w:szCs w:val="21"/>
      <w:u w:val="none"/>
    </w:rPr>
  </w:style>
  <w:style w:type="character" w:customStyle="1" w:styleId="15">
    <w:name w:val="font21"/>
    <w:basedOn w:val="9"/>
    <w:qFormat/>
    <w:uiPriority w:val="0"/>
    <w:rPr>
      <w:rFonts w:hint="default" w:ascii="Calibri" w:hAnsi="Calibri" w:cs="Calibri"/>
      <w:b/>
      <w:bCs/>
      <w:color w:val="666666"/>
      <w:sz w:val="21"/>
      <w:szCs w:val="21"/>
      <w:u w:val="none"/>
    </w:rPr>
  </w:style>
  <w:style w:type="character" w:customStyle="1" w:styleId="16">
    <w:name w:val="font51"/>
    <w:basedOn w:val="9"/>
    <w:qFormat/>
    <w:uiPriority w:val="0"/>
    <w:rPr>
      <w:rFonts w:hint="eastAsia" w:ascii="宋体" w:hAnsi="宋体" w:eastAsia="宋体" w:cs="宋体"/>
      <w:color w:val="666666"/>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2021-06-08T23:43:00Z</dcterms:created>
  <dc:creator>Administrator</dc:creator>
  <cp:lastModifiedBy>Administrator</cp:lastModifiedBy>
  <cp:lastPrinted>2021-06-25T10:28:00Z</cp:lastPrinted>
  <dcterms:modified xsi:type="dcterms:W3CDTF">2021-06-28T00:05:00Z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9CADA4019A1040F99022C437D72AC313</vt:lpwstr>
  </property>
</Properties>
</file>