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atLeast"/>
        <w:rPr>
          <w:rFonts w:ascii="宋体" w:hAnsi="宋体" w:cs="宋体"/>
          <w:b/>
          <w:bCs/>
          <w:color w:val="auto"/>
          <w:kern w:val="0"/>
          <w:sz w:val="48"/>
          <w:szCs w:val="48"/>
          <w:highlight w:val="none"/>
        </w:rPr>
      </w:pPr>
    </w:p>
    <w:p>
      <w:pPr>
        <w:jc w:val="center"/>
        <w:rPr>
          <w:rFonts w:hint="eastAsia" w:ascii="宋体" w:hAnsi="宋体" w:eastAsia="宋体" w:cs="宋体"/>
          <w:b/>
          <w:bCs/>
          <w:color w:val="auto"/>
          <w:sz w:val="36"/>
          <w:szCs w:val="30"/>
          <w:highlight w:val="none"/>
          <w:lang w:eastAsia="zh-CN"/>
        </w:rPr>
      </w:pPr>
      <w:r>
        <w:rPr>
          <w:rFonts w:hint="eastAsia" w:ascii="宋体" w:hAnsi="宋体" w:cs="宋体"/>
          <w:b/>
          <w:bCs/>
          <w:color w:val="auto"/>
          <w:sz w:val="36"/>
          <w:szCs w:val="30"/>
          <w:highlight w:val="none"/>
        </w:rPr>
        <w:t>温县妇幼保健院（迁建项目）医用家具项目</w:t>
      </w:r>
      <w:r>
        <w:rPr>
          <w:rFonts w:hint="eastAsia" w:ascii="宋体" w:hAnsi="宋体" w:cs="宋体"/>
          <w:b/>
          <w:bCs/>
          <w:color w:val="auto"/>
          <w:sz w:val="36"/>
          <w:szCs w:val="30"/>
          <w:highlight w:val="none"/>
          <w:lang w:eastAsia="zh-CN"/>
        </w:rPr>
        <w:t>（</w:t>
      </w:r>
      <w:r>
        <w:rPr>
          <w:rFonts w:hint="eastAsia" w:ascii="宋体" w:hAnsi="宋体" w:cs="宋体"/>
          <w:b/>
          <w:bCs/>
          <w:color w:val="auto"/>
          <w:sz w:val="36"/>
          <w:szCs w:val="30"/>
          <w:highlight w:val="none"/>
          <w:lang w:val="en-US" w:eastAsia="zh-CN"/>
        </w:rPr>
        <w:t>二次</w:t>
      </w:r>
      <w:r>
        <w:rPr>
          <w:rFonts w:hint="eastAsia" w:ascii="宋体" w:hAnsi="宋体" w:cs="宋体"/>
          <w:b/>
          <w:bCs/>
          <w:color w:val="auto"/>
          <w:sz w:val="36"/>
          <w:szCs w:val="30"/>
          <w:highlight w:val="none"/>
          <w:lang w:eastAsia="zh-CN"/>
        </w:rPr>
        <w:t>）</w:t>
      </w:r>
    </w:p>
    <w:p>
      <w:pPr>
        <w:jc w:val="center"/>
        <w:rPr>
          <w:rFonts w:ascii="宋体" w:hAnsi="宋体" w:cs="宋体"/>
          <w:b/>
          <w:bCs/>
          <w:color w:val="auto"/>
          <w:sz w:val="30"/>
          <w:szCs w:val="30"/>
          <w:highlight w:val="none"/>
        </w:rPr>
      </w:pPr>
    </w:p>
    <w:p>
      <w:pPr>
        <w:jc w:val="center"/>
        <w:rPr>
          <w:rFonts w:ascii="楷体_GB2312" w:eastAsia="楷体_GB2312"/>
          <w:b/>
          <w:bCs/>
          <w:color w:val="auto"/>
          <w:sz w:val="44"/>
          <w:szCs w:val="28"/>
          <w:highlight w:val="none"/>
        </w:rPr>
      </w:pPr>
      <w:r>
        <w:rPr>
          <w:rFonts w:hint="eastAsia" w:ascii="宋体" w:hAnsi="宋体" w:cs="宋体"/>
          <w:b/>
          <w:bCs/>
          <w:color w:val="auto"/>
          <w:sz w:val="44"/>
          <w:szCs w:val="30"/>
          <w:highlight w:val="none"/>
        </w:rPr>
        <w:t>竞争性谈判文件</w:t>
      </w: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rPr>
          <w:rFonts w:ascii="宋体" w:hAnsi="宋体"/>
          <w:b/>
          <w:bCs/>
          <w:color w:val="auto"/>
          <w:sz w:val="24"/>
          <w:highlight w:val="none"/>
        </w:rPr>
      </w:pPr>
    </w:p>
    <w:p>
      <w:pPr>
        <w:jc w:val="center"/>
        <w:rPr>
          <w:rFonts w:ascii="宋体" w:hAnsi="宋体"/>
          <w:b/>
          <w:bCs/>
          <w:color w:val="auto"/>
          <w:sz w:val="24"/>
          <w:highlight w:val="none"/>
        </w:rPr>
      </w:pPr>
    </w:p>
    <w:p>
      <w:pPr>
        <w:pStyle w:val="7"/>
        <w:jc w:val="center"/>
        <w:rPr>
          <w:rFonts w:hAnsi="宋体" w:cs="宋体"/>
          <w:b/>
          <w:bCs/>
          <w:color w:val="auto"/>
          <w:sz w:val="24"/>
          <w:highlight w:val="none"/>
        </w:rPr>
      </w:pPr>
      <w:r>
        <w:rPr>
          <w:rFonts w:hint="eastAsia" w:hAnsi="宋体" w:cs="宋体"/>
          <w:b/>
          <w:bCs/>
          <w:color w:val="auto"/>
          <w:sz w:val="24"/>
          <w:highlight w:val="none"/>
        </w:rPr>
        <w:t>项目编号：温交易【2019】276号</w:t>
      </w:r>
    </w:p>
    <w:p>
      <w:pPr>
        <w:pStyle w:val="7"/>
        <w:jc w:val="center"/>
        <w:rPr>
          <w:rFonts w:hAnsi="宋体"/>
          <w:b/>
          <w:color w:val="auto"/>
          <w:sz w:val="36"/>
          <w:szCs w:val="36"/>
          <w:highlight w:val="none"/>
        </w:rPr>
      </w:pPr>
      <w:r>
        <w:rPr>
          <w:rFonts w:hint="eastAsia" w:hAnsi="宋体" w:cs="宋体"/>
          <w:b/>
          <w:bCs/>
          <w:color w:val="auto"/>
          <w:sz w:val="24"/>
          <w:highlight w:val="none"/>
        </w:rPr>
        <w:t>采购编号：温政采【2019】265号</w:t>
      </w:r>
    </w:p>
    <w:p>
      <w:pP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jc w:val="center"/>
        <w:rPr>
          <w:rFonts w:ascii="宋体" w:hAnsi="宋体" w:cs="宋体"/>
          <w:b/>
          <w:color w:val="auto"/>
          <w:szCs w:val="21"/>
          <w:highlight w:val="none"/>
        </w:rPr>
      </w:pPr>
    </w:p>
    <w:p>
      <w:pPr>
        <w:pStyle w:val="7"/>
        <w:rPr>
          <w:rFonts w:hAnsi="宋体"/>
          <w:b/>
          <w:color w:val="auto"/>
          <w:sz w:val="36"/>
          <w:szCs w:val="36"/>
          <w:highlight w:val="none"/>
        </w:rPr>
      </w:pPr>
    </w:p>
    <w:p>
      <w:pPr>
        <w:pStyle w:val="7"/>
        <w:rPr>
          <w:rFonts w:hAnsi="宋体"/>
          <w:b/>
          <w:color w:val="auto"/>
          <w:sz w:val="36"/>
          <w:szCs w:val="36"/>
          <w:highlight w:val="none"/>
        </w:rPr>
      </w:pPr>
    </w:p>
    <w:p>
      <w:pPr>
        <w:pStyle w:val="7"/>
        <w:rPr>
          <w:rFonts w:hAnsi="宋体"/>
          <w:b/>
          <w:color w:val="auto"/>
          <w:sz w:val="36"/>
          <w:szCs w:val="36"/>
          <w:highlight w:val="none"/>
        </w:rPr>
      </w:pPr>
    </w:p>
    <w:p>
      <w:pPr>
        <w:spacing w:line="560" w:lineRule="exact"/>
        <w:ind w:firstLine="2168" w:firstLineChars="900"/>
        <w:rPr>
          <w:rFonts w:ascii="宋体" w:hAnsi="宋体"/>
          <w:b/>
          <w:color w:val="auto"/>
          <w:sz w:val="24"/>
          <w:highlight w:val="none"/>
          <w:u w:val="single"/>
        </w:rPr>
      </w:pPr>
      <w:r>
        <w:rPr>
          <w:rFonts w:hint="eastAsia" w:ascii="宋体" w:hAnsi="宋体"/>
          <w:b/>
          <w:color w:val="auto"/>
          <w:sz w:val="24"/>
          <w:highlight w:val="none"/>
        </w:rPr>
        <w:t>采 购 单  位：</w:t>
      </w:r>
      <w:r>
        <w:rPr>
          <w:rFonts w:hint="eastAsia" w:ascii="宋体" w:hAnsi="宋体"/>
          <w:b/>
          <w:color w:val="auto"/>
          <w:sz w:val="24"/>
          <w:highlight w:val="none"/>
          <w:u w:val="single"/>
        </w:rPr>
        <w:t>温县妇幼保健院</w:t>
      </w:r>
    </w:p>
    <w:p>
      <w:pPr>
        <w:spacing w:line="440" w:lineRule="exact"/>
        <w:ind w:firstLine="2168" w:firstLineChars="900"/>
        <w:rPr>
          <w:rFonts w:ascii="宋体" w:hAnsi="宋体"/>
          <w:b/>
          <w:color w:val="auto"/>
          <w:sz w:val="24"/>
          <w:highlight w:val="none"/>
          <w:u w:val="single"/>
        </w:rPr>
      </w:pPr>
      <w:r>
        <w:rPr>
          <w:rFonts w:hint="eastAsia" w:ascii="宋体" w:hAnsi="宋体"/>
          <w:b/>
          <w:color w:val="auto"/>
          <w:sz w:val="24"/>
          <w:highlight w:val="none"/>
        </w:rPr>
        <w:t>采购代理机构：</w:t>
      </w:r>
      <w:r>
        <w:rPr>
          <w:rFonts w:hint="eastAsia" w:ascii="宋体" w:hAnsi="宋体"/>
          <w:b/>
          <w:color w:val="auto"/>
          <w:sz w:val="24"/>
          <w:highlight w:val="none"/>
          <w:u w:val="single"/>
        </w:rPr>
        <w:t xml:space="preserve">河南宏业建设管理股份有限公司 </w:t>
      </w:r>
    </w:p>
    <w:p>
      <w:pPr>
        <w:spacing w:line="440" w:lineRule="exact"/>
        <w:jc w:val="center"/>
        <w:rPr>
          <w:rFonts w:ascii="宋体"/>
          <w:color w:val="auto"/>
          <w:sz w:val="24"/>
          <w:highlight w:val="none"/>
        </w:rPr>
      </w:pPr>
      <w:r>
        <w:rPr>
          <w:rFonts w:hint="eastAsia" w:ascii="宋体"/>
          <w:color w:val="auto"/>
          <w:sz w:val="24"/>
          <w:highlight w:val="none"/>
        </w:rPr>
        <w:t>2019年</w:t>
      </w:r>
      <w:r>
        <w:rPr>
          <w:rFonts w:hint="eastAsia" w:ascii="宋体"/>
          <w:color w:val="auto"/>
          <w:sz w:val="24"/>
          <w:highlight w:val="none"/>
          <w:lang w:val="en-US" w:eastAsia="zh-CN"/>
        </w:rPr>
        <w:t>11</w:t>
      </w:r>
      <w:r>
        <w:rPr>
          <w:rFonts w:hint="eastAsia" w:ascii="宋体"/>
          <w:color w:val="auto"/>
          <w:sz w:val="24"/>
          <w:highlight w:val="none"/>
        </w:rPr>
        <w:t>月</w:t>
      </w:r>
    </w:p>
    <w:p>
      <w:pPr>
        <w:pStyle w:val="10"/>
        <w:tabs>
          <w:tab w:val="right" w:leader="dot" w:pos="9071"/>
        </w:tabs>
        <w:spacing w:line="480" w:lineRule="auto"/>
        <w:jc w:val="center"/>
        <w:rPr>
          <w:b/>
          <w:bCs/>
          <w:color w:val="auto"/>
          <w:sz w:val="32"/>
          <w:szCs w:val="32"/>
          <w:highlight w:val="none"/>
          <w:shd w:val="clear" w:color="auto" w:fill="FFFFFF"/>
        </w:rPr>
      </w:pPr>
    </w:p>
    <w:p>
      <w:pPr>
        <w:pStyle w:val="10"/>
        <w:tabs>
          <w:tab w:val="right" w:leader="dot" w:pos="9071"/>
        </w:tabs>
        <w:spacing w:line="480" w:lineRule="auto"/>
        <w:rPr>
          <w:b/>
          <w:bCs/>
          <w:color w:val="auto"/>
          <w:sz w:val="32"/>
          <w:szCs w:val="32"/>
          <w:highlight w:val="none"/>
          <w:shd w:val="clear" w:color="auto" w:fill="FFFFFF"/>
        </w:rPr>
      </w:pPr>
    </w:p>
    <w:p>
      <w:pPr>
        <w:pStyle w:val="10"/>
        <w:tabs>
          <w:tab w:val="right" w:leader="dot" w:pos="9071"/>
        </w:tabs>
        <w:spacing w:line="480" w:lineRule="auto"/>
        <w:jc w:val="center"/>
        <w:rPr>
          <w:b/>
          <w:bCs/>
          <w:color w:val="auto"/>
          <w:sz w:val="32"/>
          <w:szCs w:val="32"/>
          <w:highlight w:val="none"/>
          <w:shd w:val="clear" w:color="auto" w:fill="FFFFFF"/>
        </w:rPr>
      </w:pPr>
      <w:r>
        <w:rPr>
          <w:rFonts w:hint="eastAsia"/>
          <w:b/>
          <w:bCs/>
          <w:color w:val="auto"/>
          <w:sz w:val="32"/>
          <w:szCs w:val="32"/>
          <w:highlight w:val="none"/>
          <w:shd w:val="clear" w:color="auto" w:fill="FFFFFF"/>
        </w:rPr>
        <w:t>目  录</w:t>
      </w:r>
    </w:p>
    <w:p>
      <w:pPr>
        <w:pStyle w:val="10"/>
        <w:tabs>
          <w:tab w:val="right" w:leader="dot" w:pos="9690"/>
        </w:tabs>
        <w:rPr>
          <w:color w:val="auto"/>
          <w:highlight w:val="none"/>
        </w:rPr>
      </w:pPr>
      <w:r>
        <w:rPr>
          <w:rFonts w:hint="eastAsia" w:ascii="宋体" w:hAnsi="宋体" w:cs="宋体"/>
          <w:b/>
          <w:bCs/>
          <w:color w:val="auto"/>
          <w:sz w:val="32"/>
          <w:szCs w:val="32"/>
          <w:highlight w:val="none"/>
          <w:shd w:val="clear" w:color="auto" w:fill="FFFFFF"/>
        </w:rPr>
        <w:fldChar w:fldCharType="begin"/>
      </w:r>
      <w:r>
        <w:rPr>
          <w:rFonts w:hint="eastAsia" w:ascii="宋体" w:hAnsi="宋体" w:cs="宋体"/>
          <w:b/>
          <w:bCs/>
          <w:color w:val="auto"/>
          <w:sz w:val="32"/>
          <w:szCs w:val="32"/>
          <w:highlight w:val="none"/>
          <w:shd w:val="clear" w:color="auto" w:fill="FFFFFF"/>
        </w:rPr>
        <w:instrText xml:space="preserve">TOC \o "1-1" \h \u </w:instrText>
      </w:r>
      <w:r>
        <w:rPr>
          <w:rFonts w:hint="eastAsia" w:ascii="宋体" w:hAnsi="宋体" w:cs="宋体"/>
          <w:b/>
          <w:bCs/>
          <w:color w:val="auto"/>
          <w:sz w:val="32"/>
          <w:szCs w:val="32"/>
          <w:highlight w:val="none"/>
          <w:shd w:val="clear" w:color="auto" w:fill="FFFFFF"/>
        </w:rPr>
        <w:fldChar w:fldCharType="separate"/>
      </w:r>
      <w:r>
        <w:rPr>
          <w:rFonts w:hint="eastAsia" w:ascii="宋体" w:hAnsi="宋体" w:cs="宋体"/>
          <w:bCs/>
          <w:color w:val="auto"/>
          <w:szCs w:val="32"/>
          <w:highlight w:val="none"/>
          <w:shd w:val="clear" w:color="auto" w:fill="FFFFFF"/>
        </w:rPr>
        <w:fldChar w:fldCharType="begin"/>
      </w:r>
      <w:r>
        <w:rPr>
          <w:rFonts w:hint="eastAsia" w:ascii="宋体" w:hAnsi="宋体" w:cs="宋体"/>
          <w:bCs/>
          <w:color w:val="auto"/>
          <w:szCs w:val="32"/>
          <w:highlight w:val="none"/>
          <w:shd w:val="clear" w:color="auto" w:fill="FFFFFF"/>
        </w:rPr>
        <w:instrText xml:space="preserve"> HYPERLINK \l _Toc12155 </w:instrText>
      </w:r>
      <w:r>
        <w:rPr>
          <w:rFonts w:hint="eastAsia" w:ascii="宋体" w:hAnsi="宋体" w:cs="宋体"/>
          <w:bCs/>
          <w:color w:val="auto"/>
          <w:szCs w:val="32"/>
          <w:highlight w:val="none"/>
          <w:shd w:val="clear" w:color="auto" w:fill="FFFFFF"/>
        </w:rPr>
        <w:fldChar w:fldCharType="separate"/>
      </w:r>
      <w:r>
        <w:rPr>
          <w:rFonts w:hint="eastAsia" w:ascii="宋体" w:hAnsi="宋体" w:cs="宋体"/>
          <w:bCs/>
          <w:color w:val="auto"/>
          <w:kern w:val="0"/>
          <w:szCs w:val="32"/>
          <w:highlight w:val="none"/>
        </w:rPr>
        <w:t>一、谈判须知表</w:t>
      </w:r>
      <w:r>
        <w:rPr>
          <w:color w:val="auto"/>
          <w:highlight w:val="none"/>
        </w:rPr>
        <w:tab/>
      </w:r>
      <w:r>
        <w:rPr>
          <w:color w:val="auto"/>
          <w:highlight w:val="none"/>
        </w:rPr>
        <w:fldChar w:fldCharType="begin"/>
      </w:r>
      <w:r>
        <w:rPr>
          <w:color w:val="auto"/>
          <w:highlight w:val="none"/>
        </w:rPr>
        <w:instrText xml:space="preserve"> PAGEREF _Toc12155 </w:instrText>
      </w:r>
      <w:r>
        <w:rPr>
          <w:color w:val="auto"/>
          <w:highlight w:val="none"/>
        </w:rPr>
        <w:fldChar w:fldCharType="separate"/>
      </w:r>
      <w:r>
        <w:rPr>
          <w:color w:val="auto"/>
          <w:highlight w:val="none"/>
        </w:rPr>
        <w:t>4</w:t>
      </w:r>
      <w:r>
        <w:rPr>
          <w:color w:val="auto"/>
          <w:highlight w:val="none"/>
        </w:rPr>
        <w:fldChar w:fldCharType="end"/>
      </w:r>
      <w:r>
        <w:rPr>
          <w:rFonts w:hint="eastAsia" w:ascii="宋体" w:hAnsi="宋体" w:cs="宋体"/>
          <w:bCs/>
          <w:color w:val="auto"/>
          <w:szCs w:val="32"/>
          <w:highlight w:val="none"/>
          <w:shd w:val="clear" w:color="auto" w:fill="FFFFFF"/>
        </w:rPr>
        <w:fldChar w:fldCharType="end"/>
      </w:r>
    </w:p>
    <w:p>
      <w:pPr>
        <w:pStyle w:val="10"/>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_Toc28978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二、谈  判  程  序</w:t>
      </w:r>
      <w:r>
        <w:rPr>
          <w:color w:val="auto"/>
          <w:highlight w:val="none"/>
        </w:rPr>
        <w:tab/>
      </w:r>
      <w:r>
        <w:rPr>
          <w:color w:val="auto"/>
          <w:highlight w:val="none"/>
        </w:rPr>
        <w:fldChar w:fldCharType="begin"/>
      </w:r>
      <w:r>
        <w:rPr>
          <w:color w:val="auto"/>
          <w:highlight w:val="none"/>
        </w:rPr>
        <w:instrText xml:space="preserve"> PAGEREF _Toc28978 </w:instrText>
      </w:r>
      <w:r>
        <w:rPr>
          <w:color w:val="auto"/>
          <w:highlight w:val="none"/>
        </w:rPr>
        <w:fldChar w:fldCharType="separate"/>
      </w:r>
      <w:r>
        <w:rPr>
          <w:color w:val="auto"/>
          <w:highlight w:val="none"/>
        </w:rPr>
        <w:t>6</w:t>
      </w:r>
      <w:r>
        <w:rPr>
          <w:color w:val="auto"/>
          <w:highlight w:val="none"/>
        </w:rPr>
        <w:fldChar w:fldCharType="end"/>
      </w:r>
      <w:r>
        <w:rPr>
          <w:rFonts w:hint="eastAsia"/>
          <w:bCs/>
          <w:color w:val="auto"/>
          <w:szCs w:val="32"/>
          <w:highlight w:val="none"/>
          <w:shd w:val="clear" w:color="auto" w:fill="FFFFFF"/>
        </w:rPr>
        <w:fldChar w:fldCharType="end"/>
      </w:r>
    </w:p>
    <w:p>
      <w:pPr>
        <w:pStyle w:val="10"/>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_Toc20231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四、合同签订及条款</w:t>
      </w:r>
      <w:r>
        <w:rPr>
          <w:color w:val="auto"/>
          <w:highlight w:val="none"/>
        </w:rPr>
        <w:tab/>
      </w:r>
      <w:r>
        <w:rPr>
          <w:color w:val="auto"/>
          <w:highlight w:val="none"/>
        </w:rPr>
        <w:fldChar w:fldCharType="begin"/>
      </w:r>
      <w:r>
        <w:rPr>
          <w:color w:val="auto"/>
          <w:highlight w:val="none"/>
        </w:rPr>
        <w:instrText xml:space="preserve"> PAGEREF _Toc20231 </w:instrText>
      </w:r>
      <w:r>
        <w:rPr>
          <w:color w:val="auto"/>
          <w:highlight w:val="none"/>
        </w:rPr>
        <w:fldChar w:fldCharType="separate"/>
      </w:r>
      <w:r>
        <w:rPr>
          <w:color w:val="auto"/>
          <w:highlight w:val="none"/>
        </w:rPr>
        <w:t>25</w:t>
      </w:r>
      <w:r>
        <w:rPr>
          <w:color w:val="auto"/>
          <w:highlight w:val="none"/>
        </w:rPr>
        <w:fldChar w:fldCharType="end"/>
      </w:r>
      <w:r>
        <w:rPr>
          <w:rFonts w:hint="eastAsia"/>
          <w:bCs/>
          <w:color w:val="auto"/>
          <w:szCs w:val="32"/>
          <w:highlight w:val="none"/>
          <w:shd w:val="clear" w:color="auto" w:fill="FFFFFF"/>
        </w:rPr>
        <w:fldChar w:fldCharType="end"/>
      </w:r>
    </w:p>
    <w:p>
      <w:pPr>
        <w:pStyle w:val="10"/>
        <w:tabs>
          <w:tab w:val="right" w:leader="dot" w:pos="9690"/>
        </w:tabs>
        <w:rPr>
          <w:color w:val="auto"/>
          <w:highlight w:val="none"/>
        </w:rPr>
      </w:pPr>
      <w:r>
        <w:rPr>
          <w:rFonts w:hint="eastAsia"/>
          <w:bCs/>
          <w:color w:val="auto"/>
          <w:szCs w:val="32"/>
          <w:highlight w:val="none"/>
          <w:shd w:val="clear" w:color="auto" w:fill="FFFFFF"/>
        </w:rPr>
        <w:fldChar w:fldCharType="begin"/>
      </w:r>
      <w:r>
        <w:rPr>
          <w:rFonts w:hint="eastAsia"/>
          <w:bCs/>
          <w:color w:val="auto"/>
          <w:szCs w:val="32"/>
          <w:highlight w:val="none"/>
          <w:shd w:val="clear" w:color="auto" w:fill="FFFFFF"/>
        </w:rPr>
        <w:instrText xml:space="preserve"> HYPERLINK \l _Toc11465 </w:instrText>
      </w:r>
      <w:r>
        <w:rPr>
          <w:rFonts w:hint="eastAsia"/>
          <w:bCs/>
          <w:color w:val="auto"/>
          <w:szCs w:val="32"/>
          <w:highlight w:val="none"/>
          <w:shd w:val="clear" w:color="auto" w:fill="FFFFFF"/>
        </w:rPr>
        <w:fldChar w:fldCharType="separate"/>
      </w:r>
      <w:r>
        <w:rPr>
          <w:rFonts w:hint="eastAsia" w:ascii="宋体" w:hAnsi="宋体" w:cs="宋体"/>
          <w:bCs/>
          <w:color w:val="auto"/>
          <w:kern w:val="0"/>
          <w:szCs w:val="32"/>
          <w:highlight w:val="none"/>
        </w:rPr>
        <w:t>五、谈判响应性文件基本格式</w:t>
      </w:r>
      <w:r>
        <w:rPr>
          <w:color w:val="auto"/>
          <w:highlight w:val="none"/>
        </w:rPr>
        <w:tab/>
      </w:r>
      <w:r>
        <w:rPr>
          <w:color w:val="auto"/>
          <w:highlight w:val="none"/>
        </w:rPr>
        <w:fldChar w:fldCharType="begin"/>
      </w:r>
      <w:r>
        <w:rPr>
          <w:color w:val="auto"/>
          <w:highlight w:val="none"/>
        </w:rPr>
        <w:instrText xml:space="preserve"> PAGEREF _Toc11465 </w:instrText>
      </w:r>
      <w:r>
        <w:rPr>
          <w:color w:val="auto"/>
          <w:highlight w:val="none"/>
        </w:rPr>
        <w:fldChar w:fldCharType="separate"/>
      </w:r>
      <w:r>
        <w:rPr>
          <w:color w:val="auto"/>
          <w:highlight w:val="none"/>
        </w:rPr>
        <w:t>29</w:t>
      </w:r>
      <w:r>
        <w:rPr>
          <w:color w:val="auto"/>
          <w:highlight w:val="none"/>
        </w:rPr>
        <w:fldChar w:fldCharType="end"/>
      </w:r>
      <w:r>
        <w:rPr>
          <w:rFonts w:hint="eastAsia"/>
          <w:bCs/>
          <w:color w:val="auto"/>
          <w:szCs w:val="32"/>
          <w:highlight w:val="none"/>
          <w:shd w:val="clear" w:color="auto" w:fill="FFFFFF"/>
        </w:rPr>
        <w:fldChar w:fldCharType="end"/>
      </w:r>
    </w:p>
    <w:p>
      <w:pPr>
        <w:pStyle w:val="11"/>
        <w:shd w:val="clear" w:color="auto" w:fill="FFFFFF"/>
        <w:spacing w:beforeAutospacing="0" w:afterAutospacing="0" w:line="480" w:lineRule="auto"/>
        <w:jc w:val="center"/>
        <w:rPr>
          <w:bCs/>
          <w:color w:val="auto"/>
          <w:szCs w:val="32"/>
          <w:highlight w:val="none"/>
          <w:shd w:val="clear" w:color="auto" w:fill="FFFFFF"/>
        </w:rPr>
      </w:pPr>
      <w:r>
        <w:rPr>
          <w:rFonts w:hint="eastAsia"/>
          <w:bCs/>
          <w:color w:val="auto"/>
          <w:szCs w:val="32"/>
          <w:highlight w:val="none"/>
          <w:shd w:val="clear" w:color="auto" w:fill="FFFFFF"/>
        </w:rPr>
        <w:fldChar w:fldCharType="end"/>
      </w: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pStyle w:val="11"/>
        <w:shd w:val="clear" w:color="auto" w:fill="FFFFFF"/>
        <w:spacing w:beforeAutospacing="0" w:afterAutospacing="0" w:line="480" w:lineRule="auto"/>
        <w:jc w:val="center"/>
        <w:rPr>
          <w:bCs/>
          <w:color w:val="auto"/>
          <w:szCs w:val="32"/>
          <w:highlight w:val="none"/>
          <w:shd w:val="clear" w:color="auto" w:fill="FFFFFF"/>
        </w:rPr>
      </w:pPr>
    </w:p>
    <w:p>
      <w:pPr>
        <w:rPr>
          <w:rFonts w:ascii="宋体" w:hAnsi="宋体" w:cs="宋体"/>
          <w:b/>
          <w:bCs/>
          <w:color w:val="auto"/>
          <w:sz w:val="30"/>
          <w:szCs w:val="30"/>
          <w:highlight w:val="none"/>
        </w:rPr>
      </w:pPr>
    </w:p>
    <w:p>
      <w:pPr>
        <w:rPr>
          <w:rFonts w:ascii="宋体" w:hAnsi="宋体" w:cs="宋体"/>
          <w:b/>
          <w:bCs/>
          <w:color w:val="auto"/>
          <w:sz w:val="30"/>
          <w:szCs w:val="30"/>
          <w:highlight w:val="none"/>
        </w:rPr>
      </w:pPr>
    </w:p>
    <w:p>
      <w:pPr>
        <w:pStyle w:val="11"/>
        <w:keepNext w:val="0"/>
        <w:keepLines w:val="0"/>
        <w:pageBreakBefore w:val="0"/>
        <w:kinsoku/>
        <w:wordWrap/>
        <w:overflowPunct/>
        <w:topLinePunct w:val="0"/>
        <w:bidi w:val="0"/>
        <w:adjustRightInd/>
        <w:snapToGrid/>
        <w:spacing w:beforeAutospacing="0" w:afterAutospacing="0" w:line="420" w:lineRule="exact"/>
        <w:jc w:val="center"/>
        <w:textAlignment w:val="auto"/>
        <w:rPr>
          <w:rFonts w:hint="eastAsia" w:ascii="宋体" w:hAnsi="宋体" w:eastAsia="宋体" w:cs="宋体"/>
          <w:b/>
          <w:bCs/>
          <w:color w:val="auto"/>
          <w:kern w:val="0"/>
          <w:sz w:val="28"/>
          <w:szCs w:val="28"/>
          <w:highlight w:val="none"/>
          <w:shd w:val="clear" w:color="auto" w:fill="FFFFFF"/>
          <w:lang w:val="en-US" w:eastAsia="zh-CN" w:bidi="ar-SA"/>
        </w:rPr>
      </w:pPr>
      <w:r>
        <w:rPr>
          <w:rFonts w:hint="eastAsia" w:ascii="宋体" w:hAnsi="宋体" w:eastAsia="宋体" w:cs="宋体"/>
          <w:b/>
          <w:bCs/>
          <w:color w:val="auto"/>
          <w:kern w:val="0"/>
          <w:sz w:val="28"/>
          <w:szCs w:val="28"/>
          <w:highlight w:val="none"/>
          <w:shd w:val="clear" w:color="auto" w:fill="FFFFFF"/>
          <w:lang w:val="en-US" w:eastAsia="zh-CN" w:bidi="ar-SA"/>
        </w:rPr>
        <w:t>温县妇幼保健院（迁建项目）医用家具项目</w:t>
      </w:r>
      <w:r>
        <w:rPr>
          <w:rFonts w:hint="eastAsia" w:cs="宋体"/>
          <w:b/>
          <w:bCs/>
          <w:color w:val="auto"/>
          <w:kern w:val="0"/>
          <w:sz w:val="28"/>
          <w:szCs w:val="28"/>
          <w:highlight w:val="none"/>
          <w:shd w:val="clear" w:color="auto" w:fill="FFFFFF"/>
          <w:lang w:val="en-US" w:eastAsia="zh-CN" w:bidi="ar-SA"/>
        </w:rPr>
        <w:t>（二次）</w:t>
      </w:r>
    </w:p>
    <w:p>
      <w:pPr>
        <w:pStyle w:val="11"/>
        <w:keepNext w:val="0"/>
        <w:keepLines w:val="0"/>
        <w:pageBreakBefore w:val="0"/>
        <w:kinsoku/>
        <w:wordWrap/>
        <w:overflowPunct/>
        <w:topLinePunct w:val="0"/>
        <w:bidi w:val="0"/>
        <w:adjustRightInd/>
        <w:snapToGrid/>
        <w:spacing w:beforeAutospacing="0" w:afterAutospacing="0" w:line="420" w:lineRule="exact"/>
        <w:jc w:val="center"/>
        <w:textAlignment w:val="auto"/>
        <w:rPr>
          <w:rFonts w:hint="eastAsia" w:ascii="宋体" w:hAnsi="宋体" w:eastAsia="宋体" w:cs="宋体"/>
          <w:b/>
          <w:bCs/>
          <w:color w:val="auto"/>
          <w:kern w:val="0"/>
          <w:sz w:val="28"/>
          <w:szCs w:val="28"/>
          <w:highlight w:val="none"/>
          <w:shd w:val="clear" w:color="auto" w:fill="FFFFFF"/>
          <w:lang w:val="en-US" w:eastAsia="zh-CN" w:bidi="ar-SA"/>
        </w:rPr>
      </w:pPr>
      <w:r>
        <w:rPr>
          <w:rFonts w:hint="eastAsia" w:ascii="宋体" w:hAnsi="宋体" w:eastAsia="宋体" w:cs="宋体"/>
          <w:b/>
          <w:bCs/>
          <w:color w:val="auto"/>
          <w:kern w:val="0"/>
          <w:sz w:val="28"/>
          <w:szCs w:val="28"/>
          <w:highlight w:val="none"/>
          <w:shd w:val="clear" w:color="auto" w:fill="FFFFFF"/>
          <w:lang w:val="en-US" w:eastAsia="zh-CN" w:bidi="ar-SA"/>
        </w:rPr>
        <w:t>竞争性谈判公告</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一、采购项目名称：温县妇幼保健院（迁建项目）医用家具项目</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二、项目编号：温交易【2019】276号  采购编号：温政采【2019】265号</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三、项目预算金额：95万元</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四、采购项目需要落实的政府采购政策：促进中小企业和监狱企业发展扶持政策促进中小企业和监狱企业发展扶持政策。</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五、项目基本情况：</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1、项目内容：诊断桌、诊断床、治疗台等铺助类家具。</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2、资金来源：自筹资金</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3、工程地点：位于温县黄河路西段，司马大街西</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 xml:space="preserve">4、工期：20日历天  </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5、质保期：24个月</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default" w:ascii="宋体" w:hAnsi="宋体" w:cs="宋体"/>
          <w:color w:val="auto"/>
          <w:kern w:val="0"/>
          <w:szCs w:val="21"/>
          <w:highlight w:val="none"/>
          <w:shd w:val="clear" w:color="auto" w:fill="FFFFFF"/>
          <w:lang w:val="en-US" w:eastAsia="zh-CN"/>
        </w:rPr>
      </w:pPr>
      <w:r>
        <w:rPr>
          <w:rFonts w:hint="eastAsia" w:ascii="宋体" w:hAnsi="宋体" w:cs="宋体"/>
          <w:color w:val="auto"/>
          <w:kern w:val="0"/>
          <w:szCs w:val="21"/>
          <w:highlight w:val="none"/>
          <w:shd w:val="clear" w:color="auto" w:fill="FFFFFF"/>
          <w:lang w:val="en-US" w:eastAsia="zh-CN"/>
        </w:rPr>
        <w:t>6.质量要求：合格</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六、供应商资格条件：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1、符合《政府采购法》第二十二条规定的条件：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（1）具有独立承担民事责任的能力；</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default" w:ascii="宋体" w:hAnsi="宋体" w:cs="宋体"/>
          <w:color w:val="auto"/>
          <w:kern w:val="0"/>
          <w:szCs w:val="21"/>
          <w:highlight w:val="none"/>
          <w:shd w:val="clear" w:color="auto" w:fill="FFFFFF"/>
          <w:lang w:val="en-US" w:eastAsia="zh-CN"/>
        </w:rPr>
      </w:pPr>
      <w:r>
        <w:rPr>
          <w:rFonts w:hint="eastAsia" w:ascii="宋体" w:hAnsi="宋体" w:cs="宋体"/>
          <w:color w:val="auto"/>
          <w:kern w:val="0"/>
          <w:szCs w:val="21"/>
          <w:highlight w:val="none"/>
          <w:shd w:val="clear" w:color="auto" w:fill="FFFFFF"/>
        </w:rPr>
        <w:t>（2）具有良好的商业信誉和健全的财务会计制度</w:t>
      </w:r>
      <w:r>
        <w:rPr>
          <w:rFonts w:hint="eastAsia" w:ascii="宋体" w:hAnsi="宋体" w:cs="宋体"/>
          <w:color w:val="auto"/>
          <w:kern w:val="0"/>
          <w:szCs w:val="21"/>
          <w:highlight w:val="none"/>
          <w:shd w:val="clear" w:color="auto" w:fill="FFFFFF"/>
          <w:lang w:eastAsia="zh-CN"/>
        </w:rPr>
        <w:t>（</w:t>
      </w:r>
      <w:r>
        <w:rPr>
          <w:rFonts w:hint="eastAsia" w:ascii="宋体" w:hAnsi="宋体" w:cs="宋体"/>
          <w:color w:val="auto"/>
          <w:kern w:val="0"/>
          <w:szCs w:val="21"/>
          <w:highlight w:val="none"/>
          <w:shd w:val="clear" w:color="auto" w:fill="FFFFFF"/>
          <w:lang w:val="en-US" w:eastAsia="zh-CN"/>
        </w:rPr>
        <w:t>提供2017年和2018年度财务审计报告）；</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（3）具有履行合同所必需的设备和专业技术能力；</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rPr>
        <w:t>（4）有依法缴纳税收和社会保障资金的良好记录（提供近三个月的完税和社保缴纳证明）</w:t>
      </w:r>
      <w:r>
        <w:rPr>
          <w:rFonts w:hint="eastAsia" w:ascii="宋体" w:hAnsi="宋体" w:cs="宋体"/>
          <w:color w:val="auto"/>
          <w:kern w:val="0"/>
          <w:szCs w:val="21"/>
          <w:highlight w:val="none"/>
          <w:shd w:val="clear" w:color="auto" w:fill="FFFFFF"/>
          <w:lang w:eastAsia="zh-CN"/>
        </w:rPr>
        <w:t>；</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（5）参加政府采购活动前三年内，在经营活动中没有重大违法记录；</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（6）法律、行政法规规定的其他条件。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w:t>
      </w:r>
      <w:r>
        <w:rPr>
          <w:rFonts w:hint="eastAsia" w:ascii="宋体" w:hAnsi="宋体" w:cs="宋体"/>
          <w:color w:val="auto"/>
          <w:kern w:val="0"/>
          <w:szCs w:val="21"/>
          <w:highlight w:val="none"/>
          <w:shd w:val="clear" w:color="auto" w:fill="FFFFFF"/>
          <w:lang w:val="en-US" w:eastAsia="zh-CN"/>
        </w:rPr>
        <w:t>供应商须</w:t>
      </w:r>
      <w:r>
        <w:rPr>
          <w:rFonts w:hint="eastAsia" w:ascii="宋体" w:hAnsi="宋体" w:cs="宋体"/>
          <w:color w:val="auto"/>
          <w:kern w:val="0"/>
          <w:szCs w:val="21"/>
          <w:highlight w:val="none"/>
          <w:shd w:val="clear" w:color="auto" w:fill="FFFFFF"/>
        </w:rPr>
        <w:t>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en-US" w:eastAsia="zh-CN"/>
        </w:rPr>
        <w:t>供应商</w:t>
      </w:r>
      <w:r>
        <w:rPr>
          <w:rFonts w:hint="eastAsia" w:ascii="宋体" w:hAnsi="宋体" w:cs="宋体"/>
          <w:color w:val="auto"/>
          <w:kern w:val="0"/>
          <w:szCs w:val="21"/>
          <w:highlight w:val="none"/>
          <w:shd w:val="clear" w:color="auto" w:fill="FFFFFF"/>
        </w:rPr>
        <w:t>必须提供投标承诺函；</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4</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en-US" w:eastAsia="zh-CN"/>
        </w:rPr>
        <w:t>供应商</w:t>
      </w:r>
      <w:r>
        <w:rPr>
          <w:rFonts w:hint="eastAsia" w:ascii="宋体" w:hAnsi="宋体" w:cs="宋体"/>
          <w:color w:val="auto"/>
          <w:kern w:val="0"/>
          <w:szCs w:val="21"/>
          <w:highlight w:val="none"/>
          <w:shd w:val="clear" w:color="auto" w:fill="FFFFFF"/>
        </w:rPr>
        <w:t>必须提供无行贿犯罪记录承诺书。（投标人出具“中国裁判文书网”网站查询近三年来法人、法定代表人、法定代表人委托人无行贿犯罪记录网页截图加盖企业公章证明）若有行贿犯罪记录则取消其投标资格；</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5</w:t>
      </w:r>
      <w:r>
        <w:rPr>
          <w:rFonts w:hint="eastAsia" w:ascii="宋体" w:hAnsi="宋体" w:cs="宋体"/>
          <w:color w:val="auto"/>
          <w:kern w:val="0"/>
          <w:szCs w:val="21"/>
          <w:highlight w:val="none"/>
          <w:shd w:val="clear" w:color="auto" w:fill="FFFFFF"/>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rPr>
        <w:t>、本次招标不接受联合体投标。</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七、获取竞争性谈判文件：</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FF0000"/>
          <w:kern w:val="0"/>
          <w:szCs w:val="21"/>
          <w:highlight w:val="none"/>
          <w:shd w:val="clear" w:color="auto" w:fill="FFFFFF"/>
        </w:rPr>
      </w:pPr>
      <w:r>
        <w:rPr>
          <w:rFonts w:hint="eastAsia" w:ascii="宋体" w:hAnsi="宋体" w:cs="宋体"/>
          <w:color w:val="auto"/>
          <w:kern w:val="0"/>
          <w:szCs w:val="21"/>
          <w:highlight w:val="none"/>
          <w:shd w:val="clear" w:color="auto" w:fill="FFFFFF"/>
        </w:rPr>
        <w:t>1、时</w:t>
      </w:r>
      <w:r>
        <w:rPr>
          <w:rFonts w:hint="eastAsia" w:ascii="宋体" w:hAnsi="宋体" w:cs="宋体"/>
          <w:color w:val="000000" w:themeColor="text1"/>
          <w:kern w:val="0"/>
          <w:szCs w:val="21"/>
          <w:highlight w:val="none"/>
          <w:shd w:val="clear" w:color="auto" w:fill="FFFFFF"/>
          <w14:textFill>
            <w14:solidFill>
              <w14:schemeClr w14:val="tx1"/>
            </w14:solidFill>
          </w14:textFill>
        </w:rPr>
        <w:t>间： 2019年</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11</w:t>
      </w:r>
      <w:r>
        <w:rPr>
          <w:rFonts w:hint="eastAsia" w:ascii="宋体" w:hAnsi="宋体" w:cs="宋体"/>
          <w:color w:val="000000" w:themeColor="text1"/>
          <w:kern w:val="0"/>
          <w:szCs w:val="21"/>
          <w:highlight w:val="none"/>
          <w:shd w:val="clear" w:color="auto" w:fill="FFFFFF"/>
          <w14:textFill>
            <w14:solidFill>
              <w14:schemeClr w14:val="tx1"/>
            </w14:solidFill>
          </w14:textFill>
        </w:rPr>
        <w:t>月</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21</w:t>
      </w:r>
      <w:r>
        <w:rPr>
          <w:rFonts w:hint="eastAsia" w:ascii="宋体" w:hAnsi="宋体" w:cs="宋体"/>
          <w:color w:val="000000" w:themeColor="text1"/>
          <w:kern w:val="0"/>
          <w:szCs w:val="21"/>
          <w:highlight w:val="none"/>
          <w:shd w:val="clear" w:color="auto" w:fill="FFFFFF"/>
          <w14:textFill>
            <w14:solidFill>
              <w14:schemeClr w14:val="tx1"/>
            </w14:solidFill>
          </w14:textFill>
        </w:rPr>
        <w:t>日</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8</w:t>
      </w:r>
      <w:r>
        <w:rPr>
          <w:rFonts w:hint="eastAsia" w:ascii="宋体" w:hAnsi="宋体" w:cs="宋体"/>
          <w:color w:val="000000" w:themeColor="text1"/>
          <w:kern w:val="0"/>
          <w:szCs w:val="21"/>
          <w:highlight w:val="none"/>
          <w:shd w:val="clear" w:color="auto" w:fill="FFFFFF"/>
          <w14:textFill>
            <w14:solidFill>
              <w14:schemeClr w14:val="tx1"/>
            </w14:solidFill>
          </w14:textFill>
        </w:rPr>
        <w:t>时</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00</w:t>
      </w:r>
      <w:r>
        <w:rPr>
          <w:rFonts w:hint="eastAsia" w:ascii="宋体" w:hAnsi="宋体" w:cs="宋体"/>
          <w:color w:val="000000" w:themeColor="text1"/>
          <w:kern w:val="0"/>
          <w:szCs w:val="21"/>
          <w:highlight w:val="none"/>
          <w:shd w:val="clear" w:color="auto" w:fill="FFFFFF"/>
          <w14:textFill>
            <w14:solidFill>
              <w14:schemeClr w14:val="tx1"/>
            </w14:solidFill>
          </w14:textFill>
        </w:rPr>
        <w:t>分至2019年</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11</w:t>
      </w:r>
      <w:r>
        <w:rPr>
          <w:rFonts w:hint="eastAsia" w:ascii="宋体" w:hAnsi="宋体" w:cs="宋体"/>
          <w:color w:val="000000" w:themeColor="text1"/>
          <w:kern w:val="0"/>
          <w:szCs w:val="21"/>
          <w:highlight w:val="none"/>
          <w:shd w:val="clear" w:color="auto" w:fill="FFFFFF"/>
          <w14:textFill>
            <w14:solidFill>
              <w14:schemeClr w14:val="tx1"/>
            </w14:solidFill>
          </w14:textFill>
        </w:rPr>
        <w:t>月</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27</w:t>
      </w:r>
      <w:r>
        <w:rPr>
          <w:rFonts w:hint="eastAsia" w:ascii="宋体" w:hAnsi="宋体" w:cs="宋体"/>
          <w:color w:val="000000" w:themeColor="text1"/>
          <w:kern w:val="0"/>
          <w:szCs w:val="21"/>
          <w:highlight w:val="none"/>
          <w:shd w:val="clear" w:color="auto" w:fill="FFFFFF"/>
          <w14:textFill>
            <w14:solidFill>
              <w14:schemeClr w14:val="tx1"/>
            </w14:solidFill>
          </w14:textFill>
        </w:rPr>
        <w:t>日</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17</w:t>
      </w:r>
      <w:r>
        <w:rPr>
          <w:rFonts w:hint="eastAsia" w:ascii="宋体" w:hAnsi="宋体" w:cs="宋体"/>
          <w:color w:val="000000" w:themeColor="text1"/>
          <w:kern w:val="0"/>
          <w:szCs w:val="21"/>
          <w:highlight w:val="none"/>
          <w:shd w:val="clear" w:color="auto" w:fill="FFFFFF"/>
          <w14:textFill>
            <w14:solidFill>
              <w14:schemeClr w14:val="tx1"/>
            </w14:solidFill>
          </w14:textFill>
        </w:rPr>
        <w:t>时</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30</w:t>
      </w:r>
      <w:r>
        <w:rPr>
          <w:rFonts w:hint="eastAsia" w:ascii="宋体" w:hAnsi="宋体" w:cs="宋体"/>
          <w:color w:val="000000" w:themeColor="text1"/>
          <w:kern w:val="0"/>
          <w:szCs w:val="21"/>
          <w:highlight w:val="none"/>
          <w:shd w:val="clear" w:color="auto" w:fill="FFFFFF"/>
          <w14:textFill>
            <w14:solidFill>
              <w14:schemeClr w14:val="tx1"/>
            </w14:solidFill>
          </w14:textFill>
        </w:rPr>
        <w:t>分（北京时间、法定节假日除外）</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2、地点：《河南省政府采购网》、《焦作市公共资源交易中心网》、《温县公共资源交易中心网》</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3、方式：网上自行下载。</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4、售价：人民币300 元/份，开标前现场交纳。</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八、响应文件提交的截至时间及地点：</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000000" w:themeColor="text1"/>
          <w:kern w:val="0"/>
          <w:szCs w:val="21"/>
          <w:highlight w:val="none"/>
          <w:shd w:val="clear" w:color="auto" w:fill="FFFFFF"/>
          <w14:textFill>
            <w14:solidFill>
              <w14:schemeClr w14:val="tx1"/>
            </w14:solidFill>
          </w14:textFill>
        </w:rPr>
      </w:pPr>
      <w:r>
        <w:rPr>
          <w:rFonts w:hint="eastAsia" w:ascii="宋体" w:hAnsi="宋体" w:cs="宋体"/>
          <w:color w:val="auto"/>
          <w:kern w:val="0"/>
          <w:szCs w:val="21"/>
          <w:highlight w:val="none"/>
          <w:shd w:val="clear" w:color="auto" w:fill="FFFFFF"/>
        </w:rPr>
        <w:t>1、时</w:t>
      </w:r>
      <w:r>
        <w:rPr>
          <w:rFonts w:hint="eastAsia" w:ascii="宋体" w:hAnsi="宋体" w:cs="宋体"/>
          <w:color w:val="000000" w:themeColor="text1"/>
          <w:kern w:val="0"/>
          <w:szCs w:val="21"/>
          <w:highlight w:val="none"/>
          <w:shd w:val="clear" w:color="auto" w:fill="FFFFFF"/>
          <w14:textFill>
            <w14:solidFill>
              <w14:schemeClr w14:val="tx1"/>
            </w14:solidFill>
          </w14:textFill>
        </w:rPr>
        <w:t>间： 2019年</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11</w:t>
      </w:r>
      <w:r>
        <w:rPr>
          <w:rFonts w:hint="eastAsia" w:ascii="宋体" w:hAnsi="宋体" w:cs="宋体"/>
          <w:color w:val="000000" w:themeColor="text1"/>
          <w:kern w:val="0"/>
          <w:szCs w:val="21"/>
          <w:highlight w:val="none"/>
          <w:shd w:val="clear" w:color="auto" w:fill="FFFFFF"/>
          <w14:textFill>
            <w14:solidFill>
              <w14:schemeClr w14:val="tx1"/>
            </w14:solidFill>
          </w14:textFill>
        </w:rPr>
        <w:t>月</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28</w:t>
      </w:r>
      <w:r>
        <w:rPr>
          <w:rFonts w:hint="eastAsia" w:ascii="宋体" w:hAnsi="宋体" w:cs="宋体"/>
          <w:color w:val="000000" w:themeColor="text1"/>
          <w:kern w:val="0"/>
          <w:szCs w:val="21"/>
          <w:highlight w:val="none"/>
          <w:shd w:val="clear" w:color="auto" w:fill="FFFFFF"/>
          <w14:textFill>
            <w14:solidFill>
              <w14:schemeClr w14:val="tx1"/>
            </w14:solidFill>
          </w14:textFill>
        </w:rPr>
        <w:t>日</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9</w:t>
      </w:r>
      <w:r>
        <w:rPr>
          <w:rFonts w:hint="eastAsia" w:ascii="宋体" w:hAnsi="宋体" w:cs="宋体"/>
          <w:color w:val="000000" w:themeColor="text1"/>
          <w:kern w:val="0"/>
          <w:szCs w:val="21"/>
          <w:highlight w:val="none"/>
          <w:shd w:val="clear" w:color="auto" w:fill="FFFFFF"/>
          <w14:textFill>
            <w14:solidFill>
              <w14:schemeClr w14:val="tx1"/>
            </w14:solidFill>
          </w14:textFill>
        </w:rPr>
        <w:t>时</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00</w:t>
      </w:r>
      <w:r>
        <w:rPr>
          <w:rFonts w:hint="eastAsia" w:ascii="宋体" w:hAnsi="宋体" w:cs="宋体"/>
          <w:color w:val="000000" w:themeColor="text1"/>
          <w:kern w:val="0"/>
          <w:szCs w:val="21"/>
          <w:highlight w:val="none"/>
          <w:shd w:val="clear" w:color="auto" w:fill="FFFFFF"/>
          <w14:textFill>
            <w14:solidFill>
              <w14:schemeClr w14:val="tx1"/>
            </w14:solidFill>
          </w14:textFill>
        </w:rPr>
        <w:t>分（北京时间）</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000000" w:themeColor="text1"/>
          <w:kern w:val="0"/>
          <w:szCs w:val="21"/>
          <w:highlight w:val="none"/>
          <w:shd w:val="clear" w:color="auto" w:fill="FFFFFF"/>
          <w14:textFill>
            <w14:solidFill>
              <w14:schemeClr w14:val="tx1"/>
            </w14:solidFill>
          </w14:textFill>
        </w:rPr>
      </w:pPr>
      <w:r>
        <w:rPr>
          <w:rFonts w:hint="eastAsia" w:ascii="宋体" w:hAnsi="宋体" w:cs="宋体"/>
          <w:color w:val="000000" w:themeColor="text1"/>
          <w:kern w:val="0"/>
          <w:szCs w:val="21"/>
          <w:highlight w:val="none"/>
          <w:shd w:val="clear" w:color="auto" w:fill="FFFFFF"/>
          <w14:textFill>
            <w14:solidFill>
              <w14:schemeClr w14:val="tx1"/>
            </w14:solidFill>
          </w14:textFill>
        </w:rPr>
        <w:t>2、地点：温县公共资源交易中心开标厅。</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九、响应文件的开启时间及地点：</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FF0000"/>
          <w:kern w:val="0"/>
          <w:szCs w:val="21"/>
          <w:highlight w:val="none"/>
          <w:shd w:val="clear" w:color="auto" w:fill="FFFFFF"/>
        </w:rPr>
      </w:pPr>
      <w:r>
        <w:rPr>
          <w:rFonts w:hint="eastAsia" w:ascii="宋体" w:hAnsi="宋体" w:cs="宋体"/>
          <w:color w:val="auto"/>
          <w:kern w:val="0"/>
          <w:szCs w:val="21"/>
          <w:highlight w:val="none"/>
          <w:shd w:val="clear" w:color="auto" w:fill="FFFFFF"/>
        </w:rPr>
        <w:t>1、时间：</w:t>
      </w:r>
      <w:r>
        <w:rPr>
          <w:rFonts w:hint="eastAsia" w:ascii="宋体" w:hAnsi="宋体" w:cs="宋体"/>
          <w:color w:val="000000" w:themeColor="text1"/>
          <w:kern w:val="0"/>
          <w:szCs w:val="21"/>
          <w:highlight w:val="none"/>
          <w:shd w:val="clear" w:color="auto" w:fill="FFFFFF"/>
          <w14:textFill>
            <w14:solidFill>
              <w14:schemeClr w14:val="tx1"/>
            </w14:solidFill>
          </w14:textFill>
        </w:rPr>
        <w:t xml:space="preserve"> 2019年</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11</w:t>
      </w:r>
      <w:r>
        <w:rPr>
          <w:rFonts w:hint="eastAsia" w:ascii="宋体" w:hAnsi="宋体" w:cs="宋体"/>
          <w:color w:val="000000" w:themeColor="text1"/>
          <w:kern w:val="0"/>
          <w:szCs w:val="21"/>
          <w:highlight w:val="none"/>
          <w:shd w:val="clear" w:color="auto" w:fill="FFFFFF"/>
          <w14:textFill>
            <w14:solidFill>
              <w14:schemeClr w14:val="tx1"/>
            </w14:solidFill>
          </w14:textFill>
        </w:rPr>
        <w:t>月</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28</w:t>
      </w:r>
      <w:r>
        <w:rPr>
          <w:rFonts w:hint="eastAsia" w:ascii="宋体" w:hAnsi="宋体" w:cs="宋体"/>
          <w:color w:val="000000" w:themeColor="text1"/>
          <w:kern w:val="0"/>
          <w:szCs w:val="21"/>
          <w:highlight w:val="none"/>
          <w:shd w:val="clear" w:color="auto" w:fill="FFFFFF"/>
          <w14:textFill>
            <w14:solidFill>
              <w14:schemeClr w14:val="tx1"/>
            </w14:solidFill>
          </w14:textFill>
        </w:rPr>
        <w:t>日</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9</w:t>
      </w:r>
      <w:r>
        <w:rPr>
          <w:rFonts w:hint="eastAsia" w:ascii="宋体" w:hAnsi="宋体" w:cs="宋体"/>
          <w:color w:val="000000" w:themeColor="text1"/>
          <w:kern w:val="0"/>
          <w:szCs w:val="21"/>
          <w:highlight w:val="none"/>
          <w:shd w:val="clear" w:color="auto" w:fill="FFFFFF"/>
          <w14:textFill>
            <w14:solidFill>
              <w14:schemeClr w14:val="tx1"/>
            </w14:solidFill>
          </w14:textFill>
        </w:rPr>
        <w:t>时</w:t>
      </w:r>
      <w:r>
        <w:rPr>
          <w:rFonts w:hint="eastAsia" w:ascii="宋体" w:hAnsi="宋体" w:cs="宋体"/>
          <w:color w:val="000000" w:themeColor="text1"/>
          <w:kern w:val="0"/>
          <w:szCs w:val="21"/>
          <w:highlight w:val="none"/>
          <w:shd w:val="clear" w:color="auto" w:fill="FFFFFF"/>
          <w:lang w:val="en-US" w:eastAsia="zh-CN"/>
          <w14:textFill>
            <w14:solidFill>
              <w14:schemeClr w14:val="tx1"/>
            </w14:solidFill>
          </w14:textFill>
        </w:rPr>
        <w:t>00</w:t>
      </w:r>
      <w:r>
        <w:rPr>
          <w:rFonts w:hint="eastAsia" w:ascii="宋体" w:hAnsi="宋体" w:cs="宋体"/>
          <w:color w:val="000000" w:themeColor="text1"/>
          <w:kern w:val="0"/>
          <w:szCs w:val="21"/>
          <w:highlight w:val="none"/>
          <w:shd w:val="clear" w:color="auto" w:fill="FFFFFF"/>
          <w14:textFill>
            <w14:solidFill>
              <w14:schemeClr w14:val="tx1"/>
            </w14:solidFill>
          </w14:textFill>
        </w:rPr>
        <w:t>分（北京时间）</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2、地点：温县公共资源交易中心开标厅。</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十、发布公告的媒介及公告期限：</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1、本次竞争性谈判公告在《河南省政府采购网》、《焦作市公共资源交易中心网》、《温县公共资源交易中心网》上同时发布。</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2、公告期限为三个工作日。</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十一、联系方式：</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1、采购人：温县妇幼保健院</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联系人：夏先生</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联系电话：0391-6192452</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联系地址：温县温泉路</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2、采购代理机构：河南宏业建设管理股份有限公司</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联系人：孙女士</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联系电话：15639114996</w:t>
      </w:r>
    </w:p>
    <w:p>
      <w:pPr>
        <w:keepNext w:val="0"/>
        <w:keepLines w:val="0"/>
        <w:pageBreakBefore w:val="0"/>
        <w:kinsoku/>
        <w:wordWrap/>
        <w:overflowPunct/>
        <w:topLinePunct w:val="0"/>
        <w:autoSpaceDE w:val="0"/>
        <w:autoSpaceDN w:val="0"/>
        <w:bidi w:val="0"/>
        <w:adjustRightInd/>
        <w:snapToGrid/>
        <w:spacing w:line="420" w:lineRule="exact"/>
        <w:ind w:firstLine="420" w:firstLineChars="200"/>
        <w:jc w:val="lef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联系地址：郑州市郑东新区商都路与中兴南路交叉口凯利国际中心A座28楼</w:t>
      </w:r>
    </w:p>
    <w:p>
      <w:pPr>
        <w:keepNext w:val="0"/>
        <w:keepLines w:val="0"/>
        <w:pageBreakBefore w:val="0"/>
        <w:widowControl/>
        <w:kinsoku/>
        <w:wordWrap/>
        <w:overflowPunct/>
        <w:topLinePunct w:val="0"/>
        <w:bidi w:val="0"/>
        <w:adjustRightInd/>
        <w:snapToGrid/>
        <w:spacing w:line="420" w:lineRule="exact"/>
        <w:ind w:firstLine="420" w:firstLineChars="200"/>
        <w:jc w:val="left"/>
        <w:textAlignment w:val="auto"/>
        <w:rPr>
          <w:rFonts w:ascii="方正小标宋简体" w:hAnsi="宋体" w:eastAsia="方正小标宋简体"/>
          <w:color w:val="auto"/>
          <w:szCs w:val="21"/>
          <w:highlight w:val="none"/>
        </w:rPr>
      </w:pPr>
    </w:p>
    <w:p>
      <w:pPr>
        <w:keepNext w:val="0"/>
        <w:keepLines w:val="0"/>
        <w:pageBreakBefore w:val="0"/>
        <w:widowControl/>
        <w:kinsoku/>
        <w:wordWrap/>
        <w:overflowPunct/>
        <w:topLinePunct w:val="0"/>
        <w:bidi w:val="0"/>
        <w:adjustRightInd/>
        <w:snapToGrid/>
        <w:spacing w:line="420" w:lineRule="exact"/>
        <w:ind w:firstLine="420" w:firstLineChars="200"/>
        <w:jc w:val="left"/>
        <w:textAlignment w:val="auto"/>
        <w:rPr>
          <w:rFonts w:ascii="方正小标宋简体" w:hAnsi="宋体" w:eastAsia="方正小标宋简体"/>
          <w:color w:val="auto"/>
          <w:szCs w:val="21"/>
          <w:highlight w:val="none"/>
        </w:rPr>
      </w:pPr>
    </w:p>
    <w:p>
      <w:pPr>
        <w:keepNext w:val="0"/>
        <w:keepLines w:val="0"/>
        <w:pageBreakBefore w:val="0"/>
        <w:kinsoku/>
        <w:wordWrap/>
        <w:overflowPunct/>
        <w:topLinePunct w:val="0"/>
        <w:autoSpaceDE w:val="0"/>
        <w:autoSpaceDN w:val="0"/>
        <w:bidi w:val="0"/>
        <w:adjustRightInd/>
        <w:snapToGrid/>
        <w:spacing w:line="420" w:lineRule="exact"/>
        <w:jc w:val="right"/>
        <w:textAlignment w:val="auto"/>
        <w:rPr>
          <w:rFonts w:hint="eastAsia" w:ascii="宋体" w:hAnsi="宋体" w:cs="宋体"/>
          <w:color w:val="auto"/>
          <w:kern w:val="0"/>
          <w:szCs w:val="21"/>
          <w:highlight w:val="none"/>
          <w:shd w:val="clear" w:color="auto" w:fill="FFFFFF"/>
        </w:rPr>
      </w:pPr>
      <w:r>
        <w:rPr>
          <w:rFonts w:hint="eastAsia" w:ascii="方正小标宋简体" w:hAnsi="宋体" w:eastAsia="方正小标宋简体"/>
          <w:color w:val="auto"/>
          <w:szCs w:val="21"/>
          <w:highlight w:val="none"/>
        </w:rPr>
        <w:t xml:space="preserve">                              </w:t>
      </w:r>
      <w:r>
        <w:rPr>
          <w:rFonts w:hint="eastAsia" w:ascii="宋体" w:hAnsi="宋体" w:cs="宋体"/>
          <w:color w:val="auto"/>
          <w:kern w:val="0"/>
          <w:szCs w:val="21"/>
          <w:highlight w:val="none"/>
          <w:shd w:val="clear" w:color="auto" w:fill="FFFFFF"/>
        </w:rPr>
        <w:t>发 布 人：河南宏业建设管理股份有限公司</w:t>
      </w:r>
    </w:p>
    <w:p>
      <w:pPr>
        <w:keepNext w:val="0"/>
        <w:keepLines w:val="0"/>
        <w:pageBreakBefore w:val="0"/>
        <w:kinsoku/>
        <w:wordWrap/>
        <w:overflowPunct/>
        <w:topLinePunct w:val="0"/>
        <w:autoSpaceDE w:val="0"/>
        <w:autoSpaceDN w:val="0"/>
        <w:bidi w:val="0"/>
        <w:adjustRightInd/>
        <w:snapToGrid/>
        <w:spacing w:line="420" w:lineRule="exact"/>
        <w:jc w:val="right"/>
        <w:textAlignment w:val="auto"/>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 xml:space="preserve"> 发布时间： 2019年</w:t>
      </w:r>
      <w:r>
        <w:rPr>
          <w:rFonts w:hint="eastAsia" w:ascii="宋体" w:hAnsi="宋体" w:cs="宋体"/>
          <w:color w:val="auto"/>
          <w:kern w:val="0"/>
          <w:szCs w:val="21"/>
          <w:highlight w:val="none"/>
          <w:shd w:val="clear" w:color="auto" w:fill="FFFFFF"/>
          <w:lang w:val="en-US" w:eastAsia="zh-CN"/>
        </w:rPr>
        <w:t>11</w:t>
      </w:r>
      <w:r>
        <w:rPr>
          <w:rFonts w:hint="eastAsia" w:ascii="宋体" w:hAnsi="宋体" w:cs="宋体"/>
          <w:color w:val="auto"/>
          <w:kern w:val="0"/>
          <w:szCs w:val="21"/>
          <w:highlight w:val="none"/>
          <w:shd w:val="clear" w:color="auto" w:fill="FFFFFF"/>
        </w:rPr>
        <w:t>月</w:t>
      </w:r>
      <w:r>
        <w:rPr>
          <w:rFonts w:hint="eastAsia" w:ascii="宋体" w:hAnsi="宋体" w:cs="宋体"/>
          <w:color w:val="auto"/>
          <w:kern w:val="0"/>
          <w:szCs w:val="21"/>
          <w:highlight w:val="none"/>
          <w:shd w:val="clear" w:color="auto" w:fill="FFFFFF"/>
          <w:lang w:val="en-US" w:eastAsia="zh-CN"/>
        </w:rPr>
        <w:t>20</w:t>
      </w:r>
      <w:r>
        <w:rPr>
          <w:rFonts w:hint="eastAsia" w:ascii="宋体" w:hAnsi="宋体" w:cs="宋体"/>
          <w:color w:val="auto"/>
          <w:kern w:val="0"/>
          <w:szCs w:val="21"/>
          <w:highlight w:val="none"/>
          <w:shd w:val="clear" w:color="auto" w:fill="FFFFFF"/>
        </w:rPr>
        <w:t>日</w:t>
      </w: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jc w:val="center"/>
        <w:outlineLvl w:val="0"/>
        <w:rPr>
          <w:rFonts w:ascii="宋体" w:hAnsi="宋体" w:cs="宋体"/>
          <w:b/>
          <w:bCs/>
          <w:color w:val="auto"/>
          <w:kern w:val="0"/>
          <w:sz w:val="32"/>
          <w:szCs w:val="32"/>
          <w:highlight w:val="none"/>
        </w:rPr>
      </w:pPr>
      <w:bookmarkStart w:id="0" w:name="_Toc12155"/>
      <w:r>
        <w:rPr>
          <w:rFonts w:hint="eastAsia" w:ascii="宋体" w:hAnsi="宋体" w:cs="宋体"/>
          <w:b/>
          <w:bCs/>
          <w:color w:val="auto"/>
          <w:kern w:val="0"/>
          <w:sz w:val="32"/>
          <w:szCs w:val="32"/>
          <w:highlight w:val="none"/>
        </w:rPr>
        <w:t>一、谈判须知表</w:t>
      </w:r>
      <w:bookmarkEnd w:id="0"/>
    </w:p>
    <w:tbl>
      <w:tblPr>
        <w:tblStyle w:val="14"/>
        <w:tblW w:w="9637" w:type="dxa"/>
        <w:tblInd w:w="85" w:type="dxa"/>
        <w:tblLayout w:type="fixed"/>
        <w:tblCellMar>
          <w:top w:w="0" w:type="dxa"/>
          <w:left w:w="108" w:type="dxa"/>
          <w:bottom w:w="0" w:type="dxa"/>
          <w:right w:w="108" w:type="dxa"/>
        </w:tblCellMar>
      </w:tblPr>
      <w:tblGrid>
        <w:gridCol w:w="1051"/>
        <w:gridCol w:w="1956"/>
        <w:gridCol w:w="6630"/>
      </w:tblGrid>
      <w:tr>
        <w:tblPrEx>
          <w:tblLayout w:type="fixed"/>
          <w:tblCellMar>
            <w:top w:w="0" w:type="dxa"/>
            <w:left w:w="108" w:type="dxa"/>
            <w:bottom w:w="0" w:type="dxa"/>
            <w:right w:w="108" w:type="dxa"/>
          </w:tblCellMar>
        </w:tblPrEx>
        <w:trPr>
          <w:trHeight w:val="630"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630"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内容</w:t>
            </w:r>
          </w:p>
        </w:tc>
      </w:tr>
      <w:tr>
        <w:tblPrEx>
          <w:tblLayout w:type="fixed"/>
          <w:tblCellMar>
            <w:top w:w="0" w:type="dxa"/>
            <w:left w:w="108" w:type="dxa"/>
            <w:bottom w:w="0" w:type="dxa"/>
            <w:right w:w="108" w:type="dxa"/>
          </w:tblCellMar>
        </w:tblPrEx>
        <w:trPr>
          <w:trHeight w:val="519"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采购人</w:t>
            </w:r>
          </w:p>
        </w:tc>
        <w:tc>
          <w:tcPr>
            <w:tcW w:w="6630" w:type="dxa"/>
            <w:tcBorders>
              <w:top w:val="single" w:color="000000" w:sz="4" w:space="0"/>
              <w:left w:val="nil"/>
              <w:bottom w:val="single" w:color="000000"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温县妇幼保健院</w:t>
            </w:r>
          </w:p>
        </w:tc>
      </w:tr>
      <w:tr>
        <w:tblPrEx>
          <w:tblLayout w:type="fixed"/>
          <w:tblCellMar>
            <w:top w:w="0" w:type="dxa"/>
            <w:left w:w="108" w:type="dxa"/>
            <w:bottom w:w="0" w:type="dxa"/>
            <w:right w:w="108" w:type="dxa"/>
          </w:tblCellMar>
        </w:tblPrEx>
        <w:trPr>
          <w:trHeight w:val="516" w:hRule="exac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采购代理机构</w:t>
            </w:r>
          </w:p>
        </w:tc>
        <w:tc>
          <w:tcPr>
            <w:tcW w:w="6630" w:type="dxa"/>
            <w:tcBorders>
              <w:top w:val="single" w:color="000000" w:sz="4" w:space="0"/>
              <w:left w:val="nil"/>
              <w:bottom w:val="single" w:color="000000"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河南宏业建设管理股份有限公司</w:t>
            </w:r>
          </w:p>
        </w:tc>
      </w:tr>
      <w:tr>
        <w:tblPrEx>
          <w:tblLayout w:type="fixed"/>
          <w:tblCellMar>
            <w:top w:w="0" w:type="dxa"/>
            <w:left w:w="108" w:type="dxa"/>
            <w:bottom w:w="0" w:type="dxa"/>
            <w:right w:w="108" w:type="dxa"/>
          </w:tblCellMar>
        </w:tblPrEx>
        <w:trPr>
          <w:trHeight w:val="539" w:hRule="exac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956" w:type="dxa"/>
            <w:tcBorders>
              <w:top w:val="single" w:color="000000" w:sz="4" w:space="0"/>
              <w:left w:val="nil"/>
              <w:bottom w:val="single" w:color="auto"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项目名称</w:t>
            </w:r>
          </w:p>
        </w:tc>
        <w:tc>
          <w:tcPr>
            <w:tcW w:w="6630" w:type="dxa"/>
            <w:tcBorders>
              <w:top w:val="single" w:color="000000" w:sz="4" w:space="0"/>
              <w:left w:val="nil"/>
              <w:bottom w:val="single" w:color="auto"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温县妇幼保健院（迁建项目）医用家具项目</w:t>
            </w:r>
          </w:p>
        </w:tc>
      </w:tr>
      <w:tr>
        <w:tblPrEx>
          <w:tblLayout w:type="fixed"/>
          <w:tblCellMar>
            <w:top w:w="0" w:type="dxa"/>
            <w:left w:w="108" w:type="dxa"/>
            <w:bottom w:w="0" w:type="dxa"/>
            <w:right w:w="108" w:type="dxa"/>
          </w:tblCellMar>
        </w:tblPrEx>
        <w:trPr>
          <w:trHeight w:val="567" w:hRule="exact"/>
        </w:trPr>
        <w:tc>
          <w:tcPr>
            <w:tcW w:w="1051" w:type="dxa"/>
            <w:tcBorders>
              <w:top w:val="single" w:color="auto" w:sz="4" w:space="0"/>
              <w:left w:val="single" w:color="000000" w:sz="4" w:space="0"/>
              <w:bottom w:val="single" w:color="000000" w:sz="4" w:space="0"/>
              <w:right w:val="single" w:color="000000" w:sz="4" w:space="0"/>
            </w:tcBorders>
            <w:vAlign w:val="center"/>
          </w:tcPr>
          <w:p>
            <w:pPr>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1956" w:type="dxa"/>
            <w:tcBorders>
              <w:top w:val="single" w:color="auto" w:sz="4" w:space="0"/>
              <w:left w:val="nil"/>
              <w:bottom w:val="single" w:color="auto" w:sz="4" w:space="0"/>
              <w:right w:val="single" w:color="000000" w:sz="4" w:space="0"/>
            </w:tcBorders>
            <w:vAlign w:val="center"/>
          </w:tcPr>
          <w:p>
            <w:pPr>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招标预算价</w:t>
            </w:r>
          </w:p>
        </w:tc>
        <w:tc>
          <w:tcPr>
            <w:tcW w:w="6630" w:type="dxa"/>
            <w:tcBorders>
              <w:top w:val="single" w:color="auto" w:sz="4" w:space="0"/>
              <w:left w:val="nil"/>
              <w:bottom w:val="single" w:color="auto" w:sz="4" w:space="0"/>
              <w:right w:val="single" w:color="000000"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95万元</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供货期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20日历天</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质保期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24个月</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质量</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eastAsia="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rPr>
              <w:t>合格</w:t>
            </w:r>
          </w:p>
        </w:tc>
      </w:tr>
      <w:tr>
        <w:tblPrEx>
          <w:tblLayout w:type="fixed"/>
          <w:tblCellMar>
            <w:top w:w="0" w:type="dxa"/>
            <w:left w:w="108" w:type="dxa"/>
            <w:bottom w:w="0" w:type="dxa"/>
            <w:right w:w="108" w:type="dxa"/>
          </w:tblCellMar>
        </w:tblPrEx>
        <w:trPr>
          <w:trHeight w:val="567" w:hRule="exact"/>
        </w:trPr>
        <w:tc>
          <w:tcPr>
            <w:tcW w:w="105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195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谈判有效期</w:t>
            </w:r>
          </w:p>
        </w:tc>
        <w:tc>
          <w:tcPr>
            <w:tcW w:w="6630"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exact"/>
              <w:jc w:val="center"/>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60日历天</w:t>
            </w:r>
          </w:p>
        </w:tc>
      </w:tr>
      <w:tr>
        <w:tblPrEx>
          <w:tblLayout w:type="fixed"/>
          <w:tblCellMar>
            <w:top w:w="0" w:type="dxa"/>
            <w:left w:w="108" w:type="dxa"/>
            <w:bottom w:w="0" w:type="dxa"/>
            <w:right w:w="108" w:type="dxa"/>
          </w:tblCellMar>
        </w:tblPrEx>
        <w:trPr>
          <w:trHeight w:val="1484"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1956" w:type="dxa"/>
            <w:tcBorders>
              <w:top w:val="single" w:color="auto"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kern w:val="0"/>
                <w:szCs w:val="21"/>
                <w:highlight w:val="none"/>
              </w:rPr>
            </w:pPr>
            <w:r>
              <w:rPr>
                <w:rFonts w:hint="eastAsia" w:ascii="宋体" w:hAnsi="宋体" w:cs="宋体"/>
                <w:b/>
                <w:color w:val="auto"/>
                <w:kern w:val="0"/>
                <w:szCs w:val="21"/>
                <w:highlight w:val="none"/>
              </w:rPr>
              <w:t>谈判文件份数及装订要求</w:t>
            </w:r>
          </w:p>
        </w:tc>
        <w:tc>
          <w:tcPr>
            <w:tcW w:w="6630" w:type="dxa"/>
            <w:tcBorders>
              <w:top w:val="single" w:color="auto" w:sz="4" w:space="0"/>
              <w:left w:val="nil"/>
              <w:bottom w:val="single" w:color="000000" w:sz="4" w:space="0"/>
              <w:right w:val="single" w:color="000000" w:sz="4" w:space="0"/>
            </w:tcBorders>
            <w:vAlign w:val="center"/>
          </w:tcPr>
          <w:p>
            <w:pPr>
              <w:widowControl/>
              <w:spacing w:line="360" w:lineRule="exact"/>
              <w:jc w:val="left"/>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正本份数壹份，副本份数陆份，在每一份谈判响应文件上要明确注明“正本”或“副本”字样，一旦正本和副本有差异，以正本为准。响应性谈判文件的正本与副本应采用左侧胶粘方式装订，不得采用活页夹等可随时拆换的方式装订。</w:t>
            </w:r>
          </w:p>
        </w:tc>
      </w:tr>
      <w:tr>
        <w:tblPrEx>
          <w:tblLayout w:type="fixed"/>
          <w:tblCellMar>
            <w:top w:w="0" w:type="dxa"/>
            <w:left w:w="108" w:type="dxa"/>
            <w:bottom w:w="0" w:type="dxa"/>
            <w:right w:w="108" w:type="dxa"/>
          </w:tblCellMar>
        </w:tblPrEx>
        <w:trPr>
          <w:trHeight w:val="90" w:hRule="atLeas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1956" w:type="dxa"/>
            <w:tcBorders>
              <w:top w:val="single" w:color="000000" w:sz="4" w:space="0"/>
              <w:left w:val="nil"/>
              <w:bottom w:val="single" w:color="auto"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谈判文件的密封</w:t>
            </w:r>
          </w:p>
        </w:tc>
        <w:tc>
          <w:tcPr>
            <w:tcW w:w="6630" w:type="dxa"/>
            <w:tcBorders>
              <w:top w:val="single" w:color="000000" w:sz="4" w:space="0"/>
              <w:left w:val="nil"/>
              <w:bottom w:val="single" w:color="auto" w:sz="4" w:space="0"/>
              <w:right w:val="single" w:color="000000" w:sz="4" w:space="0"/>
            </w:tcBorders>
            <w:vAlign w:val="center"/>
          </w:tcPr>
          <w:p>
            <w:pPr>
              <w:autoSpaceDE w:val="0"/>
              <w:autoSpaceDN w:val="0"/>
              <w:adjustRightInd w:val="0"/>
              <w:spacing w:line="360" w:lineRule="exact"/>
              <w:ind w:firstLine="420" w:firstLineChars="200"/>
              <w:jc w:val="left"/>
              <w:rPr>
                <w:rFonts w:ascii="宋体" w:hAnsi="宋体" w:cs="宋体"/>
                <w:color w:val="auto"/>
                <w:kern w:val="0"/>
                <w:szCs w:val="21"/>
                <w:highlight w:val="none"/>
              </w:rPr>
            </w:pPr>
            <w:r>
              <w:rPr>
                <w:rFonts w:hint="eastAsia" w:ascii="宋体" w:hAnsi="宋体" w:cs="宋体"/>
                <w:color w:val="auto"/>
                <w:szCs w:val="21"/>
                <w:highlight w:val="none"/>
              </w:rPr>
              <w:t>投标供应商应将响应性谈判文件正本和所有副本装在一个包装封袋中，密封口处加盖投标供应商公章</w:t>
            </w:r>
            <w:r>
              <w:rPr>
                <w:rFonts w:hint="eastAsia" w:ascii="宋体" w:hAnsi="宋体" w:cs="宋体"/>
                <w:color w:val="auto"/>
                <w:kern w:val="0"/>
                <w:szCs w:val="21"/>
                <w:highlight w:val="none"/>
              </w:rPr>
              <w:t>。</w:t>
            </w:r>
          </w:p>
          <w:p>
            <w:pPr>
              <w:widowControl/>
              <w:spacing w:line="36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在响应性谈判文件的密封袋上应标明：</w:t>
            </w:r>
          </w:p>
          <w:p>
            <w:pPr>
              <w:widowControl/>
              <w:spacing w:line="36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（项目名称 ）</w:t>
            </w:r>
          </w:p>
          <w:p>
            <w:pPr>
              <w:widowControl/>
              <w:spacing w:line="360" w:lineRule="exact"/>
              <w:ind w:firstLine="420" w:firstLineChars="200"/>
              <w:jc w:val="left"/>
              <w:rPr>
                <w:rFonts w:ascii="宋体" w:hAnsi="宋体" w:cs="宋体"/>
                <w:bCs/>
                <w:color w:val="auto"/>
                <w:szCs w:val="21"/>
                <w:highlight w:val="none"/>
                <w:u w:val="single"/>
              </w:rPr>
            </w:pPr>
            <w:r>
              <w:rPr>
                <w:rFonts w:hint="eastAsia" w:ascii="宋体" w:hAnsi="宋体" w:cs="宋体"/>
                <w:color w:val="auto"/>
                <w:szCs w:val="21"/>
                <w:highlight w:val="none"/>
              </w:rPr>
              <w:t>项目编号：</w:t>
            </w:r>
            <w:r>
              <w:rPr>
                <w:rFonts w:hint="eastAsia" w:ascii="宋体" w:hAnsi="宋体" w:cs="宋体"/>
                <w:bCs/>
                <w:color w:val="auto"/>
                <w:szCs w:val="21"/>
                <w:highlight w:val="none"/>
                <w:u w:val="single"/>
              </w:rPr>
              <w:t>（项目编号 ）</w:t>
            </w:r>
          </w:p>
          <w:p>
            <w:pPr>
              <w:spacing w:line="36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szCs w:val="21"/>
                <w:highlight w:val="none"/>
              </w:rPr>
              <w:t>投标供应商名称：</w:t>
            </w:r>
            <w:r>
              <w:rPr>
                <w:rFonts w:hint="eastAsia" w:ascii="宋体" w:hAnsi="宋体" w:cs="宋体"/>
                <w:bCs/>
                <w:color w:val="auto"/>
                <w:szCs w:val="21"/>
                <w:highlight w:val="none"/>
                <w:u w:val="single"/>
              </w:rPr>
              <w:t>（加盖投标供应商公章）</w:t>
            </w:r>
            <w:r>
              <w:rPr>
                <w:rFonts w:hint="eastAsia" w:ascii="宋体" w:hAnsi="宋体" w:cs="宋体"/>
                <w:color w:val="auto"/>
                <w:kern w:val="0"/>
                <w:szCs w:val="21"/>
                <w:highlight w:val="none"/>
              </w:rPr>
              <w:t>未按以上要求密封和加写标记的谈判文件，采购人不予接受。</w:t>
            </w:r>
          </w:p>
        </w:tc>
      </w:tr>
      <w:tr>
        <w:tblPrEx>
          <w:tblLayout w:type="fixed"/>
          <w:tblCellMar>
            <w:top w:w="0" w:type="dxa"/>
            <w:left w:w="108" w:type="dxa"/>
            <w:bottom w:w="0" w:type="dxa"/>
            <w:right w:w="108" w:type="dxa"/>
          </w:tblCellMar>
        </w:tblPrEx>
        <w:trPr>
          <w:trHeight w:val="1277" w:hRule="atLeast"/>
        </w:trPr>
        <w:tc>
          <w:tcPr>
            <w:tcW w:w="1051" w:type="dxa"/>
            <w:tcBorders>
              <w:top w:val="single" w:color="000000" w:sz="4" w:space="0"/>
              <w:left w:val="single" w:color="000000" w:sz="4" w:space="0"/>
              <w:bottom w:val="single" w:color="auto"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c>
          <w:tcPr>
            <w:tcW w:w="1956" w:type="dxa"/>
            <w:tcBorders>
              <w:top w:val="single" w:color="000000" w:sz="4" w:space="0"/>
              <w:left w:val="nil"/>
              <w:bottom w:val="single" w:color="auto" w:sz="4" w:space="0"/>
              <w:right w:val="single" w:color="000000" w:sz="4" w:space="0"/>
            </w:tcBorders>
            <w:vAlign w:val="center"/>
          </w:tcPr>
          <w:p>
            <w:pPr>
              <w:spacing w:line="36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合格投标人</w:t>
            </w:r>
          </w:p>
        </w:tc>
        <w:tc>
          <w:tcPr>
            <w:tcW w:w="6630" w:type="dxa"/>
            <w:tcBorders>
              <w:top w:val="single" w:color="000000" w:sz="4" w:space="0"/>
              <w:left w:val="nil"/>
              <w:bottom w:val="single" w:color="auto" w:sz="4" w:space="0"/>
              <w:right w:val="single" w:color="000000" w:sz="4" w:space="0"/>
            </w:tcBorders>
            <w:vAlign w:val="center"/>
          </w:tcPr>
          <w:p>
            <w:pPr>
              <w:numPr>
                <w:ilvl w:val="0"/>
                <w:numId w:val="1"/>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rPr>
              <w:t>符合《政府采购法》第二十二条规定的条件</w:t>
            </w:r>
            <w:r>
              <w:rPr>
                <w:rFonts w:hint="eastAsia" w:ascii="宋体" w:hAnsi="宋体" w:cs="宋体"/>
                <w:color w:val="auto"/>
                <w:kern w:val="0"/>
                <w:szCs w:val="21"/>
                <w:highlight w:val="none"/>
                <w:shd w:val="clear" w:color="auto" w:fill="FFFFFF"/>
                <w:lang w:eastAsia="zh-CN"/>
              </w:rPr>
              <w:t>：</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（1）具有独立承担民事责任的能力；</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（2）具有良好的商业信誉和健全的财务会计制度（提供2017年和2018年度财务审计报告）；</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（3）具有履行合同所必需的设备和专业技术能力；</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（4）有依法缴纳税收和社会保障资金的良好记录（提供近三个月的完税和社保缴纳证明）；</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（5）参加政府采购活动前三年内，在经营活动中没有重大违法记录；</w:t>
            </w:r>
          </w:p>
          <w:p>
            <w:pPr>
              <w:numPr>
                <w:ilvl w:val="0"/>
                <w:numId w:val="0"/>
              </w:numPr>
              <w:autoSpaceDE w:val="0"/>
              <w:autoSpaceDN w:val="0"/>
              <w:spacing w:line="360" w:lineRule="exact"/>
              <w:rPr>
                <w:rFonts w:hint="eastAsia" w:ascii="宋体" w:hAnsi="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eastAsia="zh-CN"/>
              </w:rPr>
              <w:t>（6）法律、行政法规规定的其他条件。</w:t>
            </w:r>
          </w:p>
          <w:p>
            <w:pPr>
              <w:autoSpaceDE w:val="0"/>
              <w:autoSpaceDN w:val="0"/>
              <w:spacing w:line="360" w:lineRule="exact"/>
              <w:rPr>
                <w:rFonts w:hint="eastAsia"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rPr>
              <w:t>、投标单位必须提供投标承诺函；</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4</w:t>
            </w:r>
            <w:r>
              <w:rPr>
                <w:rFonts w:hint="eastAsia" w:ascii="宋体" w:hAnsi="宋体" w:cs="宋体"/>
                <w:color w:val="auto"/>
                <w:kern w:val="0"/>
                <w:szCs w:val="21"/>
                <w:highlight w:val="none"/>
                <w:shd w:val="clear" w:color="auto" w:fill="FFFFFF"/>
              </w:rPr>
              <w:t>、投标单位必须提供无行贿犯罪记录承诺书。（投标人出具“中国裁判文书网”网站查询近三年来法人、法定代表人、法定代表人委托人无行贿犯罪记录网页截图加盖企业公章证明）若有行贿犯罪记录则取消其投标资格；</w:t>
            </w:r>
          </w:p>
          <w:p>
            <w:pPr>
              <w:autoSpaceDE w:val="0"/>
              <w:autoSpaceDN w:val="0"/>
              <w:spacing w:line="360" w:lineRule="exac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5</w:t>
            </w:r>
            <w:r>
              <w:rPr>
                <w:rFonts w:hint="eastAsia" w:ascii="宋体" w:hAnsi="宋体" w:cs="宋体"/>
                <w:color w:val="auto"/>
                <w:kern w:val="0"/>
                <w:szCs w:val="21"/>
                <w:highlight w:val="none"/>
                <w:shd w:val="clear" w:color="auto" w:fill="FFFFFF"/>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widowControl/>
              <w:shd w:val="clear" w:color="auto" w:fill="FFFFFF"/>
              <w:spacing w:line="360" w:lineRule="exact"/>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rPr>
              <w:t>、本次招标不接受联合体投标。</w:t>
            </w:r>
          </w:p>
          <w:p>
            <w:pPr>
              <w:widowControl/>
              <w:shd w:val="clear" w:color="auto" w:fill="FFFFFF"/>
              <w:spacing w:line="360" w:lineRule="exact"/>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其它要求：开标时，投标人应提供以下证件：</w:t>
            </w:r>
          </w:p>
          <w:p>
            <w:pPr>
              <w:pStyle w:val="11"/>
              <w:shd w:val="clear" w:color="auto" w:fill="FFFFFF"/>
              <w:spacing w:beforeAutospacing="0" w:afterAutospacing="0" w:line="360" w:lineRule="exact"/>
              <w:rPr>
                <w:color w:val="auto"/>
                <w:szCs w:val="21"/>
                <w:highlight w:val="none"/>
              </w:rPr>
            </w:pPr>
            <w:r>
              <w:rPr>
                <w:rFonts w:hint="eastAsia"/>
                <w:color w:val="auto"/>
                <w:sz w:val="21"/>
                <w:szCs w:val="21"/>
                <w:highlight w:val="none"/>
              </w:rPr>
              <w:t>法定代表人（负责人）证明和身份证原件及身份证复印件（复印件须加盖公章）或授权委托人持法人授权委托书及本人身份证及身份证复印件（复印件须加盖公章）</w:t>
            </w:r>
          </w:p>
        </w:tc>
      </w:tr>
      <w:tr>
        <w:tblPrEx>
          <w:tblLayout w:type="fixed"/>
          <w:tblCellMar>
            <w:top w:w="0" w:type="dxa"/>
            <w:left w:w="108" w:type="dxa"/>
            <w:bottom w:w="0" w:type="dxa"/>
            <w:right w:w="108" w:type="dxa"/>
          </w:tblCellMar>
        </w:tblPrEx>
        <w:trPr>
          <w:trHeight w:val="90"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color w:val="auto"/>
                <w:spacing w:val="-16"/>
                <w:kern w:val="0"/>
                <w:szCs w:val="21"/>
                <w:highlight w:val="none"/>
              </w:rPr>
            </w:pPr>
            <w:r>
              <w:rPr>
                <w:rFonts w:hint="eastAsia" w:ascii="宋体" w:hAnsi="宋体" w:cs="宋体"/>
                <w:b/>
                <w:color w:val="auto"/>
                <w:spacing w:val="-16"/>
                <w:kern w:val="0"/>
                <w:szCs w:val="21"/>
                <w:highlight w:val="none"/>
              </w:rPr>
              <w:t>谈判时间及地点</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cs="宋体"/>
                <w:b/>
                <w:bCs/>
                <w:color w:val="auto"/>
                <w:kern w:val="0"/>
                <w:szCs w:val="21"/>
                <w:highlight w:val="none"/>
                <w:u w:val="single"/>
              </w:rPr>
            </w:pPr>
            <w:r>
              <w:rPr>
                <w:rFonts w:hint="eastAsia" w:ascii="宋体" w:hAnsi="宋体" w:cs="宋体"/>
                <w:b/>
                <w:bCs/>
                <w:color w:val="auto"/>
                <w:kern w:val="0"/>
                <w:szCs w:val="21"/>
                <w:highlight w:val="none"/>
                <w:u w:val="single"/>
              </w:rPr>
              <w:t>2019年</w:t>
            </w:r>
            <w:r>
              <w:rPr>
                <w:rFonts w:hint="eastAsia" w:ascii="宋体" w:hAnsi="宋体" w:cs="宋体"/>
                <w:b/>
                <w:bCs/>
                <w:color w:val="auto"/>
                <w:kern w:val="0"/>
                <w:szCs w:val="21"/>
                <w:highlight w:val="none"/>
                <w:u w:val="single"/>
                <w:lang w:val="en-US" w:eastAsia="zh-CN"/>
              </w:rPr>
              <w:t>11</w:t>
            </w:r>
            <w:r>
              <w:rPr>
                <w:rFonts w:hint="eastAsia" w:ascii="宋体" w:hAnsi="宋体" w:cs="宋体"/>
                <w:b/>
                <w:bCs/>
                <w:color w:val="auto"/>
                <w:kern w:val="0"/>
                <w:szCs w:val="21"/>
                <w:highlight w:val="none"/>
                <w:u w:val="single"/>
              </w:rPr>
              <w:t>月</w:t>
            </w:r>
            <w:r>
              <w:rPr>
                <w:rFonts w:hint="eastAsia" w:ascii="宋体" w:hAnsi="宋体" w:cs="宋体"/>
                <w:b/>
                <w:bCs/>
                <w:color w:val="auto"/>
                <w:kern w:val="0"/>
                <w:szCs w:val="21"/>
                <w:highlight w:val="none"/>
                <w:u w:val="single"/>
                <w:lang w:val="en-US" w:eastAsia="zh-CN"/>
              </w:rPr>
              <w:t>28</w:t>
            </w:r>
            <w:bookmarkStart w:id="58" w:name="_GoBack"/>
            <w:bookmarkEnd w:id="58"/>
            <w:r>
              <w:rPr>
                <w:rFonts w:hint="eastAsia" w:ascii="宋体" w:hAnsi="宋体" w:cs="宋体"/>
                <w:b/>
                <w:bCs/>
                <w:color w:val="auto"/>
                <w:kern w:val="0"/>
                <w:szCs w:val="21"/>
                <w:highlight w:val="none"/>
                <w:u w:val="single"/>
              </w:rPr>
              <w:t>日</w:t>
            </w:r>
            <w:r>
              <w:rPr>
                <w:rFonts w:hint="eastAsia" w:ascii="宋体" w:hAnsi="宋体" w:cs="宋体"/>
                <w:b/>
                <w:bCs/>
                <w:color w:val="auto"/>
                <w:kern w:val="0"/>
                <w:szCs w:val="21"/>
                <w:highlight w:val="none"/>
                <w:u w:val="single"/>
                <w:lang w:val="en-US" w:eastAsia="zh-CN"/>
              </w:rPr>
              <w:t>9</w:t>
            </w:r>
            <w:r>
              <w:rPr>
                <w:rFonts w:hint="eastAsia" w:ascii="宋体" w:hAnsi="宋体" w:cs="宋体"/>
                <w:b/>
                <w:bCs/>
                <w:color w:val="auto"/>
                <w:kern w:val="0"/>
                <w:szCs w:val="21"/>
                <w:highlight w:val="none"/>
                <w:u w:val="single"/>
              </w:rPr>
              <w:t>时</w:t>
            </w:r>
            <w:r>
              <w:rPr>
                <w:rFonts w:hint="eastAsia" w:ascii="宋体" w:hAnsi="宋体" w:cs="宋体"/>
                <w:b/>
                <w:bCs/>
                <w:color w:val="auto"/>
                <w:kern w:val="0"/>
                <w:szCs w:val="21"/>
                <w:highlight w:val="none"/>
                <w:u w:val="single"/>
                <w:lang w:val="en-US" w:eastAsia="zh-CN"/>
              </w:rPr>
              <w:t>00</w:t>
            </w:r>
            <w:r>
              <w:rPr>
                <w:rFonts w:hint="eastAsia" w:ascii="宋体" w:hAnsi="宋体" w:cs="宋体"/>
                <w:b/>
                <w:bCs/>
                <w:color w:val="auto"/>
                <w:kern w:val="0"/>
                <w:szCs w:val="21"/>
                <w:highlight w:val="none"/>
                <w:u w:val="single"/>
              </w:rPr>
              <w:t>分（北京时间）</w:t>
            </w:r>
          </w:p>
          <w:p>
            <w:pPr>
              <w:widowControl/>
              <w:spacing w:line="360" w:lineRule="exact"/>
              <w:jc w:val="center"/>
              <w:rPr>
                <w:rFonts w:ascii="宋体" w:hAnsi="宋体" w:cs="宋体"/>
                <w:b/>
                <w:bCs/>
                <w:color w:val="auto"/>
                <w:kern w:val="0"/>
                <w:szCs w:val="21"/>
                <w:highlight w:val="none"/>
                <w:u w:val="single"/>
              </w:rPr>
            </w:pPr>
            <w:r>
              <w:rPr>
                <w:rFonts w:hint="eastAsia" w:ascii="宋体" w:hAnsi="宋体" w:cs="宋体"/>
                <w:color w:val="auto"/>
                <w:kern w:val="0"/>
                <w:szCs w:val="21"/>
                <w:highlight w:val="none"/>
              </w:rPr>
              <w:t>温县公共资源交易中心（温县慈胜大街天天大酒店南邻）</w:t>
            </w:r>
          </w:p>
        </w:tc>
      </w:tr>
      <w:tr>
        <w:tblPrEx>
          <w:tblLayout w:type="fixed"/>
          <w:tblCellMar>
            <w:top w:w="0" w:type="dxa"/>
            <w:left w:w="108" w:type="dxa"/>
            <w:bottom w:w="0" w:type="dxa"/>
            <w:right w:w="108" w:type="dxa"/>
          </w:tblCellMar>
        </w:tblPrEx>
        <w:trPr>
          <w:trHeight w:val="563"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bCs/>
                <w:color w:val="auto"/>
                <w:szCs w:val="21"/>
                <w:highlight w:val="none"/>
              </w:rPr>
              <w:t>履约保证金</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履约担保：履约担保的形式：现金或转账。</w:t>
            </w:r>
          </w:p>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履约担保的金额：中标金额的5%。</w:t>
            </w:r>
          </w:p>
          <w:p>
            <w:pPr>
              <w:widowControl/>
              <w:spacing w:line="36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中标供应商必须在中标通知书发出之日起10个工作日内完成合同签订并向采购人缴纳中标金额的5%履约保证金。履约保证金在供货完成验收合格后无息退还。逾期没有缴纳按自动放弃中标资格处理。</w:t>
            </w:r>
          </w:p>
        </w:tc>
      </w:tr>
      <w:tr>
        <w:tblPrEx>
          <w:tblLayout w:type="fixed"/>
          <w:tblCellMar>
            <w:top w:w="0" w:type="dxa"/>
            <w:left w:w="108" w:type="dxa"/>
            <w:bottom w:w="0" w:type="dxa"/>
            <w:right w:w="108" w:type="dxa"/>
          </w:tblCellMar>
        </w:tblPrEx>
        <w:trPr>
          <w:trHeight w:val="563" w:hRule="atLeast"/>
        </w:trPr>
        <w:tc>
          <w:tcPr>
            <w:tcW w:w="105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14</w:t>
            </w:r>
          </w:p>
        </w:tc>
        <w:tc>
          <w:tcPr>
            <w:tcW w:w="1956" w:type="dxa"/>
            <w:tcBorders>
              <w:top w:val="single" w:color="000000" w:sz="4" w:space="0"/>
              <w:left w:val="nil"/>
              <w:bottom w:val="single" w:color="000000" w:sz="4" w:space="0"/>
              <w:right w:val="single" w:color="000000" w:sz="4" w:space="0"/>
            </w:tcBorders>
            <w:vAlign w:val="center"/>
          </w:tcPr>
          <w:p>
            <w:pPr>
              <w:widowControl/>
              <w:spacing w:line="400" w:lineRule="exact"/>
              <w:jc w:val="center"/>
              <w:rPr>
                <w:rFonts w:ascii="宋体" w:hAnsi="宋体" w:cs="宋体"/>
                <w:b/>
                <w:color w:val="auto"/>
                <w:spacing w:val="-16"/>
                <w:kern w:val="0"/>
                <w:szCs w:val="21"/>
                <w:highlight w:val="none"/>
              </w:rPr>
            </w:pPr>
            <w:r>
              <w:rPr>
                <w:rFonts w:hint="eastAsia" w:ascii="宋体" w:hAnsi="宋体" w:cs="宋体"/>
                <w:b/>
                <w:color w:val="auto"/>
                <w:spacing w:val="-16"/>
                <w:kern w:val="0"/>
                <w:szCs w:val="21"/>
                <w:highlight w:val="none"/>
              </w:rPr>
              <w:t>解释权</w:t>
            </w:r>
          </w:p>
        </w:tc>
        <w:tc>
          <w:tcPr>
            <w:tcW w:w="6630" w:type="dxa"/>
            <w:tcBorders>
              <w:top w:val="single" w:color="000000" w:sz="4" w:space="0"/>
              <w:left w:val="nil"/>
              <w:bottom w:val="single" w:color="000000" w:sz="4" w:space="0"/>
              <w:right w:val="single" w:color="000000" w:sz="4" w:space="0"/>
            </w:tcBorders>
            <w:vAlign w:val="center"/>
          </w:tcPr>
          <w:p>
            <w:pPr>
              <w:widowControl/>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本竞争性谈判文件由采购人负责解释</w:t>
            </w:r>
          </w:p>
        </w:tc>
      </w:tr>
    </w:tbl>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outlineLvl w:val="0"/>
        <w:rPr>
          <w:rFonts w:ascii="宋体" w:hAnsi="宋体" w:cs="宋体"/>
          <w:b/>
          <w:bCs/>
          <w:color w:val="auto"/>
          <w:kern w:val="0"/>
          <w:sz w:val="32"/>
          <w:szCs w:val="32"/>
          <w:highlight w:val="none"/>
        </w:rPr>
      </w:pPr>
    </w:p>
    <w:p>
      <w:pPr>
        <w:widowControl/>
        <w:spacing w:line="560" w:lineRule="atLeast"/>
        <w:jc w:val="center"/>
        <w:outlineLvl w:val="0"/>
        <w:rPr>
          <w:rFonts w:hint="eastAsia" w:ascii="宋体" w:hAnsi="宋体" w:cs="宋体"/>
          <w:b/>
          <w:bCs/>
          <w:color w:val="auto"/>
          <w:kern w:val="0"/>
          <w:sz w:val="32"/>
          <w:szCs w:val="32"/>
          <w:highlight w:val="none"/>
        </w:rPr>
      </w:pPr>
      <w:bookmarkStart w:id="1" w:name="_Toc28978"/>
    </w:p>
    <w:p>
      <w:pPr>
        <w:widowControl/>
        <w:spacing w:line="560" w:lineRule="atLeast"/>
        <w:jc w:val="center"/>
        <w:outlineLvl w:val="0"/>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二、谈  判  程  序</w:t>
      </w:r>
      <w:bookmarkEnd w:id="1"/>
    </w:p>
    <w:p>
      <w:pPr>
        <w:spacing w:line="500" w:lineRule="exact"/>
        <w:ind w:firstLine="463" w:firstLineChars="192"/>
        <w:rPr>
          <w:rFonts w:ascii="宋体" w:hAnsi="宋体" w:cs="宋体"/>
          <w:b/>
          <w:color w:val="auto"/>
          <w:sz w:val="24"/>
          <w:highlight w:val="none"/>
        </w:rPr>
      </w:pPr>
      <w:r>
        <w:rPr>
          <w:rFonts w:hint="eastAsia" w:ascii="宋体" w:hAnsi="宋体" w:cs="宋体"/>
          <w:b/>
          <w:color w:val="auto"/>
          <w:sz w:val="24"/>
          <w:highlight w:val="none"/>
        </w:rPr>
        <w:t>（一）开标要求</w:t>
      </w:r>
    </w:p>
    <w:p>
      <w:pPr>
        <w:spacing w:line="500" w:lineRule="exact"/>
        <w:ind w:firstLine="480" w:firstLineChars="200"/>
        <w:rPr>
          <w:rFonts w:ascii="宋体" w:hAnsi="宋体" w:cs="宋体"/>
          <w:color w:val="auto"/>
          <w:szCs w:val="21"/>
          <w:highlight w:val="none"/>
        </w:rPr>
      </w:pPr>
      <w:r>
        <w:rPr>
          <w:rFonts w:hint="eastAsia" w:ascii="宋体" w:hAnsi="宋体" w:cs="宋体"/>
          <w:color w:val="auto"/>
          <w:sz w:val="24"/>
          <w:highlight w:val="none"/>
        </w:rPr>
        <w:t>1</w:t>
      </w:r>
      <w:r>
        <w:rPr>
          <w:rFonts w:hint="eastAsia" w:ascii="宋体" w:hAnsi="宋体" w:cs="宋体"/>
          <w:color w:val="auto"/>
          <w:szCs w:val="21"/>
          <w:highlight w:val="none"/>
        </w:rPr>
        <w:t>、采购代理机构在“谈判须知表”中规定的时间组织谈判；</w:t>
      </w:r>
    </w:p>
    <w:p>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2、所有供应商应按时参加谈判会议并签到，逾期到达者将视为自动弃权；</w:t>
      </w:r>
    </w:p>
    <w:p>
      <w:pPr>
        <w:autoSpaceDE w:val="0"/>
        <w:autoSpaceDN w:val="0"/>
        <w:spacing w:line="5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3、投标供应商参加谈判会议须出示的资质证件：投标供应商具有有效的营业执照（副本）、税务登记证（副本）、组织机构代码证（副本）或三证合一的营业执照，经营范围包含符合本项目招标要求、法定代表人（负责人）证明和身份证原件及身份证复印件（复印件须加盖公章）或授权委托人持法人授权委托书及本人身份证及身份证复印件（复印件须加盖公章）、 “信用中国”网站及中国政府采购网查询结果的网站截图（投标单位需提供网站查询截图，加盖企业公章）、投标承诺函、无行贿犯罪记录承诺书、依法缴纳的税收证明（近三个月的完税证明）、依法缴纳社会保障资金的证</w:t>
      </w:r>
      <w:r>
        <w:rPr>
          <w:rFonts w:hint="eastAsia" w:ascii="宋体" w:hAnsi="宋体" w:cs="宋体"/>
          <w:b/>
          <w:color w:val="auto"/>
          <w:sz w:val="24"/>
          <w:szCs w:val="21"/>
          <w:highlight w:val="none"/>
        </w:rPr>
        <w:t>明</w:t>
      </w:r>
      <w:r>
        <w:rPr>
          <w:rFonts w:hint="eastAsia" w:ascii="宋体" w:hAnsi="宋体" w:cs="宋体"/>
          <w:b/>
          <w:color w:val="auto"/>
          <w:szCs w:val="21"/>
          <w:highlight w:val="none"/>
        </w:rPr>
        <w:t>（近三个月的社保缴纳证明）、</w:t>
      </w:r>
      <w:r>
        <w:rPr>
          <w:rFonts w:hint="eastAsia" w:ascii="宋体" w:hAnsi="宋体" w:cs="宋体"/>
          <w:b/>
          <w:color w:val="auto"/>
          <w:sz w:val="24"/>
          <w:szCs w:val="21"/>
          <w:highlight w:val="none"/>
        </w:rPr>
        <w:t>财</w:t>
      </w:r>
      <w:r>
        <w:rPr>
          <w:rFonts w:hint="eastAsia" w:ascii="宋体" w:hAnsi="宋体" w:cs="宋体"/>
          <w:b/>
          <w:color w:val="auto"/>
          <w:szCs w:val="21"/>
          <w:highlight w:val="none"/>
        </w:rPr>
        <w:t>务状况报告（谈判会日前十二个月内任一个月的资产负债表或损益表或年度财务会计报表和会计事务所出具</w:t>
      </w:r>
      <w:r>
        <w:rPr>
          <w:rFonts w:hint="eastAsia" w:ascii="宋体" w:hAnsi="宋体" w:cs="宋体"/>
          <w:b/>
          <w:color w:val="auto"/>
          <w:szCs w:val="21"/>
          <w:highlight w:val="none"/>
          <w:lang w:val="en-US" w:eastAsia="zh-CN"/>
        </w:rPr>
        <w:t>的</w:t>
      </w:r>
      <w:r>
        <w:rPr>
          <w:rFonts w:hint="eastAsia" w:ascii="宋体" w:hAnsi="宋体" w:cs="宋体"/>
          <w:b/>
          <w:color w:val="auto"/>
          <w:szCs w:val="21"/>
          <w:highlight w:val="none"/>
        </w:rPr>
        <w:t>2017年和2018年度财务审计报告）、参加政府采购活动前三年内，在经营活动中没有重大违法记录声明。注：开标日期前六个月内注册的投标人可不提供依法缴纳社会保障资金、完税证明、财务状况报告。（以上资料开标时提供原件，以备评委审查）</w:t>
      </w:r>
    </w:p>
    <w:p>
      <w:pPr>
        <w:autoSpaceDE w:val="0"/>
        <w:autoSpaceDN w:val="0"/>
        <w:spacing w:line="5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（二）有下列情形之一的，采购人不予受理：</w:t>
      </w:r>
    </w:p>
    <w:p>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1、谈判文件逾期送达的或者未送达指定地点的；</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2、未按谈判文件要求密封的；</w:t>
      </w:r>
    </w:p>
    <w:p>
      <w:pPr>
        <w:spacing w:line="500" w:lineRule="exact"/>
        <w:ind w:firstLine="472" w:firstLineChars="196"/>
        <w:rPr>
          <w:rFonts w:ascii="宋体" w:hAnsi="宋体" w:cs="宋体"/>
          <w:b/>
          <w:color w:val="auto"/>
          <w:sz w:val="24"/>
          <w:highlight w:val="none"/>
        </w:rPr>
      </w:pPr>
      <w:r>
        <w:rPr>
          <w:rFonts w:hint="eastAsia" w:ascii="宋体" w:hAnsi="宋体" w:cs="宋体"/>
          <w:b/>
          <w:color w:val="auto"/>
          <w:sz w:val="24"/>
          <w:highlight w:val="none"/>
        </w:rPr>
        <w:t>（三）谈判程序</w:t>
      </w:r>
    </w:p>
    <w:p>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1、宣布会场纪律；</w:t>
      </w:r>
    </w:p>
    <w:p>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2、介绍与会的供应商和有关人员；</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3、投标供应商各派出一名代表对各谈判方的谈判文件密封情况进行查验；</w:t>
      </w:r>
    </w:p>
    <w:p>
      <w:pPr>
        <w:spacing w:line="500" w:lineRule="exact"/>
        <w:ind w:firstLine="403" w:firstLineChars="192"/>
        <w:rPr>
          <w:rFonts w:ascii="宋体" w:hAnsi="宋体" w:cs="宋体"/>
          <w:color w:val="auto"/>
          <w:szCs w:val="21"/>
          <w:highlight w:val="none"/>
        </w:rPr>
      </w:pPr>
      <w:r>
        <w:rPr>
          <w:rFonts w:hint="eastAsia" w:ascii="宋体" w:hAnsi="宋体" w:cs="宋体"/>
          <w:color w:val="auto"/>
          <w:szCs w:val="21"/>
          <w:highlight w:val="none"/>
        </w:rPr>
        <w:t>4、经确认以上程序无误后，开始谈判。</w:t>
      </w:r>
    </w:p>
    <w:p>
      <w:pPr>
        <w:spacing w:line="5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（四）谈判顺序</w:t>
      </w:r>
    </w:p>
    <w:p>
      <w:pPr>
        <w:spacing w:line="500" w:lineRule="exact"/>
        <w:ind w:firstLine="413" w:firstLineChars="196"/>
        <w:rPr>
          <w:rFonts w:ascii="宋体" w:hAnsi="宋体" w:cs="宋体"/>
          <w:b/>
          <w:color w:val="auto"/>
          <w:szCs w:val="21"/>
          <w:highlight w:val="none"/>
          <w:u w:val="single"/>
        </w:rPr>
      </w:pPr>
      <w:r>
        <w:rPr>
          <w:rFonts w:hint="eastAsia" w:ascii="宋体" w:hAnsi="宋体" w:cs="宋体"/>
          <w:b/>
          <w:color w:val="auto"/>
          <w:szCs w:val="21"/>
          <w:highlight w:val="none"/>
          <w:u w:val="single"/>
        </w:rPr>
        <w:t>谈判顺序：对符合开标有效性和完整性的投标供应商，以签到的逆顺序确定谈判顺序，谈判小组按顺序，分别与每位谈判响应人就价格、商务、技术等按谈判文件要求的内容进行谈判。</w:t>
      </w:r>
    </w:p>
    <w:p>
      <w:pPr>
        <w:spacing w:line="500" w:lineRule="exact"/>
        <w:ind w:firstLine="472" w:firstLineChars="196"/>
        <w:rPr>
          <w:rFonts w:ascii="宋体" w:hAnsi="宋体" w:cs="宋体"/>
          <w:b/>
          <w:color w:val="auto"/>
          <w:sz w:val="24"/>
          <w:highlight w:val="none"/>
        </w:rPr>
      </w:pPr>
      <w:r>
        <w:rPr>
          <w:rFonts w:hint="eastAsia" w:ascii="宋体" w:hAnsi="宋体" w:cs="宋体"/>
          <w:b/>
          <w:color w:val="auto"/>
          <w:kern w:val="0"/>
          <w:sz w:val="24"/>
          <w:highlight w:val="none"/>
        </w:rPr>
        <w:t>（五）</w:t>
      </w:r>
      <w:r>
        <w:rPr>
          <w:rFonts w:hint="eastAsia" w:ascii="宋体" w:hAnsi="宋体" w:cs="宋体"/>
          <w:b/>
          <w:color w:val="auto"/>
          <w:sz w:val="24"/>
          <w:highlight w:val="none"/>
        </w:rPr>
        <w:t>谈判评审小组的组建</w:t>
      </w:r>
    </w:p>
    <w:p>
      <w:pPr>
        <w:spacing w:line="500" w:lineRule="exact"/>
        <w:ind w:firstLine="403" w:firstLineChars="192"/>
        <w:jc w:val="left"/>
        <w:rPr>
          <w:rFonts w:ascii="宋体" w:hAnsi="宋体" w:cs="宋体"/>
          <w:color w:val="auto"/>
          <w:kern w:val="0"/>
          <w:szCs w:val="21"/>
          <w:highlight w:val="none"/>
        </w:rPr>
      </w:pPr>
      <w:r>
        <w:rPr>
          <w:rFonts w:hint="eastAsia" w:ascii="宋体" w:hAnsi="宋体" w:cs="宋体"/>
          <w:color w:val="auto"/>
          <w:szCs w:val="21"/>
          <w:highlight w:val="none"/>
        </w:rPr>
        <w:t>谈判小组成员由3人组成，其中采购人代表1人，有关技术、经济类专家人数不得少于2/3。</w:t>
      </w:r>
    </w:p>
    <w:p>
      <w:pPr>
        <w:spacing w:line="500" w:lineRule="exact"/>
        <w:ind w:firstLine="463" w:firstLineChars="192"/>
        <w:jc w:val="left"/>
        <w:rPr>
          <w:rFonts w:ascii="宋体" w:hAnsi="宋体" w:cs="宋体"/>
          <w:b/>
          <w:color w:val="auto"/>
          <w:sz w:val="24"/>
          <w:highlight w:val="none"/>
        </w:rPr>
      </w:pPr>
      <w:r>
        <w:rPr>
          <w:rFonts w:hint="eastAsia" w:ascii="宋体" w:hAnsi="宋体" w:cs="宋体"/>
          <w:b/>
          <w:color w:val="auto"/>
          <w:sz w:val="24"/>
          <w:highlight w:val="none"/>
        </w:rPr>
        <w:t>（六）谈判文件的初步评审</w:t>
      </w:r>
    </w:p>
    <w:p>
      <w:pPr>
        <w:spacing w:line="500" w:lineRule="exact"/>
        <w:ind w:firstLine="403" w:firstLineChars="192"/>
        <w:jc w:val="left"/>
        <w:rPr>
          <w:rFonts w:ascii="宋体" w:hAnsi="宋体" w:cs="宋体"/>
          <w:color w:val="auto"/>
          <w:kern w:val="0"/>
          <w:szCs w:val="21"/>
          <w:highlight w:val="none"/>
        </w:rPr>
      </w:pPr>
      <w:r>
        <w:rPr>
          <w:rFonts w:hint="eastAsia" w:ascii="宋体" w:hAnsi="宋体" w:cs="宋体"/>
          <w:color w:val="auto"/>
          <w:kern w:val="0"/>
          <w:szCs w:val="21"/>
          <w:highlight w:val="none"/>
        </w:rPr>
        <w:t>1、评标过程将遵循“</w:t>
      </w:r>
      <w:r>
        <w:rPr>
          <w:rFonts w:hint="eastAsia" w:ascii="宋体" w:hAnsi="宋体" w:cs="宋体"/>
          <w:color w:val="auto"/>
          <w:szCs w:val="21"/>
          <w:highlight w:val="none"/>
        </w:rPr>
        <w:t>公平、公正、科学、择优</w:t>
      </w:r>
      <w:r>
        <w:rPr>
          <w:rFonts w:hint="eastAsia" w:ascii="宋体" w:hAnsi="宋体" w:cs="宋体"/>
          <w:color w:val="auto"/>
          <w:kern w:val="0"/>
          <w:szCs w:val="21"/>
          <w:highlight w:val="none"/>
        </w:rPr>
        <w:t>”的原则进行。</w:t>
      </w:r>
    </w:p>
    <w:p>
      <w:pPr>
        <w:autoSpaceDE w:val="0"/>
        <w:autoSpaceDN w:val="0"/>
        <w:adjustRightInd w:val="0"/>
        <w:spacing w:line="50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2、评标将严格按照谈判文件的要求和条件进行。</w:t>
      </w:r>
    </w:p>
    <w:p>
      <w:pPr>
        <w:spacing w:line="50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3、初步评审标准</w:t>
      </w:r>
    </w:p>
    <w:tbl>
      <w:tblPr>
        <w:tblStyle w:val="14"/>
        <w:tblW w:w="9477"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2845"/>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79" w:hRule="exact"/>
        </w:trPr>
        <w:tc>
          <w:tcPr>
            <w:tcW w:w="3567" w:type="dxa"/>
            <w:gridSpan w:val="2"/>
            <w:tcBorders>
              <w:top w:val="single" w:color="auto" w:sz="4" w:space="0"/>
              <w:left w:val="single" w:color="auto" w:sz="4" w:space="0"/>
              <w:bottom w:val="single" w:color="auto" w:sz="4" w:space="0"/>
              <w:right w:val="single" w:color="auto" w:sz="4" w:space="0"/>
            </w:tcBorders>
            <w:vAlign w:val="center"/>
          </w:tcPr>
          <w:p>
            <w:pPr>
              <w:spacing w:line="520" w:lineRule="exact"/>
              <w:jc w:val="center"/>
              <w:outlineLvl w:val="1"/>
              <w:rPr>
                <w:rFonts w:ascii="宋体" w:hAnsi="宋体" w:cs="宋体"/>
                <w:b/>
                <w:color w:val="auto"/>
                <w:szCs w:val="21"/>
                <w:highlight w:val="none"/>
              </w:rPr>
            </w:pPr>
            <w:r>
              <w:rPr>
                <w:rFonts w:hint="eastAsia" w:ascii="宋体" w:hAnsi="宋体" w:cs="宋体"/>
                <w:b/>
                <w:color w:val="auto"/>
                <w:szCs w:val="21"/>
                <w:highlight w:val="none"/>
              </w:rPr>
              <w:t>评审因素</w:t>
            </w:r>
          </w:p>
        </w:tc>
        <w:tc>
          <w:tcPr>
            <w:tcW w:w="5910" w:type="dxa"/>
            <w:tcBorders>
              <w:top w:val="single" w:color="auto" w:sz="4" w:space="0"/>
              <w:left w:val="single" w:color="auto" w:sz="4" w:space="0"/>
              <w:bottom w:val="single" w:color="auto" w:sz="4" w:space="0"/>
              <w:right w:val="single" w:color="auto" w:sz="4" w:space="0"/>
            </w:tcBorders>
            <w:vAlign w:val="center"/>
          </w:tcPr>
          <w:p>
            <w:pPr>
              <w:spacing w:line="520" w:lineRule="exact"/>
              <w:jc w:val="center"/>
              <w:outlineLvl w:val="1"/>
              <w:rPr>
                <w:rFonts w:ascii="宋体" w:hAnsi="宋体" w:cs="宋体"/>
                <w:b/>
                <w:color w:val="auto"/>
                <w:szCs w:val="21"/>
                <w:highlight w:val="none"/>
              </w:rPr>
            </w:pPr>
            <w:r>
              <w:rPr>
                <w:rFonts w:hint="eastAsia" w:ascii="宋体" w:hAnsi="宋体" w:cs="宋体"/>
                <w:b/>
                <w:color w:val="auto"/>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 w:hRule="exact"/>
        </w:trPr>
        <w:tc>
          <w:tcPr>
            <w:tcW w:w="722" w:type="dxa"/>
            <w:vMerge w:val="restart"/>
            <w:tcBorders>
              <w:top w:val="single" w:color="auto" w:sz="4" w:space="0"/>
              <w:left w:val="single" w:color="auto" w:sz="4" w:space="0"/>
              <w:right w:val="single" w:color="auto" w:sz="4" w:space="0"/>
            </w:tcBorders>
            <w:vAlign w:val="center"/>
          </w:tcPr>
          <w:p>
            <w:pPr>
              <w:spacing w:line="520" w:lineRule="exact"/>
              <w:ind w:firstLine="105" w:firstLineChars="50"/>
              <w:outlineLvl w:val="1"/>
              <w:rPr>
                <w:rFonts w:ascii="宋体" w:hAnsi="宋体" w:cs="宋体"/>
                <w:color w:val="auto"/>
                <w:szCs w:val="21"/>
                <w:highlight w:val="none"/>
              </w:rPr>
            </w:pPr>
            <w:r>
              <w:rPr>
                <w:rFonts w:hint="eastAsia" w:ascii="宋体" w:hAnsi="宋体" w:cs="宋体"/>
                <w:color w:val="auto"/>
                <w:szCs w:val="21"/>
                <w:highlight w:val="none"/>
              </w:rPr>
              <w:t>一</w:t>
            </w:r>
          </w:p>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资格评审标准</w:t>
            </w: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营业执照（副本）</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具备有效的且符合本项目经营范围的营业执照（原件）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7"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税务登记证（副本）</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具备有效的税务登记证（原件）</w:t>
            </w:r>
          </w:p>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（三证合一单位只需提供营业执照副本）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olor w:val="auto"/>
                <w:szCs w:val="21"/>
                <w:highlight w:val="none"/>
              </w:rPr>
            </w:pPr>
            <w:r>
              <w:rPr>
                <w:rFonts w:hint="eastAsia" w:ascii="宋体" w:hAnsi="宋体"/>
                <w:color w:val="auto"/>
                <w:szCs w:val="21"/>
                <w:highlight w:val="none"/>
              </w:rPr>
              <w:t>组织机构代码证</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具备有效的组织机构代码证（原件）</w:t>
            </w:r>
          </w:p>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（三证合一单位只需提供营业执照副本）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7"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olor w:val="auto"/>
                <w:szCs w:val="21"/>
                <w:highlight w:val="none"/>
              </w:rPr>
              <w:t>法人代表证明或授权委托书</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jc w:val="left"/>
              <w:outlineLvl w:val="1"/>
              <w:rPr>
                <w:rFonts w:ascii="宋体" w:hAnsi="宋体" w:cs="宋体"/>
                <w:color w:val="auto"/>
                <w:szCs w:val="21"/>
                <w:highlight w:val="none"/>
              </w:rPr>
            </w:pPr>
            <w:r>
              <w:rPr>
                <w:rFonts w:hint="eastAsia" w:ascii="宋体" w:hAnsi="宋体" w:cs="宋体"/>
                <w:color w:val="auto"/>
                <w:szCs w:val="21"/>
                <w:highlight w:val="none"/>
              </w:rPr>
              <w:t>法定代表人（负责人）证明和身份证原件及身份证复印件（复印件须加盖公章）或授权委托人持法人授权委托书及本人身份证及身份证复印件（复印件须加盖公章）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资格要求</w:t>
            </w:r>
          </w:p>
        </w:tc>
        <w:tc>
          <w:tcPr>
            <w:tcW w:w="5910" w:type="dxa"/>
            <w:tcBorders>
              <w:top w:val="single" w:color="auto" w:sz="4" w:space="0"/>
              <w:left w:val="single" w:color="auto" w:sz="4" w:space="0"/>
              <w:bottom w:val="single" w:color="auto" w:sz="4" w:space="0"/>
              <w:right w:val="single" w:color="auto" w:sz="4" w:space="0"/>
            </w:tcBorders>
            <w:vAlign w:val="center"/>
          </w:tcPr>
          <w:p>
            <w:pPr>
              <w:numPr>
                <w:ilvl w:val="0"/>
                <w:numId w:val="2"/>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rPr>
              <w:t>符合《政府采购法》第二十二条规定的条件</w:t>
            </w:r>
            <w:r>
              <w:rPr>
                <w:rFonts w:hint="eastAsia" w:ascii="宋体" w:hAnsi="宋体" w:cs="宋体"/>
                <w:color w:val="auto"/>
                <w:szCs w:val="21"/>
                <w:highlight w:val="none"/>
                <w:lang w:eastAsia="zh-CN"/>
              </w:rPr>
              <w:t>：</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（1）具有独立承担民事责任的能力；</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（2）具有良好的商业信誉和健全的财务会计制度（提供2017年和2018年度财务审计报告）；</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（3）具有履行合同所必需的设备和专业技术能力；</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（4）有依法缴纳税收和社会保障资金的良好记录（提供近三个月的完税和社保缴纳证明）；</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（5）参加政府采购活动前三年内，在经营活动中没有重大违法记录；</w:t>
            </w:r>
          </w:p>
          <w:p>
            <w:pPr>
              <w:numPr>
                <w:ilvl w:val="0"/>
                <w:numId w:val="0"/>
              </w:numPr>
              <w:autoSpaceDE w:val="0"/>
              <w:autoSpaceDN w:val="0"/>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（6）法律、行政法规规定的其他条件。</w:t>
            </w:r>
          </w:p>
          <w:p>
            <w:pPr>
              <w:autoSpaceDE w:val="0"/>
              <w:autoSpaceDN w:val="0"/>
              <w:spacing w:line="320" w:lineRule="exact"/>
              <w:rPr>
                <w:rFonts w:hint="eastAsia" w:ascii="宋体" w:hAnsi="宋体" w:cs="宋体"/>
                <w:color w:val="auto"/>
                <w:szCs w:val="21"/>
                <w:highlight w:val="none"/>
              </w:rPr>
            </w:pPr>
            <w:r>
              <w:rPr>
                <w:rFonts w:hint="eastAsia" w:ascii="宋体" w:hAnsi="宋体" w:cs="宋体"/>
                <w:color w:val="auto"/>
                <w:szCs w:val="21"/>
                <w:highlight w:val="none"/>
              </w:rPr>
              <w:t>2、具备独立法人资格，营业执照经营范围符合本项目要求的企业或代理商；（供应商为代理商的，需提供本项目所投产品合法有效的经销授权；同一品牌同一型号产品只能由一家供应商参加，如果有多家代理商参加同一品牌同一型号产品投标的，应当作为一个供应商计算）；</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、投标单位必须提供投标承诺函；</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投标单位必须提供无行贿犯罪记录承诺书。（投标人出具“中国裁判文书网”网站查询近三年来法人、法定代表人、法定代表人委托人无行贿犯罪记录网页截图加盖企业公章证明）若有行贿犯罪记录则取消其投标资格；</w:t>
            </w:r>
          </w:p>
          <w:p>
            <w:pPr>
              <w:autoSpaceDE w:val="0"/>
              <w:autoSpaceDN w:val="0"/>
              <w:spacing w:line="320" w:lineRule="exact"/>
              <w:rPr>
                <w:rFonts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按照《财政部关于在政府采购活动中查询及使用信用记录有关问题的通知》（财库〔2016〕125号）的要求，根据“信用中国”网站（www.creditchina.gov.cn）、中国政府采购网（www.ccgp.gov.cn）的信息，对列入失信被执行人、重大税收违法案件当事人名单、政府采购严重违法失信行为记录名单的企业，拒绝参与本项目投标。（投标单位需提供网站查询截图，加盖企业公章，查询日期为招标公告发布之日起至投标文件递交的截止时间止)；</w:t>
            </w:r>
          </w:p>
          <w:p>
            <w:pPr>
              <w:autoSpaceDE w:val="0"/>
              <w:autoSpaceDN w:val="0"/>
              <w:spacing w:line="320" w:lineRule="exact"/>
              <w:rPr>
                <w:rFonts w:ascii="宋体" w:hAnsi="宋体" w:cs="宋体"/>
                <w:color w:val="auto"/>
                <w:kern w:val="0"/>
                <w:szCs w:val="21"/>
                <w:highlight w:val="none"/>
                <w:shd w:val="clear" w:color="auto" w:fill="FFFFFF"/>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、本次招标不接受联合体投标。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exact"/>
        </w:trPr>
        <w:tc>
          <w:tcPr>
            <w:tcW w:w="722" w:type="dxa"/>
            <w:vMerge w:val="restart"/>
            <w:tcBorders>
              <w:top w:val="single" w:color="auto" w:sz="4" w:space="0"/>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二</w:t>
            </w:r>
          </w:p>
          <w:p>
            <w:pPr>
              <w:spacing w:line="5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形式评审标准</w:t>
            </w: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投标供应商名称</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与营业执照等证件一致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exact"/>
        </w:trPr>
        <w:tc>
          <w:tcPr>
            <w:tcW w:w="722" w:type="dxa"/>
            <w:vMerge w:val="continue"/>
            <w:tcBorders>
              <w:top w:val="single" w:color="auto" w:sz="4" w:space="0"/>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谈判文件</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kern w:val="0"/>
                <w:szCs w:val="21"/>
                <w:highlight w:val="none"/>
              </w:rPr>
              <w:t>按照谈判文件规定要求密封、签署、盖章的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响应性谈判文件格式</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基本符合谈判文件格式要求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供货期</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20日历天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质保期</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24个月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3"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商务报价</w:t>
            </w:r>
          </w:p>
        </w:tc>
        <w:tc>
          <w:tcPr>
            <w:tcW w:w="5910" w:type="dxa"/>
            <w:tcBorders>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只能有一个有效报价，且不超过招标预算价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rPr>
        <w:tc>
          <w:tcPr>
            <w:tcW w:w="722" w:type="dxa"/>
            <w:vMerge w:val="continue"/>
            <w:tcBorders>
              <w:left w:val="single" w:color="auto" w:sz="4" w:space="0"/>
              <w:right w:val="single" w:color="auto" w:sz="4" w:space="0"/>
            </w:tcBorders>
            <w:vAlign w:val="center"/>
          </w:tcPr>
          <w:p>
            <w:pPr>
              <w:spacing w:line="520" w:lineRule="exact"/>
              <w:jc w:val="center"/>
              <w:outlineLvl w:val="1"/>
              <w:rPr>
                <w:rFonts w:ascii="宋体" w:hAnsi="宋体" w:cs="宋体"/>
                <w:color w:val="auto"/>
                <w:szCs w:val="21"/>
                <w:highlight w:val="none"/>
              </w:rPr>
            </w:pPr>
          </w:p>
        </w:tc>
        <w:tc>
          <w:tcPr>
            <w:tcW w:w="28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投标有效期</w:t>
            </w:r>
          </w:p>
        </w:tc>
        <w:tc>
          <w:tcPr>
            <w:tcW w:w="5910" w:type="dxa"/>
            <w:tcBorders>
              <w:top w:val="single" w:color="auto" w:sz="4" w:space="0"/>
              <w:left w:val="single" w:color="auto" w:sz="4" w:space="0"/>
              <w:bottom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谈判文件递交截止日起</w:t>
            </w:r>
            <w:r>
              <w:rPr>
                <w:rFonts w:hint="eastAsia" w:ascii="宋体" w:hAnsi="宋体" w:cs="宋体"/>
                <w:color w:val="auto"/>
                <w:szCs w:val="21"/>
                <w:highlight w:val="none"/>
                <w:u w:val="single"/>
              </w:rPr>
              <w:t xml:space="preserve">  60 日历</w:t>
            </w:r>
            <w:r>
              <w:rPr>
                <w:rFonts w:hint="eastAsia" w:ascii="宋体" w:hAnsi="宋体" w:cs="宋体"/>
                <w:color w:val="auto"/>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exact"/>
        </w:trPr>
        <w:tc>
          <w:tcPr>
            <w:tcW w:w="722" w:type="dxa"/>
            <w:vMerge w:val="continue"/>
            <w:tcBorders>
              <w:left w:val="single" w:color="auto" w:sz="4" w:space="0"/>
              <w:right w:val="single" w:color="auto" w:sz="4" w:space="0"/>
            </w:tcBorders>
            <w:vAlign w:val="center"/>
          </w:tcPr>
          <w:p>
            <w:pPr>
              <w:widowControl/>
              <w:spacing w:line="520" w:lineRule="exact"/>
              <w:jc w:val="left"/>
              <w:outlineLvl w:val="1"/>
              <w:rPr>
                <w:rFonts w:ascii="宋体" w:hAnsi="宋体" w:cs="宋体"/>
                <w:color w:val="auto"/>
                <w:szCs w:val="21"/>
                <w:highlight w:val="none"/>
              </w:rPr>
            </w:pPr>
          </w:p>
        </w:tc>
        <w:tc>
          <w:tcPr>
            <w:tcW w:w="2845" w:type="dxa"/>
            <w:tcBorders>
              <w:top w:val="single" w:color="auto" w:sz="4" w:space="0"/>
              <w:left w:val="single" w:color="auto" w:sz="4" w:space="0"/>
              <w:right w:val="single" w:color="auto" w:sz="4" w:space="0"/>
            </w:tcBorders>
            <w:vAlign w:val="center"/>
          </w:tcPr>
          <w:p>
            <w:pPr>
              <w:spacing w:line="320" w:lineRule="exact"/>
              <w:jc w:val="center"/>
              <w:outlineLvl w:val="1"/>
              <w:rPr>
                <w:rFonts w:ascii="宋体" w:hAnsi="宋体" w:cs="宋体"/>
                <w:color w:val="auto"/>
                <w:szCs w:val="21"/>
                <w:highlight w:val="none"/>
              </w:rPr>
            </w:pPr>
            <w:r>
              <w:rPr>
                <w:rFonts w:hint="eastAsia" w:ascii="宋体" w:hAnsi="宋体" w:cs="宋体"/>
                <w:color w:val="auto"/>
                <w:szCs w:val="21"/>
                <w:highlight w:val="none"/>
              </w:rPr>
              <w:t>谈判文件的其他响应</w:t>
            </w:r>
          </w:p>
        </w:tc>
        <w:tc>
          <w:tcPr>
            <w:tcW w:w="5910" w:type="dxa"/>
            <w:tcBorders>
              <w:top w:val="single" w:color="auto" w:sz="4" w:space="0"/>
              <w:left w:val="single" w:color="auto" w:sz="4" w:space="0"/>
              <w:right w:val="single" w:color="auto" w:sz="4" w:space="0"/>
            </w:tcBorders>
            <w:vAlign w:val="center"/>
          </w:tcPr>
          <w:p>
            <w:pPr>
              <w:spacing w:line="320" w:lineRule="exact"/>
              <w:outlineLvl w:val="1"/>
              <w:rPr>
                <w:rFonts w:ascii="宋体" w:hAnsi="宋体" w:cs="宋体"/>
                <w:color w:val="auto"/>
                <w:szCs w:val="21"/>
                <w:highlight w:val="none"/>
              </w:rPr>
            </w:pPr>
            <w:r>
              <w:rPr>
                <w:rFonts w:hint="eastAsia" w:ascii="宋体" w:hAnsi="宋体" w:cs="宋体"/>
                <w:color w:val="auto"/>
                <w:szCs w:val="21"/>
                <w:highlight w:val="none"/>
              </w:rPr>
              <w:t>符合法律、法规和竞争性谈判文件中规定的其他实质性要求的</w:t>
            </w:r>
          </w:p>
        </w:tc>
      </w:tr>
    </w:tbl>
    <w:p>
      <w:pPr>
        <w:autoSpaceDE w:val="0"/>
        <w:autoSpaceDN w:val="0"/>
        <w:adjustRightInd w:val="0"/>
        <w:spacing w:line="480" w:lineRule="exact"/>
        <w:ind w:firstLine="420" w:firstLineChars="200"/>
        <w:outlineLvl w:val="1"/>
        <w:rPr>
          <w:rFonts w:ascii="宋体" w:hAnsi="宋体" w:cs="宋体"/>
          <w:color w:val="auto"/>
          <w:kern w:val="0"/>
          <w:szCs w:val="21"/>
          <w:highlight w:val="none"/>
        </w:rPr>
      </w:pPr>
      <w:r>
        <w:rPr>
          <w:rFonts w:hint="eastAsia" w:ascii="宋体" w:hAnsi="宋体" w:cs="宋体"/>
          <w:color w:val="auto"/>
          <w:kern w:val="0"/>
          <w:szCs w:val="21"/>
          <w:highlight w:val="none"/>
        </w:rPr>
        <w:t>谈判小组依据以上初步评审标准对谈判文件进行初步评审。有一项不符合评审标准的，作无效投标处理。</w:t>
      </w:r>
    </w:p>
    <w:p>
      <w:pPr>
        <w:spacing w:line="400" w:lineRule="exact"/>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（七）谈   判</w:t>
      </w:r>
    </w:p>
    <w:p>
      <w:pPr>
        <w:spacing w:line="4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1、谈判小组所有成员集中与单一供应商分别进行谈判。谈判中,谈判的任何一方不得透漏与谈判有关的信息。谈判文件有实质性变动的，谈判小组应当以书面形式通知所有参加谈判的供应商。</w:t>
      </w:r>
    </w:p>
    <w:p>
      <w:pPr>
        <w:spacing w:line="4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2、在谈判过程中，符合评审标准后，方可进行第二轮谈判。第二轮报价不得高于上一轮报价。</w:t>
      </w:r>
    </w:p>
    <w:p>
      <w:pPr>
        <w:spacing w:line="400" w:lineRule="exact"/>
        <w:ind w:firstLine="413" w:firstLineChars="196"/>
        <w:rPr>
          <w:rFonts w:ascii="宋体" w:hAnsi="宋体" w:cs="宋体"/>
          <w:b/>
          <w:color w:val="auto"/>
          <w:szCs w:val="21"/>
          <w:highlight w:val="none"/>
          <w:lang w:val="zh-CN"/>
        </w:rPr>
      </w:pPr>
      <w:r>
        <w:rPr>
          <w:rFonts w:hint="eastAsia" w:ascii="宋体" w:hAnsi="宋体" w:cs="宋体"/>
          <w:b/>
          <w:color w:val="auto"/>
          <w:szCs w:val="21"/>
          <w:highlight w:val="none"/>
        </w:rPr>
        <w:t>（八）</w:t>
      </w:r>
      <w:r>
        <w:rPr>
          <w:rFonts w:hint="eastAsia" w:ascii="宋体" w:hAnsi="宋体" w:cs="宋体"/>
          <w:b/>
          <w:color w:val="auto"/>
          <w:szCs w:val="21"/>
          <w:highlight w:val="none"/>
          <w:lang w:val="zh-CN"/>
        </w:rPr>
        <w:t>评审标准</w:t>
      </w:r>
    </w:p>
    <w:p>
      <w:pPr>
        <w:spacing w:line="400" w:lineRule="exact"/>
        <w:ind w:firstLine="413" w:firstLineChars="196"/>
        <w:rPr>
          <w:rFonts w:ascii="宋体" w:hAnsi="宋体" w:cs="宋体"/>
          <w:b/>
          <w:color w:val="auto"/>
          <w:szCs w:val="21"/>
          <w:highlight w:val="none"/>
          <w:lang w:val="zh-CN"/>
        </w:rPr>
      </w:pPr>
      <w:r>
        <w:rPr>
          <w:rFonts w:hint="eastAsia" w:ascii="宋体" w:hAnsi="宋体" w:cs="宋体"/>
          <w:b/>
          <w:color w:val="auto"/>
          <w:szCs w:val="21"/>
          <w:highlight w:val="none"/>
          <w:u w:val="single"/>
          <w:lang w:val="zh-CN"/>
        </w:rPr>
        <w:t>采用最低评标价法，即在全部满足谈判文件实质性要求的前提下，依据统一的价格要素评定最低报价，以提出最低报价的投标供应商作为成交候选供应商的评标方法。</w:t>
      </w:r>
    </w:p>
    <w:p>
      <w:pPr>
        <w:spacing w:line="400" w:lineRule="exact"/>
        <w:ind w:firstLine="413" w:firstLineChars="196"/>
        <w:rPr>
          <w:rFonts w:ascii="宋体" w:hAnsi="宋体" w:cs="宋体"/>
          <w:b/>
          <w:color w:val="auto"/>
          <w:kern w:val="0"/>
          <w:szCs w:val="21"/>
          <w:highlight w:val="none"/>
        </w:rPr>
      </w:pPr>
      <w:r>
        <w:rPr>
          <w:rFonts w:hint="eastAsia" w:ascii="宋体" w:hAnsi="宋体" w:cs="宋体"/>
          <w:b/>
          <w:color w:val="auto"/>
          <w:szCs w:val="21"/>
          <w:highlight w:val="none"/>
        </w:rPr>
        <w:t>（九）</w:t>
      </w:r>
      <w:r>
        <w:rPr>
          <w:rFonts w:hint="eastAsia" w:ascii="宋体" w:hAnsi="宋体" w:cs="宋体"/>
          <w:b/>
          <w:color w:val="auto"/>
          <w:kern w:val="0"/>
          <w:szCs w:val="21"/>
          <w:highlight w:val="none"/>
        </w:rPr>
        <w:t>推荐和确定成交供应商</w:t>
      </w:r>
    </w:p>
    <w:p>
      <w:pPr>
        <w:spacing w:line="400" w:lineRule="exact"/>
        <w:ind w:firstLine="403" w:firstLineChars="192"/>
        <w:rPr>
          <w:rFonts w:ascii="宋体" w:hAnsi="宋体" w:cs="宋体"/>
          <w:color w:val="auto"/>
          <w:kern w:val="0"/>
          <w:szCs w:val="21"/>
          <w:highlight w:val="none"/>
        </w:rPr>
      </w:pPr>
      <w:r>
        <w:rPr>
          <w:rFonts w:hint="eastAsia" w:ascii="宋体" w:hAnsi="宋体"/>
          <w:color w:val="auto"/>
          <w:kern w:val="0"/>
          <w:szCs w:val="21"/>
          <w:highlight w:val="none"/>
        </w:rPr>
        <w:t>根据评审标准，按有效投标报价由低到高顺序排列推荐1名成交候选供应商。报价相同的，按技术指标优劣顺序排列。谈判小组讨论通过评审，并编写评标报告。</w:t>
      </w:r>
    </w:p>
    <w:p>
      <w:pPr>
        <w:spacing w:line="400" w:lineRule="exact"/>
        <w:ind w:firstLine="314" w:firstLineChars="149"/>
        <w:rPr>
          <w:rFonts w:ascii="宋体" w:hAnsi="宋体" w:cs="宋体"/>
          <w:b/>
          <w:color w:val="auto"/>
          <w:szCs w:val="21"/>
          <w:highlight w:val="none"/>
        </w:rPr>
      </w:pPr>
      <w:r>
        <w:rPr>
          <w:rFonts w:hint="eastAsia" w:ascii="宋体" w:hAnsi="宋体" w:cs="宋体"/>
          <w:b/>
          <w:color w:val="auto"/>
          <w:szCs w:val="21"/>
          <w:highlight w:val="none"/>
        </w:rPr>
        <w:t>（十）谈判结果的公示</w:t>
      </w:r>
    </w:p>
    <w:p>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谈判结束后，谈判结果将在</w:t>
      </w:r>
      <w:r>
        <w:rPr>
          <w:rFonts w:hint="eastAsia" w:ascii="宋体" w:hAnsi="宋体" w:cs="宋体"/>
          <w:color w:val="auto"/>
          <w:kern w:val="0"/>
          <w:szCs w:val="21"/>
          <w:highlight w:val="none"/>
          <w:shd w:val="clear" w:color="auto" w:fill="FFFFFF"/>
        </w:rPr>
        <w:t>《河南省政府采购网》、《温县公共资源交易中心网》、</w:t>
      </w:r>
      <w:r>
        <w:rPr>
          <w:rFonts w:hint="eastAsia" w:ascii="宋体" w:hAnsi="宋体"/>
          <w:color w:val="auto"/>
          <w:highlight w:val="none"/>
          <w:shd w:val="clear" w:color="auto" w:fill="FFFFFF"/>
        </w:rPr>
        <w:t>《焦作市公共资源交易中心网》</w:t>
      </w:r>
      <w:r>
        <w:rPr>
          <w:rFonts w:hint="eastAsia" w:ascii="宋体" w:hAnsi="宋体" w:cs="宋体"/>
          <w:color w:val="auto"/>
          <w:szCs w:val="21"/>
          <w:highlight w:val="none"/>
        </w:rPr>
        <w:t>上公示，同时向中标供应商发放成交通知书。</w:t>
      </w:r>
    </w:p>
    <w:p>
      <w:pPr>
        <w:spacing w:line="400" w:lineRule="exact"/>
        <w:ind w:firstLine="316" w:firstLineChars="150"/>
        <w:rPr>
          <w:rFonts w:ascii="宋体" w:hAnsi="宋体" w:cs="宋体"/>
          <w:b/>
          <w:color w:val="auto"/>
          <w:szCs w:val="21"/>
          <w:highlight w:val="none"/>
        </w:rPr>
      </w:pPr>
      <w:r>
        <w:rPr>
          <w:rFonts w:hint="eastAsia" w:ascii="宋体" w:hAnsi="宋体" w:cs="宋体"/>
          <w:b/>
          <w:color w:val="auto"/>
          <w:szCs w:val="21"/>
          <w:highlight w:val="none"/>
        </w:rPr>
        <w:t>（十一）成交合同的签订</w:t>
      </w:r>
    </w:p>
    <w:p>
      <w:pPr>
        <w:spacing w:line="400" w:lineRule="exact"/>
        <w:ind w:firstLine="315" w:firstLineChars="150"/>
        <w:rPr>
          <w:rFonts w:ascii="宋体" w:hAnsi="宋体" w:cs="宋体"/>
          <w:color w:val="auto"/>
          <w:szCs w:val="21"/>
          <w:highlight w:val="none"/>
        </w:rPr>
      </w:pPr>
      <w:r>
        <w:rPr>
          <w:rFonts w:hint="eastAsia" w:ascii="宋体" w:hAnsi="宋体" w:cs="宋体"/>
          <w:color w:val="auto"/>
          <w:szCs w:val="21"/>
          <w:highlight w:val="none"/>
        </w:rPr>
        <w:t>采购人自成交通知书发出之日起，30日内按谈判文件的要求与供应商递交谈判响应性文件的约定，与成交供应商签订供货合同。成交供应商因不可抗力或自身原因不能履行政府采购合同的，重新招标。</w:t>
      </w:r>
    </w:p>
    <w:p>
      <w:pPr>
        <w:autoSpaceDE w:val="0"/>
        <w:autoSpaceDN w:val="0"/>
        <w:adjustRightInd w:val="0"/>
        <w:spacing w:line="400" w:lineRule="exact"/>
        <w:rPr>
          <w:rFonts w:ascii="宋体" w:hAnsi="宋体" w:cs="宋体"/>
          <w:b/>
          <w:bCs/>
          <w:color w:val="auto"/>
          <w:kern w:val="0"/>
          <w:szCs w:val="21"/>
          <w:highlight w:val="none"/>
          <w:lang w:val="zh-CN"/>
        </w:rPr>
      </w:pPr>
      <w:r>
        <w:rPr>
          <w:rFonts w:hint="eastAsia" w:ascii="宋体" w:hAnsi="宋体" w:cs="宋体"/>
          <w:b/>
          <w:color w:val="auto"/>
          <w:szCs w:val="21"/>
          <w:highlight w:val="none"/>
        </w:rPr>
        <w:t xml:space="preserve">   （十二）</w:t>
      </w:r>
      <w:r>
        <w:rPr>
          <w:rFonts w:hint="eastAsia" w:ascii="宋体" w:hAnsi="宋体" w:cs="宋体"/>
          <w:b/>
          <w:bCs/>
          <w:color w:val="auto"/>
          <w:kern w:val="0"/>
          <w:szCs w:val="21"/>
          <w:highlight w:val="none"/>
          <w:lang w:val="zh-CN"/>
        </w:rPr>
        <w:t>争议的解决：</w:t>
      </w:r>
      <w:r>
        <w:rPr>
          <w:rFonts w:hint="eastAsia" w:ascii="宋体" w:hAnsi="宋体" w:cs="宋体"/>
          <w:color w:val="auto"/>
          <w:szCs w:val="21"/>
          <w:highlight w:val="none"/>
          <w:lang w:val="zh-CN"/>
        </w:rPr>
        <w:t>双方友好协商；提请主管部门进行调解；由需方所在地人民法院诉讼管辖。</w:t>
      </w:r>
    </w:p>
    <w:p>
      <w:pPr>
        <w:spacing w:line="400" w:lineRule="exact"/>
        <w:ind w:firstLine="316" w:firstLineChars="150"/>
        <w:rPr>
          <w:rFonts w:ascii="宋体" w:hAnsi="宋体" w:cs="宋体"/>
          <w:color w:val="auto"/>
          <w:szCs w:val="21"/>
          <w:highlight w:val="none"/>
          <w:lang w:val="zh-CN"/>
        </w:rPr>
      </w:pPr>
      <w:r>
        <w:rPr>
          <w:rFonts w:hint="eastAsia" w:ascii="宋体" w:hAnsi="宋体" w:cs="宋体"/>
          <w:b/>
          <w:color w:val="auto"/>
          <w:szCs w:val="21"/>
          <w:highlight w:val="none"/>
        </w:rPr>
        <w:t>（十三）</w:t>
      </w:r>
      <w:r>
        <w:rPr>
          <w:rFonts w:hint="eastAsia" w:ascii="宋体" w:hAnsi="宋体" w:cs="宋体"/>
          <w:b/>
          <w:bCs/>
          <w:color w:val="auto"/>
          <w:szCs w:val="21"/>
          <w:highlight w:val="none"/>
          <w:lang w:val="zh-CN"/>
        </w:rPr>
        <w:t>投标费用</w:t>
      </w:r>
      <w:r>
        <w:rPr>
          <w:rFonts w:hint="eastAsia" w:ascii="宋体" w:hAnsi="宋体" w:cs="宋体"/>
          <w:color w:val="auto"/>
          <w:szCs w:val="21"/>
          <w:highlight w:val="none"/>
          <w:lang w:val="zh-CN"/>
        </w:rPr>
        <w:t>：无论投标过程中的作法和结果如何，投标供应商应自行承担所有参与投标有关的全部费用，采购人和招标代理机构在任何情况下均无义务和责任承担上述费用。</w:t>
      </w:r>
    </w:p>
    <w:p>
      <w:pPr>
        <w:autoSpaceDE w:val="0"/>
        <w:autoSpaceDN w:val="0"/>
        <w:adjustRightInd w:val="0"/>
        <w:spacing w:line="400" w:lineRule="exact"/>
        <w:ind w:firstLine="413" w:firstLineChars="196"/>
        <w:rPr>
          <w:rFonts w:ascii="宋体" w:hAnsi="宋体" w:cs="宋体"/>
          <w:color w:val="auto"/>
          <w:szCs w:val="21"/>
          <w:highlight w:val="none"/>
          <w:lang w:val="zh-CN"/>
        </w:rPr>
      </w:pPr>
      <w:r>
        <w:rPr>
          <w:rFonts w:hint="eastAsia" w:ascii="宋体" w:hAnsi="宋体" w:cs="宋体"/>
          <w:b/>
          <w:color w:val="auto"/>
          <w:szCs w:val="21"/>
          <w:highlight w:val="none"/>
        </w:rPr>
        <w:t>（十四）</w:t>
      </w:r>
      <w:r>
        <w:rPr>
          <w:rFonts w:hint="eastAsia" w:ascii="宋体" w:hAnsi="宋体" w:cs="宋体"/>
          <w:b/>
          <w:bCs/>
          <w:color w:val="auto"/>
          <w:kern w:val="0"/>
          <w:szCs w:val="21"/>
          <w:highlight w:val="none"/>
          <w:lang w:val="zh-CN"/>
        </w:rPr>
        <w:t>质疑和投诉</w:t>
      </w:r>
    </w:p>
    <w:p>
      <w:pPr>
        <w:autoSpaceDE w:val="0"/>
        <w:autoSpaceDN w:val="0"/>
        <w:adjustRightInd w:val="0"/>
        <w:spacing w:line="400" w:lineRule="exact"/>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供应商认为采购文件、采购过程和中标、成交结果使自己的权益受到损害的，可以在知道或者应知其权益受到损害之日起七个工作日内，以书面形式向采购人提出质疑，否则不予受理。</w:t>
      </w:r>
    </w:p>
    <w:p>
      <w:pPr>
        <w:autoSpaceDE w:val="0"/>
        <w:autoSpaceDN w:val="0"/>
        <w:adjustRightInd w:val="0"/>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（十五）其他补充内容</w:t>
      </w:r>
    </w:p>
    <w:p>
      <w:pPr>
        <w:autoSpaceDE w:val="0"/>
        <w:autoSpaceDN w:val="0"/>
        <w:adjustRightInd w:val="0"/>
        <w:spacing w:line="40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1.关于《政府采购促进中小企业发展暂行办法》相关说明：</w:t>
      </w:r>
    </w:p>
    <w:p>
      <w:pPr>
        <w:autoSpaceDE w:val="0"/>
        <w:autoSpaceDN w:val="0"/>
        <w:adjustRightInd w:val="0"/>
        <w:spacing w:line="40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根据财库（2011）181号文、豫财购[2013]14号文相关规定，给予小型和微型企业产品的投标报价给予6%-10%的扣除，本项目具体扣除比例为6％，用扣除后的价格参与评审。</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小微企业产品应当列明本项目中所投的“小型和微型企业产品的清单”并提供企业声明函（统一格式）且同时提供全国企业信用信息公示系统内小微企业库截图或由企业所在地的县级以上中小企业主管部门出具的中小企业认定证书等有效证明材料，否则不予认可。</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关于小微企业：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1.1按&lt;关于印发《政府采购促进中小企业发展暂行办法》的通知&gt;（财库〔2011〕181号）之规定，中小企业的标准为：</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1.1.1提供本企业制造的货物、承担的工程或者服务，或者提供其他中小企业制造的货物，不包括提供或使用大型企业注册商标的货物。</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1.1.2本规定所称中小企业划分标准，是指国务院有关部门根据企业从业人员、营业收入、资产总额等指标制定的中小企业划型标准（工信部联企业〔2011〕300号）。</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1.1.3小型、微型企业提供有中型企业制造的货物的，视同为中型企业；小型、微型、中型企业提供有大型企业制造的货物的，视同为大型企业。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1.2依照&lt;财政部、司法部关于政府采购支持监狱企业发展有关问题的通知&gt;（财库〔2014〕68号）之规定，监狱企业应当符合以下条件：</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autoSpaceDE w:val="0"/>
        <w:autoSpaceDN w:val="0"/>
        <w:adjustRightInd w:val="0"/>
        <w:spacing w:line="380" w:lineRule="exact"/>
        <w:ind w:firstLine="411" w:firstLineChars="196"/>
        <w:rPr>
          <w:rFonts w:ascii="宋体" w:hAnsi="宋体" w:cs="宋体"/>
          <w:bCs/>
          <w:color w:val="auto"/>
          <w:szCs w:val="21"/>
          <w:highlight w:val="none"/>
        </w:rPr>
      </w:pPr>
      <w:r>
        <w:rPr>
          <w:rFonts w:hint="eastAsia" w:ascii="宋体" w:hAnsi="宋体" w:cs="宋体"/>
          <w:bCs/>
          <w:color w:val="auto"/>
          <w:szCs w:val="21"/>
          <w:highlight w:val="none"/>
        </w:rPr>
        <w:t>1.2.2监狱企业参加政府采购活动时，视同小型、微型企业，应当提供由省级以上监狱管理局、戒毒管理局（含新疆生产建设兵团）出具的属于监狱企业的证明文件。</w:t>
      </w:r>
    </w:p>
    <w:p>
      <w:pPr>
        <w:pStyle w:val="8"/>
        <w:tabs>
          <w:tab w:val="left" w:pos="720"/>
        </w:tabs>
        <w:snapToGrid w:val="0"/>
        <w:spacing w:line="380" w:lineRule="exact"/>
        <w:ind w:left="99" w:leftChars="47" w:firstLine="315" w:firstLineChars="150"/>
        <w:rPr>
          <w:rFonts w:ascii="宋体" w:hAnsi="宋体" w:cs="宋体"/>
          <w:b/>
          <w:color w:val="auto"/>
          <w:szCs w:val="21"/>
          <w:highlight w:val="none"/>
        </w:rPr>
      </w:pPr>
      <w:r>
        <w:rPr>
          <w:rFonts w:hint="eastAsia" w:ascii="宋体" w:hAnsi="宋体" w:cs="宋体"/>
          <w:color w:val="auto"/>
          <w:szCs w:val="21"/>
          <w:highlight w:val="none"/>
        </w:rPr>
        <w:t>2、投标产品符合国家环保、节能标准，并载入财政部、国家发改委和国家环保总局发布的最新《环境标志产品政府采购清单》、《节能产品政府采购清单》内，且具有在有效期内的《国家节能产品认证证书》或《中国环境标志产品认证证书》（供应商必须提供有关证明材料和文件等），将分别给予供应商在评标办法中规定的加分或下调评标价。</w:t>
      </w:r>
      <w:r>
        <w:rPr>
          <w:rFonts w:hint="eastAsia" w:ascii="宋体" w:hAnsi="宋体" w:cs="宋体"/>
          <w:b/>
          <w:color w:val="auto"/>
          <w:szCs w:val="21"/>
          <w:highlight w:val="none"/>
        </w:rPr>
        <w:t>（</w:t>
      </w:r>
      <w:r>
        <w:rPr>
          <w:rFonts w:hint="eastAsia" w:ascii="宋体" w:hAnsi="宋体" w:cs="宋体"/>
          <w:b/>
          <w:bCs/>
          <w:color w:val="auto"/>
          <w:szCs w:val="21"/>
          <w:highlight w:val="none"/>
        </w:rPr>
        <w:t>供应商提供产品如为“节能产品政府采购清单”内的产品，报价给予0.1%的扣除，用扣除后的价格作为最后报价。供应商必须在投标文件中附该产品在国家有关部门公布的最新一期的节能清单中所在页的复印件，及在有效期内的《国家节能产品认证证书》复印件，否则评标委员会有权不予认可。供应商提供产品如为“环境标志产品政府采购清单”内的产品，报价给予0.1%的扣除，用扣除后的价格作为最后报价。供应商必须在投标文件中附该产品在国家有关部门公布的最新一期的环保清单中所在页的</w:t>
      </w:r>
      <w:r>
        <w:rPr>
          <w:rFonts w:hint="eastAsia" w:ascii="宋体" w:hAnsi="宋体" w:cs="宋体"/>
          <w:b/>
          <w:color w:val="auto"/>
          <w:szCs w:val="21"/>
          <w:highlight w:val="none"/>
        </w:rPr>
        <w:t>复印件，及在有效期内的《中国环境标志产品认证证书》复印件，否则评标委员会有权不予认可。）</w:t>
      </w:r>
    </w:p>
    <w:p>
      <w:pPr>
        <w:snapToGrid w:val="0"/>
        <w:spacing w:line="380" w:lineRule="exact"/>
        <w:rPr>
          <w:rFonts w:ascii="宋体" w:hAnsi="宋体" w:cs="宋体"/>
          <w:color w:val="auto"/>
          <w:highlight w:val="none"/>
        </w:rPr>
      </w:pPr>
      <w:r>
        <w:rPr>
          <w:rFonts w:hint="eastAsia" w:ascii="宋体" w:hAnsi="宋体" w:cs="宋体"/>
          <w:color w:val="auto"/>
          <w:highlight w:val="none"/>
        </w:rPr>
        <w:t xml:space="preserve">    2.1 </w:t>
      </w:r>
      <w:r>
        <w:rPr>
          <w:rFonts w:hint="eastAsia" w:ascii="宋体" w:hAnsi="宋体" w:cs="宋体"/>
          <w:bCs/>
          <w:color w:val="auto"/>
          <w:highlight w:val="none"/>
        </w:rPr>
        <w:t>如招标产品属于财政部和国家发展改革委发布的最新《政府采购节能产品清单》中要求的强制政府采购产品的，供应商必须提供所投产品属于清单中要求的制造厂家生产的指定型号产品，此种情况不享受上述加分或评标价下调规定。</w:t>
      </w:r>
    </w:p>
    <w:p>
      <w:pPr>
        <w:autoSpaceDE w:val="0"/>
        <w:autoSpaceDN w:val="0"/>
        <w:adjustRightInd w:val="0"/>
        <w:spacing w:line="380" w:lineRule="exact"/>
        <w:rPr>
          <w:rFonts w:ascii="宋体" w:hAnsi="宋体" w:cs="宋体"/>
          <w:bCs/>
          <w:color w:val="auto"/>
          <w:szCs w:val="21"/>
          <w:highlight w:val="none"/>
        </w:rPr>
      </w:pPr>
      <w:r>
        <w:rPr>
          <w:rFonts w:hint="eastAsia" w:ascii="宋体" w:hAnsi="宋体" w:cs="宋体"/>
          <w:color w:val="auto"/>
          <w:szCs w:val="21"/>
          <w:highlight w:val="none"/>
        </w:rPr>
        <w:t>2.2 投标产品属于自主创新产品，并载入注册地省级以上科技部门发布的最新自主创新产品目录清单内，供应商应提供注册地省级以上科技部门出具的在有效期内的证明材料和文件等，将由评标委员会给予供应商在评标办法中规定的加分或下调评标价。</w:t>
      </w:r>
    </w:p>
    <w:p>
      <w:pPr>
        <w:numPr>
          <w:ilvl w:val="0"/>
          <w:numId w:val="3"/>
        </w:numPr>
        <w:autoSpaceDE w:val="0"/>
        <w:autoSpaceDN w:val="0"/>
        <w:adjustRightInd w:val="0"/>
        <w:spacing w:line="400" w:lineRule="exact"/>
        <w:ind w:firstLine="411" w:firstLineChars="196"/>
        <w:rPr>
          <w:rFonts w:ascii="宋体" w:hAnsi="宋体" w:cs="宋体"/>
          <w:color w:val="auto"/>
          <w:szCs w:val="21"/>
          <w:highlight w:val="none"/>
        </w:rPr>
        <w:sectPr>
          <w:footerReference r:id="rId5" w:type="first"/>
          <w:footerReference r:id="rId3" w:type="default"/>
          <w:footerReference r:id="rId4" w:type="even"/>
          <w:pgSz w:w="11850" w:h="16783"/>
          <w:pgMar w:top="1440" w:right="1080" w:bottom="1440" w:left="1080" w:header="567" w:footer="669" w:gutter="0"/>
          <w:pgNumType w:fmt="decimal" w:start="0"/>
          <w:cols w:space="720" w:num="1"/>
          <w:titlePg/>
          <w:docGrid w:type="lines" w:linePitch="380" w:charSpace="0"/>
        </w:sectPr>
      </w:pPr>
      <w:r>
        <w:rPr>
          <w:rFonts w:hint="eastAsia" w:ascii="宋体" w:hAnsi="宋体" w:cs="宋体"/>
          <w:color w:val="auto"/>
          <w:szCs w:val="21"/>
          <w:highlight w:val="none"/>
        </w:rPr>
        <w:t>其它未尽事宜，按国家有关法律、法规执行。</w:t>
      </w:r>
    </w:p>
    <w:p>
      <w:pPr>
        <w:autoSpaceDE w:val="0"/>
        <w:autoSpaceDN w:val="0"/>
        <w:adjustRightInd w:val="0"/>
        <w:spacing w:line="400" w:lineRule="exact"/>
        <w:rPr>
          <w:rFonts w:ascii="宋体" w:hAnsi="宋体" w:cs="宋体"/>
          <w:color w:val="auto"/>
          <w:szCs w:val="21"/>
          <w:highlight w:val="none"/>
        </w:rPr>
      </w:pPr>
    </w:p>
    <w:p>
      <w:pPr>
        <w:numPr>
          <w:ilvl w:val="0"/>
          <w:numId w:val="4"/>
        </w:numPr>
        <w:jc w:val="center"/>
        <w:rPr>
          <w:b/>
          <w:bCs/>
          <w:color w:val="auto"/>
          <w:sz w:val="36"/>
          <w:szCs w:val="36"/>
          <w:highlight w:val="none"/>
        </w:rPr>
      </w:pPr>
      <w:r>
        <w:rPr>
          <w:rFonts w:hint="eastAsia"/>
          <w:b/>
          <w:bCs/>
          <w:color w:val="auto"/>
          <w:sz w:val="36"/>
          <w:szCs w:val="36"/>
          <w:highlight w:val="none"/>
        </w:rPr>
        <w:t>招标项目内容和参数及服务要求</w:t>
      </w:r>
    </w:p>
    <w:tbl>
      <w:tblPr>
        <w:tblStyle w:val="15"/>
        <w:tblW w:w="138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1701"/>
        <w:gridCol w:w="709"/>
        <w:gridCol w:w="992"/>
        <w:gridCol w:w="709"/>
        <w:gridCol w:w="425"/>
        <w:gridCol w:w="793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序号</w:t>
            </w:r>
          </w:p>
        </w:tc>
        <w:tc>
          <w:tcPr>
            <w:tcW w:w="1701"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款式</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产品名称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规格</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数量</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单位</w:t>
            </w:r>
          </w:p>
        </w:tc>
        <w:tc>
          <w:tcPr>
            <w:tcW w:w="7938"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技术参数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3"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1</w:t>
            </w:r>
          </w:p>
        </w:tc>
        <w:tc>
          <w:tcPr>
            <w:tcW w:w="1701" w:type="dxa"/>
            <w:vAlign w:val="center"/>
          </w:tcPr>
          <w:p>
            <w:pPr>
              <w:jc w:val="center"/>
              <w:rPr>
                <w:color w:val="auto"/>
                <w:sz w:val="15"/>
                <w:szCs w:val="22"/>
                <w:highlight w:val="none"/>
              </w:rPr>
            </w:pPr>
            <w:r>
              <w:rPr>
                <w:color w:val="auto"/>
                <w:sz w:val="20"/>
                <w:szCs w:val="22"/>
                <w:highlight w:val="none"/>
              </w:rPr>
              <w:drawing>
                <wp:anchor distT="0" distB="0" distL="114300" distR="114300" simplePos="0" relativeHeight="251660288" behindDoc="0" locked="0" layoutInCell="1" allowOverlap="1">
                  <wp:simplePos x="0" y="0"/>
                  <wp:positionH relativeFrom="margin">
                    <wp:posOffset>15240</wp:posOffset>
                  </wp:positionH>
                  <wp:positionV relativeFrom="margin">
                    <wp:posOffset>466725</wp:posOffset>
                  </wp:positionV>
                  <wp:extent cx="953770" cy="763270"/>
                  <wp:effectExtent l="0" t="0" r="17780" b="17780"/>
                  <wp:wrapSquare wrapText="bothSides"/>
                  <wp:docPr id="176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53770" cy="763270"/>
                          </a:xfrm>
                          <a:prstGeom prst="rect">
                            <a:avLst/>
                          </a:prstGeom>
                          <a:noFill/>
                          <a:ln>
                            <a:noFill/>
                          </a:ln>
                        </pic:spPr>
                      </pic:pic>
                    </a:graphicData>
                  </a:graphic>
                </wp:anchor>
              </w:drawing>
            </w:r>
          </w:p>
        </w:tc>
        <w:tc>
          <w:tcPr>
            <w:tcW w:w="709" w:type="dxa"/>
            <w:vAlign w:val="center"/>
          </w:tcPr>
          <w:p>
            <w:pPr>
              <w:jc w:val="center"/>
              <w:rPr>
                <w:color w:val="auto"/>
                <w:sz w:val="15"/>
                <w:szCs w:val="22"/>
                <w:highlight w:val="none"/>
              </w:rPr>
            </w:pPr>
            <w:r>
              <w:rPr>
                <w:rFonts w:hint="eastAsia" w:ascii="宋体" w:hAnsi="宋体" w:cs="宋体"/>
                <w:bCs/>
                <w:color w:val="auto"/>
                <w:sz w:val="20"/>
                <w:szCs w:val="20"/>
                <w:highlight w:val="none"/>
              </w:rPr>
              <w:t>儿童诊断床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600*1500*700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p>
            <w:pPr>
              <w:rPr>
                <w:color w:val="auto"/>
                <w:sz w:val="15"/>
                <w:szCs w:val="22"/>
                <w:highlight w:val="none"/>
              </w:rPr>
            </w:pPr>
            <w:r>
              <w:rPr>
                <w:rFonts w:hint="eastAsia" w:ascii="宋体" w:hAnsi="宋体" w:cs="宋体"/>
                <w:bCs/>
                <w:color w:val="auto"/>
                <w:sz w:val="20"/>
                <w:szCs w:val="20"/>
                <w:highlight w:val="none"/>
              </w:rPr>
              <w:t>（5）、钢架：柜体及柜腿采用热镀锌钢架结构，管壁大于2.0MM厚及以上，金属表面抑菌粉末静电喷涂，表面光滑无明显焊接点。（6）、加装防潮尼龙静音脚垫。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2</w:t>
            </w:r>
          </w:p>
        </w:tc>
        <w:tc>
          <w:tcPr>
            <w:tcW w:w="1701" w:type="dxa"/>
            <w:vAlign w:val="center"/>
          </w:tcPr>
          <w:p>
            <w:pPr>
              <w:jc w:val="center"/>
              <w:rPr>
                <w:color w:val="auto"/>
                <w:sz w:val="15"/>
                <w:szCs w:val="22"/>
                <w:highlight w:val="none"/>
              </w:rPr>
            </w:pPr>
            <w:r>
              <w:rPr>
                <w:color w:val="auto"/>
                <w:sz w:val="20"/>
                <w:szCs w:val="22"/>
                <w:highlight w:val="none"/>
              </w:rPr>
              <w:drawing>
                <wp:anchor distT="0" distB="0" distL="114300" distR="114300" simplePos="0" relativeHeight="251661312" behindDoc="0" locked="0" layoutInCell="1" allowOverlap="1">
                  <wp:simplePos x="0" y="0"/>
                  <wp:positionH relativeFrom="margin">
                    <wp:posOffset>-16510</wp:posOffset>
                  </wp:positionH>
                  <wp:positionV relativeFrom="margin">
                    <wp:posOffset>349250</wp:posOffset>
                  </wp:positionV>
                  <wp:extent cx="990600" cy="707390"/>
                  <wp:effectExtent l="0" t="0" r="0" b="16510"/>
                  <wp:wrapSquare wrapText="bothSides"/>
                  <wp:docPr id="176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90600" cy="707390"/>
                          </a:xfrm>
                          <a:prstGeom prst="rect">
                            <a:avLst/>
                          </a:prstGeom>
                          <a:noFill/>
                          <a:ln>
                            <a:noFill/>
                          </a:ln>
                        </pic:spPr>
                      </pic:pic>
                    </a:graphicData>
                  </a:graphic>
                </wp:anchor>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成人诊断床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600*1900*700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（3）五金配件：铰链采用品牌不锈钢静音缓冲铰链。轨道采用品牌侧装静音滚珠三节缓冲滑轨。金属三合一隐形连接件，经久耐用，金属表面耐腐蚀。镶嵌式铝合金扣手。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（5）钢架：柜体及柜腿采用热镀锌钢架结构，管壁大于2.0MM厚及以上，金属表面抑菌粉末静电喷涂，表面光滑无明显焊接点。（6）、加装防潮尼龙静音脚垫。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72820" cy="755015"/>
                  <wp:effectExtent l="0" t="0" r="17780" b="6985"/>
                  <wp:docPr id="17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72239" cy="754844"/>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医生诊断桌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1700*2000*1500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41</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（1）主材：采用E1级实木多层板，台面（台面为优质实木多层板、木皮面）及侧板为25mm厚,其余为柜体16mm厚。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（3）五金配件：铰链采用品牌不锈钢静音缓冲铰链。轨道采用品牌侧装静音滚珠三节缓冲滑轨。金属三合一隐形连接件，经久耐用，金属表面耐腐蚀。镶嵌式铝合金扣手。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桌背板及桌腿采用热镀锌钢架结构，管壁大于1.8MM厚以上，金属表面进口抑菌粉末静电喷涂，表面光滑无明显焊接点。背板采用1MM以上钢制冲孔钢板，钢架及背板采用防锈处理，金属表面进口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1390" cy="1327785"/>
                  <wp:effectExtent l="0" t="0" r="10160" b="5715"/>
                  <wp:docPr id="17601" name="图片 4" descr="微信图片_2019101502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 name="图片 4" descr="微信图片_201910150229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961210" cy="13269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医生座椅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高靠背中板网椅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4.气压棒：品牌气压棒，升降轻便灵活，螺旋机构的升降配合良好，气动升降平稳、无漏气、无燥音；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工艺说明：座背垫依据人体工学原理设计，坐感舒适,背架为尼龙材料注塑成型；扶手为尼龙扶手，地盘：采用一体式定位锁定，升降可调地盘。脚架：五星合金一体成型脚架。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3135" cy="1089025"/>
                  <wp:effectExtent l="0" t="0" r="18415" b="15875"/>
                  <wp:docPr id="17602" name="图片 5" descr="微信图片_2019101502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 name="图片 5" descr="微信图片_201910150229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55239" cy="109170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办公转椅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中靠背升降转椅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4.气压棒：知名品牌气压棒，升降轻便灵活，螺旋机构的升降配合良好，气动升降平稳、无漏气、无燥音；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工艺说明：座背垫依据人体工学原理设计，坐感舒适,背架为尼龙材料注塑成型；扶手为尼龙扶手，地盘：采用一体式定位锁定，升降可调地盘。脚架：五星合金一体成型脚架。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49960" cy="715010"/>
                  <wp:effectExtent l="0" t="0" r="2540" b="8890"/>
                  <wp:docPr id="17632" name="图片 5" descr="d08b8aede4f3b14f7ccd51aafdaff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 name="图片 5" descr="d08b8aede4f3b14f7ccd51aafdaff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957163" cy="72082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会议桌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2800*1200*750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（1）主材：采用优质E1级实木多层板，台面及侧板为25mm厚,其余为柜体16mm厚。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（2）封边：采用优质1.5MM厚以上PVC同色封边带，进口热熔胶，全自动封边机完成封边，色泽均匀一致，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（3）五金配件：优质金属三合一隐形连接件，经久耐用，金属表面耐腐蚀。铝合金一体式多功能线盒，具备走线电源安装功能。</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（4）钢架：桌背板及桌腿采用热镀锌钢架结构，管壁大于2.0MM厚及以上，金属表面抑菌粉末静电喷涂，表面光滑无明显焊接点。（5）、加装防潮尼龙静音脚垫。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66775" cy="1171575"/>
                  <wp:effectExtent l="0" t="0" r="9525" b="9525"/>
                  <wp:docPr id="17603" name="图片 7" descr="微信图片_2019101502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 name="图片 7" descr="微信图片_20191015023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66775" cy="117157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会议椅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1.面料：采用“颐达”网布和透气网布，色泽均匀不花，具有透气功能；经防潮、防污等工艺处理，使表面更加柔软耐污、耐磨、舒适、透气；色泽均匀不花；</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2.海绵：采用高密度成型PU阻燃泡棉，耐久不变形，回弹力强，五年以上使用不变形；允许轻微杂色、黄芯；不允许严重污染，无刺激性气味。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4.工艺说明：座背垫依据人体工学原理设计，坐感舒适,背架为尼龙材料注塑成型；扶手为尼龙扶手，椅架：采用弓形一体成型椅架（不可生锈），管壁厚度在1.8MM以上，表面防锈处理，采用静定喷粉工艺。</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9645" cy="946150"/>
                  <wp:effectExtent l="0" t="0" r="1905" b="6350"/>
                  <wp:docPr id="17631" name="图片 4" descr="91818c37886f6680e196566758eae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 name="图片 4" descr="91818c37886f6680e196566758eaec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73553" cy="94961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办公桌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1400*600*750</w:t>
            </w:r>
          </w:p>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（含木质主机托</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（1）主材：采用E1级实木多层板，台面（台面为优质实木多层板）及侧板为25mm厚,其余为柜体16mm厚。含木质主机托</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（3）五金配件：铰链采用知名品牌不锈钢静音缓冲铰链。轨道采用知名品牌侧装静音滚珠三节缓冲滑轨。优质金属三合一隐形连接件，经久耐用，金属表面耐腐蚀。镶嵌式铝合金扣手。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（4）钢架采用热镀锌钢架结构，管壁大于1.8MM厚以上，金属表面抑菌粉末静电喷涂，金属表面抑菌粉末静电喷涂。（5）加装防潮尼龙静音脚垫。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0595" cy="834390"/>
                  <wp:effectExtent l="0" t="0" r="1905" b="3810"/>
                  <wp:docPr id="17604" name="图片 9" descr="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4" name="图片 9" descr="5666"/>
                          <pic:cNvPicPr>
                            <a:picLocks noChangeAspect="1" noChangeArrowheads="1"/>
                          </pic:cNvPicPr>
                        </pic:nvPicPr>
                        <pic:blipFill>
                          <a:blip r:embed="rId17" cstate="print">
                            <a:extLst>
                              <a:ext uri="{28A0092B-C50C-407E-A947-70E740481C1C}">
                                <a14:useLocalDpi xmlns:a14="http://schemas.microsoft.com/office/drawing/2010/main" val="0"/>
                              </a:ext>
                            </a:extLst>
                          </a:blip>
                          <a:srcRect l="9465" t="10741" r="6732" b="4762"/>
                          <a:stretch>
                            <a:fillRect/>
                          </a:stretch>
                        </pic:blipFill>
                        <pic:spPr>
                          <a:xfrm>
                            <a:off x="0" y="0"/>
                            <a:ext cx="953247" cy="83670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儿童推拿床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600*1500*700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1，推拿床采用钢架结构，钢架尺寸不小于60*50MM大小，钢架采用热镀锌钢架结构，管壁大于1.8MM厚以上，金属表面抑菌粉末静电喷涂，金属表面抑菌粉末静电喷涂，表面光滑无明显焊接点。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3，抽屉采用优质E1级实木多层板，厚度大于15MM厚，采用优质2.0MM厚及以上PVC同色封边带，热熔胶全自动封边机完成封边，色泽均匀一致， 耐污、耐磨，在不同地区气温、湿度的变化中不受影响，能长期不变形、不开裂。五金配件：铰链采用知名品牌不锈钢静音缓冲铰链。轨道采用知名品牌侧装静音滚珠三节缓冲滑轨。优质金属三合一隐形连接件，经久耐用，金属表面耐腐蚀。镶嵌式铝合金扣手。4、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1078230" cy="699135"/>
                  <wp:effectExtent l="0" t="0" r="7620" b="5715"/>
                  <wp:docPr id="17626" name="图片 32" descr="3422ba06c050fdfaf2e3b3bf059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 name="图片 32" descr="3422ba06c050fdfaf2e3b3bf05901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80319" cy="70092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病人座椅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138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 模具一次成型PP座面和靠背板，椅架采用实心钢筋（直径大于8MM钢）一体成型，表面防锈处理，电镀工艺。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5、椅架底脚处有保护地面的有效防护措施（加装防潮静音脚垫）。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6"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50265" cy="1071880"/>
                  <wp:effectExtent l="0" t="0" r="6985" b="13970"/>
                  <wp:docPr id="17605" name="图片 11" descr="360截图178912288711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 name="图片 11" descr="360截图1789122887117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850790" cy="107235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升降操作椅</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32</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1，椅面：采用西皮与定型海绵一体成型座面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2，椅板：采用生态夹板，符合国际E1级标准,经防潮、防虫、防腐处理，抗弯力强，不易变形。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3，气压棒：品牌气压棒，升降轻便灵活，螺旋机构的升降配合良好，气动升降平稳、无漏气、无燥音；</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地盘：采用金属成型，表面电镀工艺，升降可调。脚架：五星金属一体成型脚架，表面电镀工艺。脚轮：采用优质PP（聚丙烯）多元素复合材质一体成型，无裂口，滑动时无杂音，可有效防止刮伤地板及降低噪音；</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680085" cy="1148080"/>
                  <wp:effectExtent l="0" t="0" r="5715" b="13970"/>
                  <wp:docPr id="17606" name="图片 12" descr="360截图1843070870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 name="图片 12" descr="360截图1843070870100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80085" cy="11480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不锈钢货架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1200*400*2000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1、材质：隔板采用304#不锈钢制作表面拉丝压模；管材厚度不低于1.8mm厚，框架采用40*40方管，厚度不低于1.5mm厚；所有边角均为圆弧，边缘打磨抛光，为整体焊接；在接触人体或收藏物品的部位无毛刺；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 xml:space="preserve">2、配置：五层固定或可调节层板，塑料胶套，避免损伤地面.   </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3775" cy="897890"/>
                  <wp:effectExtent l="0" t="0" r="15875" b="16510"/>
                  <wp:docPr id="17607" name="图片 13" descr="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 name="图片 13" descr="5666"/>
                          <pic:cNvPicPr>
                            <a:picLocks noChangeAspect="1" noChangeArrowheads="1"/>
                          </pic:cNvPicPr>
                        </pic:nvPicPr>
                        <pic:blipFill>
                          <a:blip r:embed="rId21" cstate="print">
                            <a:extLst>
                              <a:ext uri="{28A0092B-C50C-407E-A947-70E740481C1C}">
                                <a14:useLocalDpi xmlns:a14="http://schemas.microsoft.com/office/drawing/2010/main" val="0"/>
                              </a:ext>
                            </a:extLst>
                          </a:blip>
                          <a:srcRect l="9465" t="10741" r="6732" b="4762"/>
                          <a:stretch>
                            <a:fillRect/>
                          </a:stretch>
                        </pic:blipFill>
                        <pic:spPr>
                          <a:xfrm>
                            <a:off x="0" y="0"/>
                            <a:ext cx="997253" cy="90151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成人推拿床</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800*1900*700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1、推拿床采用钢架结构，钢架尺寸不小于50*50MM大小，管壁厚度大于2.0MM厚及以上，钢架热镀锌钢架结构，金属表面进口抑菌粉末静电喷涂，表面光滑无明显焊接点。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2、软包垫：采用优质环保西皮，环保定型海绵，透气好，不易变形。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3、抽屉采用优质E1级实木颗粒板，厚度大于15MM厚，采用优质1.5MM厚以上PVC同色封边带，进口热熔胶，全自动封边机完成封边，色泽均匀一致， 耐污、耐磨，在不同地区气温、湿度的变化中不受影响，能长期不变形、不开裂。五金配件：铰链采用知名品牌不锈钢静音缓冲铰链。轨道采用知名品牌侧装静音滚珠三节缓冲滑轨。优质金属三合一隐形连接件，经久耐用，金属表面耐腐蚀。镶嵌式铝合金扣手。4、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1001395" cy="763270"/>
                  <wp:effectExtent l="0" t="0" r="8255" b="17780"/>
                  <wp:docPr id="17608" name="图片 14"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 name="图片 14" descr="360截图179603276210467"/>
                          <pic:cNvPicPr>
                            <a:picLocks noChangeAspect="1" noChangeArrowheads="1"/>
                          </pic:cNvPicPr>
                        </pic:nvPicPr>
                        <pic:blipFill>
                          <a:blip r:embed="rId22" cstate="print">
                            <a:extLst>
                              <a:ext uri="{28A0092B-C50C-407E-A947-70E740481C1C}">
                                <a14:useLocalDpi xmlns:a14="http://schemas.microsoft.com/office/drawing/2010/main" val="0"/>
                              </a:ext>
                            </a:extLst>
                          </a:blip>
                          <a:srcRect b="7645"/>
                          <a:stretch>
                            <a:fillRect/>
                          </a:stretch>
                        </pic:blipFill>
                        <pic:spPr>
                          <a:xfrm>
                            <a:off x="0" y="0"/>
                            <a:ext cx="998161" cy="76083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吊柜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定制XXXX*350*550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45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1.2mm厚电解钢板，防潮防水，经久耐用；台面、上翻沿、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2.0MM厚及以上，柜体底部采用大于1.0mm的SUS304#拉丝不锈钢踢脚线，比柜体前端面缩进尺寸为20mm，高150mm；所有玻璃均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大于1MM厚304不锈钢U型拉手/暗藏式拉手/一字折弯拉手、品牌缓冲阻尼铰链、知名品牌静音滚珠三节导轨、标签卡槽、上柜下柜内、柜子中部各一件活动层板,中部层板高度可任意调节，带304不锈钢台下手工盆+理化板挡水板，实现干湿分离，配高档感应水龙头；</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8"/>
                <w:szCs w:val="22"/>
                <w:highlight w:val="none"/>
              </w:rPr>
            </w:pPr>
            <w:r>
              <w:rPr>
                <w:rFonts w:hint="eastAsia"/>
                <w:color w:val="auto"/>
                <w:sz w:val="18"/>
                <w:szCs w:val="22"/>
                <w:highlight w:val="none"/>
              </w:rPr>
              <w:t>东区妇女保健部39米（13组），产科换药室3米，妇科换药室3米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3140" cy="953770"/>
                  <wp:effectExtent l="0" t="0" r="16510" b="17780"/>
                  <wp:docPr id="17609" name="图片 15"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 name="图片 15" descr="360截图179603276210467"/>
                          <pic:cNvPicPr>
                            <a:picLocks noChangeAspect="1" noChangeArrowheads="1"/>
                          </pic:cNvPicPr>
                        </pic:nvPicPr>
                        <pic:blipFill>
                          <a:blip r:embed="rId23" cstate="print">
                            <a:extLst>
                              <a:ext uri="{28A0092B-C50C-407E-A947-70E740481C1C}">
                                <a14:useLocalDpi xmlns:a14="http://schemas.microsoft.com/office/drawing/2010/main" val="0"/>
                              </a:ext>
                            </a:extLst>
                          </a:blip>
                          <a:srcRect b="7645"/>
                          <a:stretch>
                            <a:fillRect/>
                          </a:stretch>
                        </pic:blipFill>
                        <pic:spPr>
                          <a:xfrm>
                            <a:off x="0" y="0"/>
                            <a:ext cx="995362" cy="956164"/>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1.0mm厚电解钢板，防潮防水，经久耐用；每套台面有上翻沿10CM、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玻璃具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国内知名品牌优质大于1MM后304不锈钢U型拉手/暗藏式拉手/一字折弯拉手、知名品牌缓冲阻尼铰链、知名品牌静音滚珠三节导轨、标签卡槽、上柜下柜内、柜子中部各一件活动层板,中部层板高度可任意调节，带304不锈钢台下手工水盆+理化板挡水板，实现干湿分离，含</w:t>
            </w:r>
            <w:r>
              <w:rPr>
                <w:rFonts w:ascii="宋体" w:hAnsi="宋体" w:cs="宋体"/>
                <w:bCs/>
                <w:color w:val="auto"/>
                <w:sz w:val="20"/>
                <w:szCs w:val="20"/>
                <w:highlight w:val="none"/>
              </w:rPr>
              <w:t>1</w:t>
            </w:r>
            <w:r>
              <w:rPr>
                <w:rFonts w:hint="eastAsia" w:ascii="宋体" w:hAnsi="宋体" w:cs="宋体"/>
                <w:bCs/>
                <w:color w:val="auto"/>
                <w:sz w:val="20"/>
                <w:szCs w:val="20"/>
                <w:highlight w:val="none"/>
              </w:rPr>
              <w:t>0个垃圾分类柜装置、5套感应式不锈钢水龙头和不锈钢水盆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面板敷贴木皮。</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18"/>
                <w:szCs w:val="22"/>
                <w:highlight w:val="none"/>
              </w:rPr>
              <w:t>东区妇女保健部5组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90600" cy="1033145"/>
                  <wp:effectExtent l="0" t="0" r="0" b="14605"/>
                  <wp:docPr id="17610" name="图片 16"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 name="图片 16" descr="360截图179603276210467"/>
                          <pic:cNvPicPr>
                            <a:picLocks noChangeAspect="1" noChangeArrowheads="1"/>
                          </pic:cNvPicPr>
                        </pic:nvPicPr>
                        <pic:blipFill>
                          <a:blip r:embed="rId24" cstate="print">
                            <a:extLst>
                              <a:ext uri="{28A0092B-C50C-407E-A947-70E740481C1C}">
                                <a14:useLocalDpi xmlns:a14="http://schemas.microsoft.com/office/drawing/2010/main" val="0"/>
                              </a:ext>
                            </a:extLst>
                          </a:blip>
                          <a:srcRect b="7645"/>
                          <a:stretch>
                            <a:fillRect/>
                          </a:stretch>
                        </pic:blipFill>
                        <pic:spPr>
                          <a:xfrm>
                            <a:off x="0" y="0"/>
                            <a:ext cx="991219" cy="103430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治疗台+吊柜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定制XXXX*350*550和XXX*600*800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1.2mm厚电解钢板，防潮防水，经久耐用；台面、上翻沿、饰板采用大于15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治疗台配置3-6个抽屉，柜体有1-2个活动隔板；所有玻璃均为安全玻璃。</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采用大于1MM后304不锈钢U型拉手/暗藏式拉手/一字折弯拉手、知名品牌缓冲阻尼铰链、知名品牌静音滚珠三节导轨、标签卡槽、上柜下柜内、柜子中部各一件活动层板,中部层板高度可任意调节，带304不锈钢台下人工水盆+理化板挡水板，实现干湿分离，配高档感应水龙头；含12个垃圾分类柜装置、6套感应式不锈钢水龙头和不锈钢水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。⑥抗老化：调制(23±2)℃，(50±5)％，48h。老化(45±5)℃，（65~90）%,72h，无开裂。5、加装防潮尼龙静音脚垫。</w:t>
            </w:r>
          </w:p>
        </w:tc>
        <w:tc>
          <w:tcPr>
            <w:tcW w:w="992" w:type="dxa"/>
            <w:vAlign w:val="center"/>
          </w:tcPr>
          <w:p>
            <w:pPr>
              <w:jc w:val="center"/>
              <w:rPr>
                <w:color w:val="auto"/>
                <w:sz w:val="15"/>
                <w:szCs w:val="22"/>
                <w:highlight w:val="none"/>
              </w:rPr>
            </w:pPr>
            <w:r>
              <w:rPr>
                <w:rFonts w:hint="eastAsia"/>
                <w:color w:val="auto"/>
                <w:sz w:val="20"/>
                <w:szCs w:val="22"/>
                <w:highlight w:val="none"/>
              </w:rPr>
              <w:t>贴敷室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41705" cy="723265"/>
                  <wp:effectExtent l="0" t="0" r="10795" b="635"/>
                  <wp:docPr id="17611" name="图片 17" descr="360截图17411027941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 name="图片 17" descr="360截图17411027941421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41604" cy="72335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儿童教学桌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1200*600*600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采用热镀锌钢架结构主架，1.5mm厚度静电喷涂冷轧钢，面采用优质Pu磨具压制成型，加装防潮尼龙静音脚垫。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74725" cy="755015"/>
                  <wp:effectExtent l="0" t="0" r="15875" b="6985"/>
                  <wp:docPr id="17612" name="图片 18" descr="360截图174110279414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 name="图片 18" descr="360截图1741102794142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75972" cy="75621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儿童座椅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工程塑料低拷贝椅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主架采用1.2mm厚度静电喷涂冷轧钢，座/背采用优质Pu磨具压制成型，经久耐用</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19</w:t>
            </w:r>
          </w:p>
        </w:tc>
        <w:tc>
          <w:tcPr>
            <w:tcW w:w="1701" w:type="dxa"/>
            <w:vAlign w:val="center"/>
          </w:tcPr>
          <w:p>
            <w:pPr>
              <w:jc w:val="center"/>
              <w:rPr>
                <w:color w:val="auto"/>
                <w:sz w:val="15"/>
                <w:szCs w:val="22"/>
                <w:highlight w:val="none"/>
              </w:rPr>
            </w:pPr>
            <w:r>
              <w:rPr>
                <w:rFonts w:hint="eastAsia"/>
                <w:color w:val="auto"/>
                <w:sz w:val="15"/>
                <w:szCs w:val="22"/>
                <w:highlight w:val="none"/>
              </w:rPr>
              <w:drawing>
                <wp:inline distT="0" distB="0" distL="0" distR="0">
                  <wp:extent cx="942975" cy="962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2975" cy="961733"/>
                          </a:xfrm>
                          <a:prstGeom prst="rect">
                            <a:avLst/>
                          </a:prstGeom>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收费办公桌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1700*600*750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（1）主材：采用E1级实木多层板，台面（台面为优质实木多层板、木皮面）及侧板为25mm厚,其余为柜体16mm厚。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采用知名品牌不锈钢静音缓冲铰链。轨道采用知名品牌侧装静音滚珠三节缓冲滑轨。优质金属三合一隐形连接件，经久耐用，金属表面耐腐蚀。镶嵌式铝合金扣手。抽屉含锁具。（4）、钢架：采用热镀锌钢架结构，管壁大于1.8MM厚以上，金属表面抑菌粉末静电喷涂，表面光滑无明显焊接点。（5）、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88695" cy="731520"/>
                  <wp:effectExtent l="0" t="0" r="1905" b="11430"/>
                  <wp:docPr id="17614" name="图片 20" descr="360截图187705258412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 name="图片 20" descr="360截图187705258412410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90849" cy="73311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候诊椅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三人位</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扶手、脚：采用铝合金模具成型，打磨抛光，表面静电喷粉处理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背板：一体PU模具成型，表面防滑，耐污渍，耐磨，易清洁等优点，坐感舒适。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横梁：承重梁采用直径大于60mm、厚度不低于2.5mm方形钢管钻孔加工成型，除油除锈后表面静电喷粉处理。</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06145" cy="937895"/>
                  <wp:effectExtent l="0" t="0" r="8255" b="14605"/>
                  <wp:docPr id="17615" name="图片 2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 name="图片 21" descr="图片3"/>
                          <pic:cNvPicPr>
                            <a:picLocks noChangeAspect="1" noChangeArrowheads="1"/>
                          </pic:cNvPicPr>
                        </pic:nvPicPr>
                        <pic:blipFill>
                          <a:blip r:embed="rId29" cstate="print">
                            <a:extLst>
                              <a:ext uri="{28A0092B-C50C-407E-A947-70E740481C1C}">
                                <a14:useLocalDpi xmlns:a14="http://schemas.microsoft.com/office/drawing/2010/main" val="0"/>
                              </a:ext>
                            </a:extLst>
                          </a:blip>
                          <a:srcRect r="74271" b="56683"/>
                          <a:stretch>
                            <a:fillRect/>
                          </a:stretch>
                        </pic:blipFill>
                        <pic:spPr>
                          <a:xfrm>
                            <a:off x="0" y="0"/>
                            <a:ext cx="908610" cy="94049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可躺沙发</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　</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实木框架，定型海绵（不可变形），优质进口PU面料（色调安装前待定），经久不变形，能做能躺，趟角度可调，座感舒适，</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62025" cy="1247775"/>
                  <wp:effectExtent l="0" t="0" r="9525" b="9525"/>
                  <wp:docPr id="17616" name="图片 22" descr="360截图1794061610613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 name="图片 22" descr="360截图179406161061301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67085" cy="1254813"/>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折叠培训桌</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1200*600*750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6</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张</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（1）主材：采用E1级实木多层板台面为25mm板材,其余为柜体16mm板材，甲醛释放含量≦0.059mg/m³，符合GB/T15102-2006《浸渍胶膜纸饰面人造板》</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（2）封边：采用1.5MM厚以上PVC同色封边带，全自动封边机完成封边，色泽均匀一致， 耐污、耐磨。符合GB/T13010-2006《刨切单板》QB/T4463-2013《家具用封边条技术要求》甲醛释放含量≦0.1mg/L。进口热熔胶，经自动调温热压机使板材粘连无丝无缝，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（3）五金配件：线盒采用优质铝合金模具成型多功能线盒，优质金属三合一隐形连接件，经久耐用，金属表面耐腐蚀，镀层本身耐腐蚀等9级，镀层对基体的保护等级10级。镶嵌式铝合金扣手。</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（4）钢架：采用热镀锌钢架结构，管壁大于1.5MM厚以上，金属表面抑菌粉末静电喷涂，表面光滑无明显焊接点。</w:t>
            </w:r>
          </w:p>
        </w:tc>
        <w:tc>
          <w:tcPr>
            <w:tcW w:w="992" w:type="dxa"/>
            <w:vAlign w:val="center"/>
          </w:tcPr>
          <w:p>
            <w:pPr>
              <w:jc w:val="center"/>
              <w:rPr>
                <w:color w:val="auto"/>
                <w:sz w:val="15"/>
                <w:szCs w:val="22"/>
                <w:highlight w:val="none"/>
              </w:rPr>
            </w:pPr>
            <w:r>
              <w:rPr>
                <w:rFonts w:hint="eastAsia"/>
                <w:color w:val="auto"/>
                <w:sz w:val="15"/>
                <w:szCs w:val="22"/>
                <w:highlight w:val="none"/>
              </w:rPr>
              <w:t>孕妇学校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23</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816610" cy="1041400"/>
                  <wp:effectExtent l="0" t="0" r="2540" b="6350"/>
                  <wp:docPr id="17617" name="图片 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 name="图片 23" descr="图片2"/>
                          <pic:cNvPicPr>
                            <a:picLocks noChangeAspect="1" noChangeArrowheads="1"/>
                          </pic:cNvPicPr>
                        </pic:nvPicPr>
                        <pic:blipFill>
                          <a:blip r:embed="rId31" cstate="print">
                            <a:extLst>
                              <a:ext uri="{28A0092B-C50C-407E-A947-70E740481C1C}">
                                <a14:useLocalDpi xmlns:a14="http://schemas.microsoft.com/office/drawing/2010/main" val="0"/>
                              </a:ext>
                            </a:extLst>
                          </a:blip>
                          <a:srcRect l="2348" t="49228" r="55582" b="3159"/>
                          <a:stretch>
                            <a:fillRect/>
                          </a:stretch>
                        </pic:blipFill>
                        <pic:spPr>
                          <a:xfrm>
                            <a:off x="0" y="0"/>
                            <a:ext cx="819394" cy="104514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培训椅</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折叠培训椅</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24</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把</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 模具一次成型PP座面和靠背板，软包坐垫，定型海绵填充，椅架采用实心钢筋（直径大于8MM）一体成型，表面防锈处理，静电喷粉工艺。</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2、椅架底脚处有保护地面的有效防护措施（加装防潮静音脚垫）。</w:t>
            </w:r>
          </w:p>
        </w:tc>
        <w:tc>
          <w:tcPr>
            <w:tcW w:w="992" w:type="dxa"/>
            <w:vAlign w:val="center"/>
          </w:tcPr>
          <w:p>
            <w:pPr>
              <w:jc w:val="center"/>
              <w:rPr>
                <w:color w:val="auto"/>
                <w:sz w:val="15"/>
                <w:szCs w:val="22"/>
                <w:highlight w:val="none"/>
              </w:rPr>
            </w:pPr>
            <w:r>
              <w:rPr>
                <w:rFonts w:hint="eastAsia"/>
                <w:color w:val="auto"/>
                <w:sz w:val="15"/>
                <w:szCs w:val="22"/>
                <w:highlight w:val="none"/>
              </w:rPr>
              <w:t>孕妇学校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24</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6625" cy="850265"/>
                  <wp:effectExtent l="0" t="0" r="15875" b="6985"/>
                  <wp:docPr id="17618" name="图片 24" descr="微信图片_2019101515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 name="图片 24" descr="微信图片_20191015150358"/>
                          <pic:cNvPicPr>
                            <a:picLocks noChangeAspect="1" noChangeArrowheads="1"/>
                          </pic:cNvPicPr>
                        </pic:nvPicPr>
                        <pic:blipFill>
                          <a:blip r:embed="rId32" cstate="print">
                            <a:extLst>
                              <a:ext uri="{28A0092B-C50C-407E-A947-70E740481C1C}">
                                <a14:useLocalDpi xmlns:a14="http://schemas.microsoft.com/office/drawing/2010/main" val="0"/>
                              </a:ext>
                            </a:extLst>
                          </a:blip>
                          <a:srcRect l="23453" t="55547" r="21979" b="12186"/>
                          <a:stretch>
                            <a:fillRect/>
                          </a:stretch>
                        </pic:blipFill>
                        <pic:spPr>
                          <a:xfrm>
                            <a:off x="0" y="0"/>
                            <a:ext cx="939056" cy="852780"/>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换鞋凳</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1200*400*450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7</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（1）主材：采用E1级实木多层板，台面及侧板为25mm厚,其余为柜体16mm厚。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（3）五金配件：金属三合一隐形连接件，经久耐用，金属表面耐腐蚀。底部配可调节金属地脚。304不锈钢脚骨架，可调节地脚高度。加装防潮尼龙静音脚垫。</w:t>
            </w:r>
          </w:p>
          <w:p>
            <w:pPr>
              <w:rPr>
                <w:rFonts w:ascii="宋体" w:hAnsi="宋体" w:cs="宋体"/>
                <w:bCs/>
                <w:color w:val="auto"/>
                <w:sz w:val="20"/>
                <w:szCs w:val="20"/>
                <w:highlight w:val="none"/>
              </w:rPr>
            </w:pPr>
            <w:r>
              <w:rPr>
                <w:rFonts w:hint="eastAsia" w:ascii="宋体" w:hAnsi="宋体" w:cs="宋体"/>
                <w:bCs/>
                <w:color w:val="auto"/>
                <w:sz w:val="20"/>
                <w:szCs w:val="20"/>
                <w:highlight w:val="none"/>
              </w:rPr>
              <w:t>（4）软包垫：采用优质环保西皮，环保定型海绵，透气好，不易变形。</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25</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7895" cy="707390"/>
                  <wp:effectExtent l="0" t="0" r="14605" b="16510"/>
                  <wp:docPr id="17619" name="图片 25" descr="79590210a6cb9b3b8bfff3d8fb39b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 name="图片 25" descr="79590210a6cb9b3b8bfff3d8fb39bd3"/>
                          <pic:cNvPicPr>
                            <a:picLocks noChangeAspect="1" noChangeArrowheads="1"/>
                          </pic:cNvPicPr>
                        </pic:nvPicPr>
                        <pic:blipFill>
                          <a:blip r:embed="rId33" cstate="print">
                            <a:extLst>
                              <a:ext uri="{28A0092B-C50C-407E-A947-70E740481C1C}">
                                <a14:useLocalDpi xmlns:a14="http://schemas.microsoft.com/office/drawing/2010/main" val="0"/>
                              </a:ext>
                            </a:extLst>
                          </a:blip>
                          <a:srcRect t="12177"/>
                          <a:stretch>
                            <a:fillRect/>
                          </a:stretch>
                        </pic:blipFill>
                        <pic:spPr>
                          <a:xfrm>
                            <a:off x="0" y="0"/>
                            <a:ext cx="938935" cy="70822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孕校柜子</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1200*400*2000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（1）主材：采用E1级实木颗粒板，台面及侧板为25mm厚,其余为柜体16mm厚。</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（2）、面层：品牌烤漆面。</w:t>
            </w:r>
          </w:p>
          <w:p>
            <w:pPr>
              <w:rPr>
                <w:rFonts w:ascii="宋体" w:hAnsi="宋体" w:cs="宋体"/>
                <w:bCs/>
                <w:color w:val="auto"/>
                <w:sz w:val="20"/>
                <w:szCs w:val="20"/>
                <w:highlight w:val="none"/>
              </w:rPr>
            </w:pPr>
            <w:r>
              <w:rPr>
                <w:rFonts w:hint="eastAsia" w:ascii="宋体" w:hAnsi="宋体" w:cs="宋体"/>
                <w:bCs/>
                <w:color w:val="auto"/>
                <w:sz w:val="20"/>
                <w:szCs w:val="20"/>
                <w:highlight w:val="none"/>
              </w:rPr>
              <w:t>（3）五金配件：铰链品牌不锈钢静音缓冲铰链。轨道品牌侧装静音滚珠三节缓冲滑轨。金属三合一隐形连接件，金属表面耐腐蚀。镶嵌式铝合金扣手。</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26</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739140" cy="1125855"/>
                  <wp:effectExtent l="0" t="0" r="3810" b="17145"/>
                  <wp:docPr id="17620" name="图片 26" descr="360截图17891229907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 name="图片 26" descr="360截图1789122990781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739621" cy="1126631"/>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三门（位）更衣柜</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1200*600*1</w:t>
            </w:r>
            <w:r>
              <w:rPr>
                <w:rFonts w:hint="eastAsia" w:ascii="宋体" w:hAnsi="宋体" w:cs="宋体"/>
                <w:bCs/>
                <w:color w:val="auto"/>
                <w:sz w:val="20"/>
                <w:szCs w:val="20"/>
                <w:highlight w:val="none"/>
                <w:lang w:val="en-US" w:eastAsia="zh-CN"/>
              </w:rPr>
              <w:t>9</w:t>
            </w:r>
            <w:r>
              <w:rPr>
                <w:rFonts w:hint="eastAsia" w:ascii="宋体" w:hAnsi="宋体" w:cs="宋体"/>
                <w:bCs/>
                <w:color w:val="auto"/>
                <w:sz w:val="20"/>
                <w:szCs w:val="20"/>
                <w:highlight w:val="none"/>
              </w:rPr>
              <w:t>50</w:t>
            </w:r>
          </w:p>
        </w:tc>
        <w:tc>
          <w:tcPr>
            <w:tcW w:w="709" w:type="dxa"/>
            <w:vAlign w:val="center"/>
          </w:tcPr>
          <w:p>
            <w:pPr>
              <w:jc w:val="center"/>
              <w:rPr>
                <w:rFonts w:hint="default" w:ascii="宋体" w:hAnsi="宋体" w:eastAsia="宋体" w:cs="宋体"/>
                <w:bCs/>
                <w:color w:val="000000" w:themeColor="text1"/>
                <w:sz w:val="20"/>
                <w:szCs w:val="20"/>
                <w:highlight w:val="none"/>
                <w:lang w:val="en-US" w:eastAsia="zh-CN"/>
                <w14:textFill>
                  <w14:solidFill>
                    <w14:schemeClr w14:val="tx1"/>
                  </w14:solidFill>
                </w14:textFill>
              </w:rPr>
            </w:pPr>
            <w:r>
              <w:rPr>
                <w:rFonts w:hint="eastAsia" w:ascii="宋体" w:hAnsi="宋体" w:cs="宋体"/>
                <w:bCs/>
                <w:color w:val="000000" w:themeColor="text1"/>
                <w:sz w:val="20"/>
                <w:szCs w:val="20"/>
                <w:highlight w:val="none"/>
                <w:lang w:val="en-US" w:eastAsia="zh-CN"/>
                <w14:textFill>
                  <w14:solidFill>
                    <w14:schemeClr w14:val="tx1"/>
                  </w14:solidFill>
                </w14:textFill>
              </w:rPr>
              <w:t>86</w:t>
            </w:r>
          </w:p>
        </w:tc>
        <w:tc>
          <w:tcPr>
            <w:tcW w:w="425" w:type="dxa"/>
            <w:vAlign w:val="center"/>
          </w:tcPr>
          <w:p>
            <w:pPr>
              <w:jc w:val="center"/>
              <w:rPr>
                <w:rFonts w:hint="eastAsia" w:ascii="宋体" w:hAnsi="宋体" w:eastAsia="宋体" w:cs="宋体"/>
                <w:bCs/>
                <w:color w:val="000000" w:themeColor="text1"/>
                <w:sz w:val="20"/>
                <w:szCs w:val="20"/>
                <w:highlight w:val="none"/>
                <w:lang w:eastAsia="zh-CN"/>
                <w14:textFill>
                  <w14:solidFill>
                    <w14:schemeClr w14:val="tx1"/>
                  </w14:solidFill>
                </w14:textFill>
              </w:rPr>
            </w:pPr>
            <w:r>
              <w:rPr>
                <w:rFonts w:hint="eastAsia" w:ascii="宋体" w:hAnsi="宋体" w:cs="宋体"/>
                <w:bCs/>
                <w:color w:val="000000" w:themeColor="text1"/>
                <w:sz w:val="20"/>
                <w:szCs w:val="20"/>
                <w:highlight w:val="none"/>
                <w:lang w:val="en-US" w:eastAsia="zh-CN"/>
                <w14:textFill>
                  <w14:solidFill>
                    <w14:schemeClr w14:val="tx1"/>
                  </w14:solidFill>
                </w14:textFill>
              </w:rPr>
              <w:t>套</w:t>
            </w:r>
          </w:p>
        </w:tc>
        <w:tc>
          <w:tcPr>
            <w:tcW w:w="7938" w:type="dxa"/>
            <w:vAlign w:val="center"/>
          </w:tcPr>
          <w:p>
            <w:pPr>
              <w:rPr>
                <w:rFonts w:ascii="宋体" w:hAnsi="宋体" w:cs="宋体"/>
                <w:bCs/>
                <w:color w:val="000000" w:themeColor="text1"/>
                <w:sz w:val="20"/>
                <w:szCs w:val="20"/>
                <w:highlight w:val="none"/>
                <w14:textFill>
                  <w14:solidFill>
                    <w14:schemeClr w14:val="tx1"/>
                  </w14:solidFill>
                </w14:textFill>
              </w:rPr>
            </w:pPr>
            <w:r>
              <w:rPr>
                <w:rFonts w:hint="eastAsia" w:ascii="宋体" w:hAnsi="宋体" w:cs="宋体"/>
                <w:bCs/>
                <w:color w:val="000000" w:themeColor="text1"/>
                <w:sz w:val="20"/>
                <w:szCs w:val="20"/>
                <w:highlight w:val="none"/>
                <w14:textFill>
                  <w14:solidFill>
                    <w14:schemeClr w14:val="tx1"/>
                  </w14:solidFill>
                </w14:textFill>
              </w:rPr>
              <w:t>1、材质：柜体及柜门采用大于1.5mm厚一级优质电解钢板，经过防锈处理，金属表面抑菌粉末静电喷涂，表面光滑无焊接点</w:t>
            </w:r>
          </w:p>
          <w:p>
            <w:pPr>
              <w:rPr>
                <w:rFonts w:ascii="宋体" w:hAnsi="宋体" w:cs="宋体"/>
                <w:bCs/>
                <w:color w:val="000000" w:themeColor="text1"/>
                <w:sz w:val="20"/>
                <w:szCs w:val="20"/>
                <w:highlight w:val="none"/>
                <w14:textFill>
                  <w14:solidFill>
                    <w14:schemeClr w14:val="tx1"/>
                  </w14:solidFill>
                </w14:textFill>
              </w:rPr>
            </w:pPr>
            <w:r>
              <w:rPr>
                <w:rFonts w:hint="eastAsia" w:ascii="宋体" w:hAnsi="宋体" w:cs="宋体"/>
                <w:bCs/>
                <w:color w:val="000000" w:themeColor="text1"/>
                <w:sz w:val="20"/>
                <w:szCs w:val="20"/>
                <w:highlight w:val="none"/>
                <w14:textFill>
                  <w14:solidFill>
                    <w14:schemeClr w14:val="tx1"/>
                  </w14:solidFill>
                </w14:textFill>
              </w:rPr>
              <w:t>2、配件：钢制U型暗藏式拉手、罗兰门铰、品牌金属锁具、含二层活动层板，配挂衣通，标签卡槽、有透气孔；3、柜腿高度为10-18MM采用热镀锌钢架结构，管壁大于2.0MM厚以上，表面光滑无明显焊接点，踢脚线离地5MM，材质同柜体要求。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27</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85520" cy="739140"/>
                  <wp:effectExtent l="0" t="0" r="5080" b="3810"/>
                  <wp:docPr id="17621" name="图片 27"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 name="图片 27" descr="图片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84906" cy="738887"/>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VIP接待沙发</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8</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位</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人体接触部分为环保布艺饰面且容易清洗；外包质地柔软，内部密度为大于15KG/m³高回弹切割泡棉；沙发内部框</w:t>
            </w:r>
          </w:p>
          <w:p>
            <w:pPr>
              <w:rPr>
                <w:rFonts w:ascii="宋体" w:hAnsi="宋体" w:cs="宋体"/>
                <w:bCs/>
                <w:color w:val="auto"/>
                <w:sz w:val="20"/>
                <w:szCs w:val="20"/>
                <w:highlight w:val="none"/>
              </w:rPr>
            </w:pPr>
            <w:r>
              <w:rPr>
                <w:rFonts w:hint="eastAsia" w:ascii="宋体" w:hAnsi="宋体" w:cs="宋体"/>
                <w:bCs/>
                <w:color w:val="auto"/>
                <w:sz w:val="20"/>
                <w:szCs w:val="20"/>
                <w:highlight w:val="none"/>
              </w:rPr>
              <w:t>架用去木皮硬性实木框架，防腐及强度要求高；直线条结合边缘微倒圆，方形实木脚，大宝木器漆、五底三面烤漆工艺，颜色与配套茶几一致；</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28</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22655" cy="603885"/>
                  <wp:effectExtent l="0" t="0" r="10795" b="5715"/>
                  <wp:docPr id="17622" name="图片 28"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 name="图片 28" descr="图片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25918" cy="60605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茶几</w:t>
            </w:r>
          </w:p>
        </w:tc>
        <w:tc>
          <w:tcPr>
            <w:tcW w:w="992" w:type="dxa"/>
            <w:vAlign w:val="center"/>
          </w:tcPr>
          <w:p>
            <w:pPr>
              <w:jc w:val="center"/>
              <w:rPr>
                <w:rFonts w:ascii="宋体" w:hAnsi="宋体" w:cs="宋体"/>
                <w:bCs/>
                <w:color w:val="auto"/>
                <w:sz w:val="20"/>
                <w:szCs w:val="20"/>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5</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个</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全橡木结构，表面采用大宝木器漆、五底三面烤漆工艺，颜色与配套沙发框架一致；</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29</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4085" cy="969645"/>
                  <wp:effectExtent l="0" t="0" r="18415" b="1905"/>
                  <wp:docPr id="176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 name="图片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35395" cy="970826"/>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西药货架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900*500*1800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1、材质：立柱为不低于2.5mm厚金属模具成型管材，层板为不低于2.0mm厚一级优质电解钢板；经过防锈处理，采用无菌粉末静电喷涂工艺，表面光滑无明显焊接点。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2、配置：可根据物品存放的需要调节层板高度；隔板前端设置标签卡。3.柜腿底加装防潮尼龙静音脚垫。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99"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30</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740410" cy="822325"/>
                  <wp:effectExtent l="0" t="0" r="2540" b="15875"/>
                  <wp:docPr id="17624" name="图片 30" descr="360截图172905068012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 name="图片 30" descr="360截图1729050680126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40410" cy="822325"/>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被服货架</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1500*500*1800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组</w:t>
            </w:r>
          </w:p>
        </w:tc>
        <w:tc>
          <w:tcPr>
            <w:tcW w:w="7938" w:type="dxa"/>
            <w:vAlign w:val="center"/>
          </w:tcPr>
          <w:p>
            <w:pPr>
              <w:rPr>
                <w:rFonts w:ascii="宋体" w:hAnsi="宋体" w:cs="宋体"/>
                <w:bCs/>
                <w:color w:val="auto"/>
                <w:sz w:val="20"/>
                <w:szCs w:val="20"/>
                <w:highlight w:val="none"/>
              </w:rPr>
            </w:pPr>
            <w:r>
              <w:rPr>
                <w:rFonts w:hint="eastAsia" w:ascii="宋体" w:hAnsi="宋体" w:cs="宋体"/>
                <w:bCs/>
                <w:color w:val="auto"/>
                <w:sz w:val="20"/>
                <w:szCs w:val="20"/>
                <w:highlight w:val="none"/>
              </w:rPr>
              <w:t>1、材质：钢架采用热镀锌钢管或钢板及磨具成型，立柱为不低于2.5mm厚金属模具成型管材，层板为不低于2.0mm厚一级优质电解钢板；经过防锈处理，采用无菌粉末静电喷涂工艺，表面光滑无明显焊接点。</w:t>
            </w:r>
          </w:p>
          <w:p>
            <w:pPr>
              <w:rPr>
                <w:rFonts w:ascii="宋体" w:hAnsi="宋体" w:cs="宋体"/>
                <w:bCs/>
                <w:color w:val="auto"/>
                <w:sz w:val="20"/>
                <w:szCs w:val="20"/>
                <w:highlight w:val="none"/>
              </w:rPr>
            </w:pPr>
            <w:r>
              <w:rPr>
                <w:rFonts w:hint="eastAsia" w:ascii="宋体" w:hAnsi="宋体" w:cs="宋体"/>
                <w:bCs/>
                <w:color w:val="auto"/>
                <w:sz w:val="20"/>
                <w:szCs w:val="20"/>
                <w:highlight w:val="none"/>
              </w:rPr>
              <w:t>2、配置：可根据物品存放的需要调节层板高度；3、柜腿底加装防潮尼龙静音脚垫。</w:t>
            </w:r>
          </w:p>
        </w:tc>
        <w:tc>
          <w:tcPr>
            <w:tcW w:w="992" w:type="dxa"/>
            <w:vAlign w:val="center"/>
          </w:tcPr>
          <w:p>
            <w:pPr>
              <w:jc w:val="center"/>
              <w:rPr>
                <w:color w:val="auto"/>
                <w:sz w:val="15"/>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31</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37895" cy="1033145"/>
                  <wp:effectExtent l="0" t="0" r="14605" b="14605"/>
                  <wp:docPr id="17625" name="图片 31"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 name="图片 31" descr="360截图179603276210467"/>
                          <pic:cNvPicPr>
                            <a:picLocks noChangeAspect="1" noChangeArrowheads="1"/>
                          </pic:cNvPicPr>
                        </pic:nvPicPr>
                        <pic:blipFill>
                          <a:blip r:embed="rId39" cstate="print">
                            <a:extLst>
                              <a:ext uri="{28A0092B-C50C-407E-A947-70E740481C1C}">
                                <a14:useLocalDpi xmlns:a14="http://schemas.microsoft.com/office/drawing/2010/main" val="0"/>
                              </a:ext>
                            </a:extLst>
                          </a:blip>
                          <a:srcRect b="7645"/>
                          <a:stretch>
                            <a:fillRect/>
                          </a:stretch>
                        </pic:blipFill>
                        <pic:spPr>
                          <a:xfrm>
                            <a:off x="0" y="0"/>
                            <a:ext cx="944166" cy="1040182"/>
                          </a:xfrm>
                          <a:prstGeom prst="rect">
                            <a:avLst/>
                          </a:prstGeom>
                          <a:noFill/>
                          <a:ln>
                            <a:noFill/>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治疗台</w:t>
            </w:r>
          </w:p>
        </w:tc>
        <w:tc>
          <w:tcPr>
            <w:tcW w:w="9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XXXX*600*800</w:t>
            </w:r>
          </w:p>
        </w:tc>
        <w:tc>
          <w:tcPr>
            <w:tcW w:w="709" w:type="dxa"/>
            <w:vAlign w:val="center"/>
          </w:tcPr>
          <w:p>
            <w:pPr>
              <w:rPr>
                <w:rFonts w:hint="default" w:ascii="宋体" w:hAnsi="宋体" w:cs="宋体"/>
                <w:bCs/>
                <w:color w:val="auto"/>
                <w:sz w:val="20"/>
                <w:szCs w:val="20"/>
                <w:highlight w:val="none"/>
                <w:lang w:val="en-US" w:eastAsia="zh-CN"/>
              </w:rPr>
            </w:pPr>
            <w:r>
              <w:rPr>
                <w:rFonts w:hint="eastAsia" w:ascii="宋体" w:hAnsi="宋体" w:cs="宋体"/>
                <w:bCs/>
                <w:color w:val="auto"/>
                <w:sz w:val="20"/>
                <w:szCs w:val="20"/>
                <w:highlight w:val="none"/>
                <w:lang w:val="en-US" w:eastAsia="zh-CN"/>
              </w:rPr>
              <w:t>58</w:t>
            </w:r>
          </w:p>
        </w:tc>
        <w:tc>
          <w:tcPr>
            <w:tcW w:w="425" w:type="dxa"/>
            <w:vAlign w:val="center"/>
          </w:tcPr>
          <w:p>
            <w:pPr>
              <w:rPr>
                <w:rFonts w:hint="eastAsia"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rPr>
                <w:rFonts w:hint="eastAsia" w:ascii="宋体" w:hAnsi="宋体" w:cs="宋体"/>
                <w:bCs/>
                <w:color w:val="auto"/>
                <w:sz w:val="20"/>
                <w:szCs w:val="20"/>
                <w:highlight w:val="none"/>
              </w:rPr>
            </w:pPr>
            <w:r>
              <w:rPr>
                <w:rFonts w:hint="eastAsia" w:ascii="宋体" w:hAnsi="宋体" w:cs="宋体"/>
                <w:bCs/>
                <w:color w:val="auto"/>
                <w:sz w:val="20"/>
                <w:szCs w:val="20"/>
                <w:highlight w:val="none"/>
              </w:rPr>
              <w:t>1、材质：柜体采用不低于1.5mm厚电解钢板，防潮防水，经久耐用；台面、上翻沿、饰板采用大于20mm厚医用理化板，具有耐酸耐碱的性质，抗污染不渗透、不变形不上色、无缝隙易清洁打理，耐磨、耐刮损、耐冲击、耐高温、抗紫外线、抗污垢、防火、防静电，以及具有阻燃性、无毒等技术特点；符合医院等高标准的环境卫生要求；柜腿高度为10-18MM采用热镀锌钢架结构，管壁大于1.5MM厚以上，柜体底部采用大于1.0mm的SUS304#拉丝不锈钢踢脚线，比柜体前端面缩进尺寸为20mm，高150mm。柜腿底加装防潮尼龙静音脚垫。所有玻璃具为安全玻璃。每个单元含1-2个垃圾分类柜装置、1套感应式不锈钢水龙头和不锈钢水盆。治疗台配置3-6个抽屉，柜体有1-2个活动隔板；</w:t>
            </w:r>
          </w:p>
          <w:p>
            <w:pPr>
              <w:rPr>
                <w:rFonts w:hint="eastAsia" w:ascii="宋体" w:hAnsi="宋体" w:cs="宋体"/>
                <w:bCs/>
                <w:color w:val="auto"/>
                <w:sz w:val="20"/>
                <w:szCs w:val="20"/>
                <w:highlight w:val="none"/>
              </w:rPr>
            </w:pPr>
            <w:r>
              <w:rPr>
                <w:rFonts w:hint="eastAsia" w:ascii="宋体" w:hAnsi="宋体" w:cs="宋体"/>
                <w:bCs/>
                <w:color w:val="auto"/>
                <w:sz w:val="20"/>
                <w:szCs w:val="20"/>
                <w:highlight w:val="none"/>
              </w:rPr>
              <w:t xml:space="preserve"> 2、配置：采用大于1MM后304不锈钢U型拉手/暗藏式拉手/一字折弯拉手、知名品牌缓冲阻尼铰链、知名品牌静音滚珠三节导轨、标签卡槽、上柜下柜内、柜子中部各一件活动层板,中部层板高度可任意调节，带304不锈钢台下手工水盆+理化板挡水板，实现干湿分离，配高档感应水龙头；内嵌脚踏污物装置一套。</w:t>
            </w:r>
          </w:p>
          <w:p>
            <w:pPr>
              <w:rPr>
                <w:rFonts w:hint="eastAsia" w:ascii="宋体" w:hAnsi="宋体" w:cs="宋体"/>
                <w:bCs/>
                <w:color w:val="auto"/>
                <w:sz w:val="20"/>
                <w:szCs w:val="20"/>
                <w:highlight w:val="none"/>
              </w:rPr>
            </w:pPr>
            <w:r>
              <w:rPr>
                <w:rFonts w:hint="eastAsia" w:ascii="宋体" w:hAnsi="宋体" w:cs="宋体"/>
                <w:bCs/>
                <w:color w:val="auto"/>
                <w:sz w:val="20"/>
                <w:szCs w:val="20"/>
                <w:highlight w:val="none"/>
              </w:rPr>
              <w:t>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rPr>
                <w:rFonts w:hint="eastAsia" w:ascii="宋体" w:hAnsi="宋体" w:cs="宋体"/>
                <w:bCs/>
                <w:color w:val="auto"/>
                <w:sz w:val="20"/>
                <w:szCs w:val="20"/>
                <w:highlight w:val="none"/>
              </w:rPr>
            </w:pPr>
            <w:r>
              <w:rPr>
                <w:rFonts w:hint="eastAsia" w:ascii="宋体" w:hAnsi="宋体" w:cs="宋体"/>
                <w:bCs/>
                <w:color w:val="auto"/>
                <w:sz w:val="20"/>
                <w:szCs w:val="20"/>
                <w:highlight w:val="none"/>
              </w:rPr>
              <w:t>4、根据GB 24820-2009《实验室家具通用技术条件》标准：①外形尺寸偏差宽、深、高±5mm，②台面、正视面板平整度≤0.2mm，③低脚平稳性≤1.0mm，焊接处焊疤表面波纹应均匀、高低之差应不大于1mm，操作台台面理化性能：※ ④耐磨值：（mg/100r）≤80，⑤耐划痕:1.5N划一周，无整圈连续划痕 。⑥抗老化：调制(23±2)℃，(50±5)％，48h。老化(45±5)℃，（65~90）%,72h，无开裂。</w:t>
            </w:r>
          </w:p>
        </w:tc>
        <w:tc>
          <w:tcPr>
            <w:tcW w:w="992" w:type="dxa"/>
            <w:vAlign w:val="center"/>
          </w:tcPr>
          <w:p>
            <w:pPr>
              <w:jc w:val="center"/>
              <w:rPr>
                <w:color w:val="FF0000"/>
                <w:sz w:val="15"/>
                <w:szCs w:val="22"/>
                <w:highlight w:val="none"/>
              </w:rPr>
            </w:pPr>
            <w:r>
              <w:rPr>
                <w:rFonts w:hint="eastAsia" w:ascii="宋体" w:hAnsi="宋体" w:cs="宋体"/>
                <w:bCs/>
                <w:color w:val="auto"/>
                <w:sz w:val="20"/>
                <w:szCs w:val="20"/>
                <w:highlight w:val="none"/>
              </w:rPr>
              <w:t>1-8层病区各护理单元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1" w:hRule="atLeast"/>
          <w:jc w:val="center"/>
        </w:trPr>
        <w:tc>
          <w:tcPr>
            <w:tcW w:w="392" w:type="dxa"/>
            <w:vAlign w:val="center"/>
          </w:tcPr>
          <w:p>
            <w:pPr>
              <w:jc w:val="center"/>
              <w:rPr>
                <w:color w:val="auto"/>
                <w:sz w:val="15"/>
                <w:szCs w:val="22"/>
                <w:highlight w:val="none"/>
              </w:rPr>
            </w:pPr>
            <w:r>
              <w:rPr>
                <w:rFonts w:hint="eastAsia" w:ascii="宋体" w:hAnsi="宋体" w:cs="宋体"/>
                <w:bCs/>
                <w:color w:val="auto"/>
                <w:sz w:val="20"/>
                <w:szCs w:val="20"/>
                <w:highlight w:val="none"/>
              </w:rPr>
              <w:t>32</w:t>
            </w:r>
          </w:p>
        </w:tc>
        <w:tc>
          <w:tcPr>
            <w:tcW w:w="1701" w:type="dxa"/>
            <w:vAlign w:val="center"/>
          </w:tcPr>
          <w:p>
            <w:pPr>
              <w:jc w:val="center"/>
              <w:rPr>
                <w:color w:val="auto"/>
                <w:sz w:val="15"/>
                <w:szCs w:val="22"/>
                <w:highlight w:val="none"/>
              </w:rPr>
            </w:pPr>
            <w:r>
              <w:rPr>
                <w:color w:val="auto"/>
                <w:sz w:val="20"/>
                <w:szCs w:val="22"/>
                <w:highlight w:val="none"/>
              </w:rPr>
              <w:drawing>
                <wp:inline distT="0" distB="0" distL="0" distR="0">
                  <wp:extent cx="959485" cy="1303655"/>
                  <wp:effectExtent l="0" t="0" r="12065" b="10795"/>
                  <wp:docPr id="17627" name="图片 3"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 name="图片 3" descr="360截图179603276210467"/>
                          <pic:cNvPicPr>
                            <a:picLocks noChangeAspect="1" noChangeArrowheads="1"/>
                          </pic:cNvPicPr>
                        </pic:nvPicPr>
                        <pic:blipFill>
                          <a:blip r:embed="rId40">
                            <a:extLst>
                              <a:ext uri="{28A0092B-C50C-407E-A947-70E740481C1C}">
                                <a14:useLocalDpi xmlns:a14="http://schemas.microsoft.com/office/drawing/2010/main" val="0"/>
                              </a:ext>
                            </a:extLst>
                          </a:blip>
                          <a:srcRect b="7645"/>
                          <a:stretch>
                            <a:fillRect/>
                          </a:stretch>
                        </pic:blipFill>
                        <pic:spPr>
                          <a:xfrm>
                            <a:off x="0" y="0"/>
                            <a:ext cx="961957" cy="1307288"/>
                          </a:xfrm>
                          <a:prstGeom prst="rect">
                            <a:avLst/>
                          </a:prstGeom>
                          <a:noFill/>
                          <a:ln>
                            <a:noFill/>
                          </a:ln>
                        </pic:spPr>
                      </pic:pic>
                    </a:graphicData>
                  </a:graphic>
                </wp:inline>
              </w:drawing>
            </w:r>
          </w:p>
        </w:tc>
        <w:tc>
          <w:tcPr>
            <w:tcW w:w="709" w:type="dxa"/>
            <w:vAlign w:val="center"/>
          </w:tcPr>
          <w:p>
            <w:pPr>
              <w:jc w:val="center"/>
              <w:rPr>
                <w:color w:val="auto"/>
                <w:sz w:val="15"/>
                <w:szCs w:val="22"/>
                <w:highlight w:val="none"/>
              </w:rPr>
            </w:pPr>
            <w:r>
              <w:rPr>
                <w:rFonts w:hint="eastAsia" w:ascii="宋体" w:hAnsi="宋体" w:cs="宋体"/>
                <w:bCs/>
                <w:color w:val="auto"/>
                <w:sz w:val="20"/>
                <w:szCs w:val="20"/>
                <w:highlight w:val="none"/>
              </w:rPr>
              <w:t>吊柜</w:t>
            </w:r>
          </w:p>
        </w:tc>
        <w:tc>
          <w:tcPr>
            <w:tcW w:w="992" w:type="dxa"/>
            <w:vAlign w:val="center"/>
          </w:tcPr>
          <w:p>
            <w:pPr>
              <w:jc w:val="center"/>
              <w:rPr>
                <w:color w:val="auto"/>
                <w:sz w:val="15"/>
                <w:szCs w:val="22"/>
                <w:highlight w:val="none"/>
              </w:rPr>
            </w:pPr>
            <w:r>
              <w:rPr>
                <w:rFonts w:hint="eastAsia"/>
                <w:color w:val="auto"/>
                <w:sz w:val="20"/>
                <w:szCs w:val="22"/>
                <w:highlight w:val="none"/>
              </w:rPr>
              <w:t>定制XXXX</w:t>
            </w:r>
            <w:r>
              <w:rPr>
                <w:color w:val="auto"/>
                <w:sz w:val="20"/>
                <w:szCs w:val="22"/>
                <w:highlight w:val="none"/>
              </w:rPr>
              <w:t>*350*550</w:t>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33</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1、材质：柜体采用不低于1.5mm厚电解钢板，防潮防水，每米承载大于80KG；玻璃具为安全玻璃。</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2、配置：采用国内知名品牌优质大于1MM后304不锈钢U型拉手/暗藏式拉手/一字折弯拉手、知名品牌缓冲阻尼铰链、知名品牌静音滚珠三节导轨、标签卡槽、上柜下柜内、柜子中部各一件活动层板,中部层板高度可任意调节，带304不锈钢台下水盆+理化板挡水板，实现干湿分离，配高档感应水龙头； 3、表面处理：电解钢板（电镀锌钢板）表面采用环氧树脂静电粉末喷涂，涂层膜厚度均匀，喷粉涂层厚度60-80um，抗菌粉末涂料，具有抑菌、防锈、耐腐蚀、附着力强、耐摩擦等。颜色需结合现场装修及空间搭配不同颜色，门板及抽屉木纹转印效果确定后方可加工。</w:t>
            </w:r>
          </w:p>
          <w:p>
            <w:pPr>
              <w:keepNext w:val="0"/>
              <w:keepLines w:val="0"/>
              <w:pageBreakBefore w:val="0"/>
              <w:widowControl w:val="0"/>
              <w:kinsoku/>
              <w:wordWrap/>
              <w:overflowPunct/>
              <w:topLinePunct w:val="0"/>
              <w:autoSpaceDE/>
              <w:autoSpaceDN/>
              <w:bidi w:val="0"/>
              <w:adjustRightInd/>
              <w:snapToGrid/>
              <w:spacing w:line="380" w:lineRule="exact"/>
              <w:textAlignment w:val="auto"/>
              <w:rPr>
                <w:color w:val="auto"/>
                <w:sz w:val="15"/>
                <w:szCs w:val="22"/>
                <w:highlight w:val="none"/>
              </w:rPr>
            </w:pPr>
            <w:r>
              <w:rPr>
                <w:rFonts w:hint="eastAsia" w:ascii="宋体" w:hAnsi="宋体" w:cs="宋体"/>
                <w:bCs/>
                <w:color w:val="auto"/>
                <w:sz w:val="20"/>
                <w:szCs w:val="20"/>
                <w:highlight w:val="none"/>
              </w:rPr>
              <w:t>4、验收标准GB 24820-2009《实验室家具通用技术条件》标准：①外形尺寸偏差宽、深、高±5mm，②台面、正视面板平整度≤0.2mm，③低脚平稳性≤1.0mm，焊接处焊疤表面波纹应均匀、高低之差应不大于1mm，操作台台面理化性能：④耐磨值：（mg/100r）≤80，⑤耐划痕:1.5N划一周，无整圈连续划痕 。⑥抗老化：调制(23±2)℃，(50±5)％，48h。老化(45±5)℃，（65~90）%,72h，无开裂。</w:t>
            </w:r>
          </w:p>
        </w:tc>
        <w:tc>
          <w:tcPr>
            <w:tcW w:w="992" w:type="dxa"/>
            <w:vAlign w:val="center"/>
          </w:tcPr>
          <w:p>
            <w:pPr>
              <w:jc w:val="center"/>
              <w:rPr>
                <w:color w:val="auto"/>
                <w:sz w:val="15"/>
                <w:szCs w:val="22"/>
                <w:highlight w:val="none"/>
              </w:rPr>
            </w:pPr>
            <w:r>
              <w:rPr>
                <w:rFonts w:hint="eastAsia"/>
                <w:color w:val="auto"/>
                <w:sz w:val="20"/>
                <w:szCs w:val="22"/>
                <w:highlight w:val="none"/>
              </w:rPr>
              <w:t>1-8病区护理各单元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2" w:hRule="atLeast"/>
          <w:jc w:val="center"/>
        </w:trPr>
        <w:tc>
          <w:tcPr>
            <w:tcW w:w="392"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33</w:t>
            </w:r>
          </w:p>
        </w:tc>
        <w:tc>
          <w:tcPr>
            <w:tcW w:w="1701" w:type="dxa"/>
            <w:vAlign w:val="center"/>
          </w:tcPr>
          <w:p>
            <w:pPr>
              <w:jc w:val="center"/>
              <w:rPr>
                <w:color w:val="auto"/>
                <w:sz w:val="20"/>
                <w:szCs w:val="22"/>
                <w:highlight w:val="none"/>
              </w:rPr>
            </w:pPr>
            <w:r>
              <w:rPr>
                <w:color w:val="auto"/>
                <w:sz w:val="20"/>
                <w:szCs w:val="22"/>
                <w:highlight w:val="none"/>
              </w:rPr>
              <w:drawing>
                <wp:inline distT="0" distB="0" distL="0" distR="0">
                  <wp:extent cx="933450" cy="1028700"/>
                  <wp:effectExtent l="0" t="0" r="0" b="0"/>
                  <wp:docPr id="1" name="图片 1" descr="360截图1796032762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0截图179603276210467"/>
                          <pic:cNvPicPr>
                            <a:picLocks noChangeAspect="1" noChangeArrowheads="1"/>
                          </pic:cNvPicPr>
                        </pic:nvPicPr>
                        <pic:blipFill>
                          <a:blip r:embed="rId39"/>
                          <a:srcRect b="7666"/>
                          <a:stretch>
                            <a:fillRect/>
                          </a:stretch>
                        </pic:blipFill>
                        <pic:spPr>
                          <a:xfrm>
                            <a:off x="0" y="0"/>
                            <a:ext cx="933450" cy="1028700"/>
                          </a:xfrm>
                          <a:prstGeom prst="rect">
                            <a:avLst/>
                          </a:prstGeom>
                          <a:noFill/>
                          <a:ln w="9525">
                            <a:noFill/>
                            <a:miter lim="800000"/>
                            <a:headEnd/>
                            <a:tailEnd/>
                          </a:ln>
                        </pic:spPr>
                      </pic:pic>
                    </a:graphicData>
                  </a:graphic>
                </wp:inline>
              </w:drawing>
            </w: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配餐台</w:t>
            </w:r>
          </w:p>
        </w:tc>
        <w:tc>
          <w:tcPr>
            <w:tcW w:w="992" w:type="dxa"/>
            <w:vAlign w:val="center"/>
          </w:tcPr>
          <w:p>
            <w:pPr>
              <w:jc w:val="center"/>
              <w:rPr>
                <w:rFonts w:ascii="宋体" w:cs="宋体"/>
                <w:bCs/>
                <w:color w:val="auto"/>
                <w:sz w:val="20"/>
                <w:szCs w:val="20"/>
                <w:highlight w:val="none"/>
              </w:rPr>
            </w:pPr>
            <w:r>
              <w:rPr>
                <w:rFonts w:hint="eastAsia" w:ascii="宋体" w:cs="宋体"/>
                <w:bCs/>
                <w:color w:val="auto"/>
                <w:sz w:val="20"/>
                <w:szCs w:val="20"/>
                <w:highlight w:val="none"/>
              </w:rPr>
              <w:t>定制XXXX</w:t>
            </w:r>
            <w:r>
              <w:rPr>
                <w:rFonts w:ascii="宋体" w:cs="宋体"/>
                <w:bCs/>
                <w:color w:val="auto"/>
                <w:sz w:val="20"/>
                <w:szCs w:val="20"/>
                <w:highlight w:val="none"/>
              </w:rPr>
              <w:t>*650*800</w:t>
            </w:r>
          </w:p>
          <w:p>
            <w:pPr>
              <w:jc w:val="center"/>
              <w:rPr>
                <w:color w:val="auto"/>
                <w:sz w:val="15"/>
                <w:szCs w:val="22"/>
                <w:highlight w:val="none"/>
              </w:rPr>
            </w:pPr>
          </w:p>
        </w:tc>
        <w:tc>
          <w:tcPr>
            <w:tcW w:w="709"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20</w:t>
            </w:r>
          </w:p>
        </w:tc>
        <w:tc>
          <w:tcPr>
            <w:tcW w:w="425" w:type="dxa"/>
            <w:vAlign w:val="center"/>
          </w:tcPr>
          <w:p>
            <w:pPr>
              <w:jc w:val="center"/>
              <w:rPr>
                <w:rFonts w:ascii="宋体" w:hAnsi="宋体" w:cs="宋体"/>
                <w:bCs/>
                <w:color w:val="auto"/>
                <w:sz w:val="20"/>
                <w:szCs w:val="20"/>
                <w:highlight w:val="none"/>
              </w:rPr>
            </w:pPr>
            <w:r>
              <w:rPr>
                <w:rFonts w:hint="eastAsia" w:ascii="宋体" w:hAnsi="宋体" w:cs="宋体"/>
                <w:bCs/>
                <w:color w:val="auto"/>
                <w:sz w:val="20"/>
                <w:szCs w:val="20"/>
                <w:highlight w:val="none"/>
              </w:rPr>
              <w:t>米</w:t>
            </w:r>
          </w:p>
        </w:tc>
        <w:tc>
          <w:tcPr>
            <w:tcW w:w="7938" w:type="dxa"/>
            <w:vAlign w:val="center"/>
          </w:tcPr>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ascii="宋体" w:hAnsi="宋体" w:cs="宋体"/>
                <w:bCs/>
                <w:color w:val="auto"/>
                <w:sz w:val="20"/>
                <w:szCs w:val="20"/>
                <w:highlight w:val="none"/>
              </w:rPr>
              <w:t>1</w:t>
            </w:r>
            <w:r>
              <w:rPr>
                <w:rFonts w:hint="eastAsia" w:ascii="宋体" w:hAnsi="宋体" w:cs="宋体"/>
                <w:bCs/>
                <w:color w:val="auto"/>
                <w:sz w:val="20"/>
                <w:szCs w:val="20"/>
                <w:highlight w:val="none"/>
              </w:rPr>
              <w:t>、主材：采用E1级实木多层板，侧板为25mm厚,其余为柜体16mm厚。台面为25MM石英石板（外侧加檐），所有柜体内铺设铝箔防水材料保护。</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hint="eastAsia" w:ascii="宋体" w:hAnsi="宋体" w:cs="宋体"/>
                <w:bCs/>
                <w:color w:val="auto"/>
                <w:sz w:val="20"/>
                <w:szCs w:val="20"/>
                <w:highlight w:val="none"/>
              </w:rPr>
              <w:t>2、封边：采用1.5MM厚以上PVC同色封边带，进口热熔胶，全自动封边机完成封边，色泽均匀一致， 耐污、耐磨，在不同地区气温、湿度的变化中不受影响，能长期不变形、不开裂。柜腿高度为</w:t>
            </w:r>
            <w:r>
              <w:rPr>
                <w:rFonts w:ascii="宋体" w:hAnsi="宋体" w:cs="宋体"/>
                <w:bCs/>
                <w:color w:val="auto"/>
                <w:sz w:val="20"/>
                <w:szCs w:val="20"/>
                <w:highlight w:val="none"/>
              </w:rPr>
              <w:t>10-18MM</w:t>
            </w:r>
            <w:r>
              <w:rPr>
                <w:rFonts w:hint="eastAsia" w:ascii="宋体" w:hAnsi="宋体" w:cs="宋体"/>
                <w:bCs/>
                <w:color w:val="auto"/>
                <w:sz w:val="20"/>
                <w:szCs w:val="20"/>
                <w:highlight w:val="none"/>
              </w:rPr>
              <w:t>采用热镀锌钢架结构，管壁大于</w:t>
            </w:r>
            <w:r>
              <w:rPr>
                <w:rFonts w:ascii="宋体" w:hAnsi="宋体" w:cs="宋体"/>
                <w:bCs/>
                <w:color w:val="auto"/>
                <w:sz w:val="20"/>
                <w:szCs w:val="20"/>
                <w:highlight w:val="none"/>
              </w:rPr>
              <w:t>1.5MM</w:t>
            </w:r>
            <w:r>
              <w:rPr>
                <w:rFonts w:hint="eastAsia" w:ascii="宋体" w:hAnsi="宋体" w:cs="宋体"/>
                <w:bCs/>
                <w:color w:val="auto"/>
                <w:sz w:val="20"/>
                <w:szCs w:val="20"/>
                <w:highlight w:val="none"/>
              </w:rPr>
              <w:t>厚以上，柜体底部采用大于</w:t>
            </w:r>
            <w:r>
              <w:rPr>
                <w:rFonts w:ascii="宋体" w:hAnsi="宋体" w:cs="宋体"/>
                <w:bCs/>
                <w:color w:val="auto"/>
                <w:sz w:val="20"/>
                <w:szCs w:val="20"/>
                <w:highlight w:val="none"/>
              </w:rPr>
              <w:t>1.0mm</w:t>
            </w:r>
            <w:r>
              <w:rPr>
                <w:rFonts w:hint="eastAsia" w:ascii="宋体" w:hAnsi="宋体" w:cs="宋体"/>
                <w:bCs/>
                <w:color w:val="auto"/>
                <w:sz w:val="20"/>
                <w:szCs w:val="20"/>
                <w:highlight w:val="none"/>
              </w:rPr>
              <w:t>的</w:t>
            </w:r>
            <w:r>
              <w:rPr>
                <w:rFonts w:ascii="宋体" w:hAnsi="宋体" w:cs="宋体"/>
                <w:bCs/>
                <w:color w:val="auto"/>
                <w:sz w:val="20"/>
                <w:szCs w:val="20"/>
                <w:highlight w:val="none"/>
              </w:rPr>
              <w:t>SUS304#</w:t>
            </w:r>
            <w:r>
              <w:rPr>
                <w:rFonts w:hint="eastAsia" w:ascii="宋体" w:hAnsi="宋体" w:cs="宋体"/>
                <w:bCs/>
                <w:color w:val="auto"/>
                <w:sz w:val="20"/>
                <w:szCs w:val="20"/>
                <w:highlight w:val="none"/>
              </w:rPr>
              <w:t>拉丝不锈钢踢脚线，比柜体前端面缩进尺寸为</w:t>
            </w:r>
            <w:r>
              <w:rPr>
                <w:rFonts w:ascii="宋体" w:hAnsi="宋体" w:cs="宋体"/>
                <w:bCs/>
                <w:color w:val="auto"/>
                <w:sz w:val="20"/>
                <w:szCs w:val="20"/>
                <w:highlight w:val="none"/>
              </w:rPr>
              <w:t>20mm</w:t>
            </w:r>
            <w:r>
              <w:rPr>
                <w:rFonts w:hint="eastAsia" w:ascii="宋体" w:hAnsi="宋体" w:cs="宋体"/>
                <w:bCs/>
                <w:color w:val="auto"/>
                <w:sz w:val="20"/>
                <w:szCs w:val="20"/>
                <w:highlight w:val="none"/>
              </w:rPr>
              <w:t>，高</w:t>
            </w:r>
            <w:r>
              <w:rPr>
                <w:rFonts w:ascii="宋体" w:hAnsi="宋体" w:cs="宋体"/>
                <w:bCs/>
                <w:color w:val="auto"/>
                <w:sz w:val="20"/>
                <w:szCs w:val="20"/>
                <w:highlight w:val="none"/>
              </w:rPr>
              <w:t>150mm</w:t>
            </w:r>
            <w:r>
              <w:rPr>
                <w:rFonts w:hint="eastAsia" w:ascii="宋体" w:hAnsi="宋体" w:cs="宋体"/>
                <w:bCs/>
                <w:color w:val="auto"/>
                <w:sz w:val="20"/>
                <w:szCs w:val="20"/>
                <w:highlight w:val="none"/>
              </w:rPr>
              <w:t>。柜腿底加装防潮尼龙静音脚垫。</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宋体" w:hAnsi="宋体" w:cs="宋体"/>
                <w:bCs/>
                <w:color w:val="auto"/>
                <w:sz w:val="20"/>
                <w:szCs w:val="20"/>
                <w:highlight w:val="none"/>
              </w:rPr>
            </w:pPr>
            <w:r>
              <w:rPr>
                <w:rFonts w:ascii="宋体" w:hAnsi="宋体" w:cs="宋体"/>
                <w:bCs/>
                <w:color w:val="auto"/>
                <w:sz w:val="20"/>
                <w:szCs w:val="20"/>
                <w:highlight w:val="none"/>
              </w:rPr>
              <w:t>2</w:t>
            </w:r>
            <w:r>
              <w:rPr>
                <w:rFonts w:hint="eastAsia" w:ascii="宋体" w:hAnsi="宋体" w:cs="宋体"/>
                <w:bCs/>
                <w:color w:val="auto"/>
                <w:sz w:val="20"/>
                <w:szCs w:val="20"/>
                <w:highlight w:val="none"/>
              </w:rPr>
              <w:t>、配置：采用大于</w:t>
            </w:r>
            <w:r>
              <w:rPr>
                <w:rFonts w:ascii="宋体" w:hAnsi="宋体" w:cs="宋体"/>
                <w:bCs/>
                <w:color w:val="auto"/>
                <w:sz w:val="20"/>
                <w:szCs w:val="20"/>
                <w:highlight w:val="none"/>
              </w:rPr>
              <w:t>1MM</w:t>
            </w:r>
            <w:r>
              <w:rPr>
                <w:rFonts w:hint="eastAsia" w:ascii="宋体" w:hAnsi="宋体" w:cs="宋体"/>
                <w:bCs/>
                <w:color w:val="auto"/>
                <w:sz w:val="20"/>
                <w:szCs w:val="20"/>
                <w:highlight w:val="none"/>
              </w:rPr>
              <w:t>后</w:t>
            </w:r>
            <w:r>
              <w:rPr>
                <w:rFonts w:ascii="宋体" w:hAnsi="宋体" w:cs="宋体"/>
                <w:bCs/>
                <w:color w:val="auto"/>
                <w:sz w:val="20"/>
                <w:szCs w:val="20"/>
                <w:highlight w:val="none"/>
              </w:rPr>
              <w:t>304</w:t>
            </w:r>
            <w:r>
              <w:rPr>
                <w:rFonts w:hint="eastAsia" w:ascii="宋体" w:hAnsi="宋体" w:cs="宋体"/>
                <w:bCs/>
                <w:color w:val="auto"/>
                <w:sz w:val="20"/>
                <w:szCs w:val="20"/>
                <w:highlight w:val="none"/>
              </w:rPr>
              <w:t>不锈钢</w:t>
            </w:r>
            <w:r>
              <w:rPr>
                <w:rFonts w:ascii="宋体" w:hAnsi="宋体" w:cs="宋体"/>
                <w:bCs/>
                <w:color w:val="auto"/>
                <w:sz w:val="20"/>
                <w:szCs w:val="20"/>
                <w:highlight w:val="none"/>
              </w:rPr>
              <w:t>U</w:t>
            </w:r>
            <w:r>
              <w:rPr>
                <w:rFonts w:hint="eastAsia" w:ascii="宋体" w:hAnsi="宋体" w:cs="宋体"/>
                <w:bCs/>
                <w:color w:val="auto"/>
                <w:sz w:val="20"/>
                <w:szCs w:val="20"/>
                <w:highlight w:val="none"/>
              </w:rPr>
              <w:t>型拉手</w:t>
            </w:r>
            <w:r>
              <w:rPr>
                <w:rFonts w:ascii="宋体" w:hAnsi="宋体" w:cs="宋体"/>
                <w:bCs/>
                <w:color w:val="auto"/>
                <w:sz w:val="20"/>
                <w:szCs w:val="20"/>
                <w:highlight w:val="none"/>
              </w:rPr>
              <w:t>/</w:t>
            </w:r>
            <w:r>
              <w:rPr>
                <w:rFonts w:hint="eastAsia" w:ascii="宋体" w:hAnsi="宋体" w:cs="宋体"/>
                <w:bCs/>
                <w:color w:val="auto"/>
                <w:sz w:val="20"/>
                <w:szCs w:val="20"/>
                <w:highlight w:val="none"/>
              </w:rPr>
              <w:t>暗藏式拉手</w:t>
            </w:r>
            <w:r>
              <w:rPr>
                <w:rFonts w:ascii="宋体" w:hAnsi="宋体" w:cs="宋体"/>
                <w:bCs/>
                <w:color w:val="auto"/>
                <w:sz w:val="20"/>
                <w:szCs w:val="20"/>
                <w:highlight w:val="none"/>
              </w:rPr>
              <w:t>/</w:t>
            </w:r>
            <w:r>
              <w:rPr>
                <w:rFonts w:hint="eastAsia" w:ascii="宋体" w:hAnsi="宋体" w:cs="宋体"/>
                <w:bCs/>
                <w:color w:val="auto"/>
                <w:sz w:val="20"/>
                <w:szCs w:val="20"/>
                <w:highlight w:val="none"/>
              </w:rPr>
              <w:t>一字折弯拉手、知名品牌缓冲阻尼铰链、知名品牌静音滚珠三节导轨、标签卡槽、上柜下柜内、柜子中部各一件活动层板</w:t>
            </w:r>
            <w:r>
              <w:rPr>
                <w:rFonts w:ascii="宋体" w:cs="宋体"/>
                <w:bCs/>
                <w:color w:val="auto"/>
                <w:sz w:val="20"/>
                <w:szCs w:val="20"/>
                <w:highlight w:val="none"/>
              </w:rPr>
              <w:t>,</w:t>
            </w:r>
            <w:r>
              <w:rPr>
                <w:rFonts w:hint="eastAsia" w:ascii="宋体" w:hAnsi="宋体" w:cs="宋体"/>
                <w:bCs/>
                <w:color w:val="auto"/>
                <w:sz w:val="20"/>
                <w:szCs w:val="20"/>
                <w:highlight w:val="none"/>
              </w:rPr>
              <w:t>中部层板高度可任意调节，含</w:t>
            </w:r>
            <w:r>
              <w:rPr>
                <w:rFonts w:ascii="宋体" w:hAnsi="宋体" w:cs="宋体"/>
                <w:bCs/>
                <w:color w:val="auto"/>
                <w:sz w:val="20"/>
                <w:szCs w:val="20"/>
                <w:highlight w:val="none"/>
              </w:rPr>
              <w:t>7</w:t>
            </w:r>
            <w:r>
              <w:rPr>
                <w:rFonts w:hint="eastAsia" w:ascii="宋体" w:hAnsi="宋体" w:cs="宋体"/>
                <w:bCs/>
                <w:color w:val="auto"/>
                <w:sz w:val="20"/>
                <w:szCs w:val="20"/>
                <w:highlight w:val="none"/>
              </w:rPr>
              <w:t>套</w:t>
            </w:r>
            <w:r>
              <w:rPr>
                <w:rFonts w:ascii="宋体" w:hAnsi="宋体" w:cs="宋体"/>
                <w:bCs/>
                <w:color w:val="auto"/>
                <w:sz w:val="20"/>
                <w:szCs w:val="20"/>
                <w:highlight w:val="none"/>
              </w:rPr>
              <w:t>304</w:t>
            </w:r>
            <w:r>
              <w:rPr>
                <w:rFonts w:hint="eastAsia" w:ascii="宋体" w:hAnsi="宋体" w:cs="宋体"/>
                <w:bCs/>
                <w:color w:val="auto"/>
                <w:sz w:val="20"/>
                <w:szCs w:val="20"/>
                <w:highlight w:val="none"/>
              </w:rPr>
              <w:t>不锈钢台下水盆</w:t>
            </w:r>
            <w:r>
              <w:rPr>
                <w:rFonts w:ascii="宋体" w:hAnsi="宋体" w:cs="宋体"/>
                <w:bCs/>
                <w:color w:val="auto"/>
                <w:sz w:val="20"/>
                <w:szCs w:val="20"/>
                <w:highlight w:val="none"/>
              </w:rPr>
              <w:t>+</w:t>
            </w:r>
            <w:r>
              <w:rPr>
                <w:rFonts w:hint="eastAsia" w:ascii="宋体" w:hAnsi="宋体" w:cs="宋体"/>
                <w:bCs/>
                <w:color w:val="auto"/>
                <w:sz w:val="20"/>
                <w:szCs w:val="20"/>
                <w:highlight w:val="none"/>
              </w:rPr>
              <w:t>挡水板，配304材质冷热水水龙头7套；</w:t>
            </w:r>
          </w:p>
        </w:tc>
        <w:tc>
          <w:tcPr>
            <w:tcW w:w="992" w:type="dxa"/>
            <w:vAlign w:val="center"/>
          </w:tcPr>
          <w:p>
            <w:pPr>
              <w:jc w:val="center"/>
              <w:rPr>
                <w:color w:val="auto"/>
                <w:sz w:val="20"/>
                <w:szCs w:val="22"/>
                <w:highlight w:val="none"/>
              </w:rPr>
            </w:pPr>
            <w:r>
              <w:rPr>
                <w:rFonts w:hint="eastAsia"/>
                <w:color w:val="auto"/>
                <w:sz w:val="18"/>
                <w:szCs w:val="22"/>
                <w:highlight w:val="none"/>
              </w:rPr>
              <w:t>1-8层配餐间（7套）</w:t>
            </w:r>
          </w:p>
        </w:tc>
      </w:tr>
    </w:tbl>
    <w:p>
      <w:pPr>
        <w:spacing w:line="380" w:lineRule="exact"/>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备注：</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1、中标人负责安装到温县妇幼保健院新址指定楼层及科室，所产生费用自理。</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2、中标人负责对所提供的所有产品进行环境监测，安装完成后现场及时检测（有资质检测单位完成）达到国家最新环保标准和及时入住标准（检测甲醛释放量、可溶性重金属等），所产生的费用自理。</w:t>
      </w:r>
    </w:p>
    <w:p>
      <w:pPr>
        <w:spacing w:line="380" w:lineRule="exact"/>
        <w:ind w:firstLine="422" w:firstLineChars="200"/>
        <w:rPr>
          <w:rFonts w:ascii="宋体" w:hAnsi="宋体" w:cs="宋体"/>
          <w:b/>
          <w:bCs/>
          <w:color w:val="auto"/>
          <w:szCs w:val="21"/>
          <w:highlight w:val="none"/>
        </w:rPr>
      </w:pPr>
      <w:r>
        <w:rPr>
          <w:rFonts w:ascii="宋体" w:hAnsi="宋体" w:cs="宋体"/>
          <w:b/>
          <w:bCs/>
          <w:color w:val="auto"/>
          <w:szCs w:val="21"/>
          <w:highlight w:val="none"/>
        </w:rPr>
        <w:t>3、所供应产品质保期为</w:t>
      </w:r>
      <w:r>
        <w:rPr>
          <w:rFonts w:hint="eastAsia" w:ascii="宋体" w:hAnsi="宋体" w:cs="宋体"/>
          <w:b/>
          <w:bCs/>
          <w:color w:val="auto"/>
          <w:szCs w:val="21"/>
          <w:highlight w:val="none"/>
          <w:lang w:val="en-US" w:eastAsia="zh-CN"/>
        </w:rPr>
        <w:t>24</w:t>
      </w:r>
      <w:r>
        <w:rPr>
          <w:rFonts w:ascii="宋体" w:hAnsi="宋体" w:cs="宋体"/>
          <w:b/>
          <w:bCs/>
          <w:color w:val="auto"/>
          <w:szCs w:val="21"/>
          <w:highlight w:val="none"/>
        </w:rPr>
        <w:t>个月。（如在质保期内产品如起鼓、开胶等质量问题中标人无条件更换）</w:t>
      </w:r>
    </w:p>
    <w:p>
      <w:pPr>
        <w:spacing w:line="3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w:t>
      </w:r>
      <w:r>
        <w:rPr>
          <w:rFonts w:ascii="宋体" w:hAnsi="宋体" w:cs="宋体"/>
          <w:b/>
          <w:bCs/>
          <w:color w:val="auto"/>
          <w:szCs w:val="21"/>
          <w:highlight w:val="none"/>
        </w:rPr>
        <w:t>、中标人负责所供应的每件产品上，铆植金属铭牌标签，标识印刷内容：医院院徽和2019-0001至2019-****等内容，所产生的费用自理。</w:t>
      </w:r>
    </w:p>
    <w:p>
      <w:pPr>
        <w:spacing w:line="3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w:t>
      </w:r>
      <w:r>
        <w:rPr>
          <w:rFonts w:ascii="宋体" w:hAnsi="宋体" w:cs="宋体"/>
          <w:b/>
          <w:bCs/>
          <w:color w:val="auto"/>
          <w:szCs w:val="21"/>
          <w:highlight w:val="none"/>
        </w:rPr>
        <w:t>、所有中标产品颜色选定采购人书面通知中标方后发可生产，否则后果自负。</w:t>
      </w:r>
    </w:p>
    <w:p>
      <w:pPr>
        <w:pStyle w:val="2"/>
        <w:ind w:firstLine="422" w:firstLineChars="200"/>
        <w:rPr>
          <w:rFonts w:ascii="宋体" w:hAnsi="宋体" w:eastAsia="宋体" w:cs="宋体"/>
          <w:b/>
          <w:bCs/>
          <w:color w:val="auto"/>
          <w:kern w:val="2"/>
          <w:sz w:val="21"/>
          <w:szCs w:val="21"/>
          <w:highlight w:val="none"/>
          <w:lang w:val="en-US" w:eastAsia="zh-CN" w:bidi="ar-SA"/>
        </w:rPr>
      </w:pPr>
      <w:r>
        <w:rPr>
          <w:rFonts w:hint="eastAsia" w:hAnsi="宋体" w:cs="宋体"/>
          <w:b/>
          <w:bCs/>
          <w:color w:val="auto"/>
          <w:kern w:val="2"/>
          <w:sz w:val="21"/>
          <w:szCs w:val="21"/>
          <w:highlight w:val="none"/>
          <w:lang w:val="en-US" w:eastAsia="zh-CN" w:bidi="ar-SA"/>
        </w:rPr>
        <w:t>6、</w:t>
      </w:r>
      <w:r>
        <w:rPr>
          <w:rFonts w:hint="eastAsia" w:ascii="宋体" w:hAnsi="宋体" w:eastAsia="宋体" w:cs="宋体"/>
          <w:b/>
          <w:bCs/>
          <w:color w:val="auto"/>
          <w:kern w:val="2"/>
          <w:sz w:val="21"/>
          <w:szCs w:val="21"/>
          <w:highlight w:val="none"/>
          <w:lang w:val="en-US" w:eastAsia="zh-CN" w:bidi="ar-SA"/>
        </w:rPr>
        <w:t>结算单价确定方法：结算单价=第一轮报价单价*（第二轮报价的总价/第一轮报价总价）</w:t>
      </w:r>
    </w:p>
    <w:p>
      <w:pPr>
        <w:spacing w:line="380" w:lineRule="exact"/>
        <w:ind w:firstLine="422" w:firstLineChars="200"/>
        <w:rPr>
          <w:rFonts w:ascii="宋体" w:hAnsi="宋体" w:cs="宋体"/>
          <w:b/>
          <w:bCs/>
          <w:color w:val="auto"/>
          <w:szCs w:val="21"/>
          <w:highlight w:val="none"/>
        </w:rPr>
        <w:sectPr>
          <w:footerReference r:id="rId7" w:type="first"/>
          <w:footerReference r:id="rId6" w:type="default"/>
          <w:pgSz w:w="16783" w:h="11850" w:orient="landscape"/>
          <w:pgMar w:top="1083" w:right="1440" w:bottom="1083" w:left="1440" w:header="567" w:footer="669" w:gutter="0"/>
          <w:pgNumType w:fmt="decimal"/>
          <w:cols w:space="0" w:num="1"/>
          <w:titlePg/>
          <w:docGrid w:type="lines" w:linePitch="387" w:charSpace="0"/>
        </w:sectPr>
      </w:pPr>
    </w:p>
    <w:p>
      <w:pPr>
        <w:widowControl/>
        <w:spacing w:line="560" w:lineRule="atLeast"/>
        <w:jc w:val="center"/>
        <w:outlineLvl w:val="0"/>
        <w:rPr>
          <w:rFonts w:ascii="宋体" w:hAnsi="宋体" w:cs="宋体"/>
          <w:b/>
          <w:bCs/>
          <w:color w:val="auto"/>
          <w:kern w:val="0"/>
          <w:sz w:val="32"/>
          <w:szCs w:val="32"/>
          <w:highlight w:val="none"/>
        </w:rPr>
      </w:pPr>
      <w:bookmarkStart w:id="2" w:name="_Toc20231"/>
      <w:r>
        <w:rPr>
          <w:rFonts w:hint="eastAsia" w:ascii="宋体" w:hAnsi="宋体" w:cs="宋体"/>
          <w:b/>
          <w:bCs/>
          <w:color w:val="auto"/>
          <w:kern w:val="0"/>
          <w:sz w:val="32"/>
          <w:szCs w:val="32"/>
          <w:highlight w:val="none"/>
        </w:rPr>
        <w:t>四、合同</w:t>
      </w:r>
      <w:bookmarkStart w:id="3" w:name="_Toc11326"/>
      <w:r>
        <w:rPr>
          <w:rFonts w:hint="eastAsia" w:ascii="宋体" w:hAnsi="宋体" w:cs="宋体"/>
          <w:b/>
          <w:bCs/>
          <w:color w:val="auto"/>
          <w:kern w:val="0"/>
          <w:sz w:val="32"/>
          <w:szCs w:val="32"/>
          <w:highlight w:val="none"/>
        </w:rPr>
        <w:t>签订及条款</w:t>
      </w:r>
      <w:bookmarkEnd w:id="2"/>
    </w:p>
    <w:bookmarkEnd w:id="3"/>
    <w:p>
      <w:pPr>
        <w:pStyle w:val="3"/>
        <w:rPr>
          <w:rFonts w:ascii="宋体" w:eastAsia="宋体" w:cs="宋体"/>
          <w:color w:val="auto"/>
          <w:szCs w:val="21"/>
          <w:highlight w:val="none"/>
        </w:rPr>
      </w:pPr>
      <w:bookmarkStart w:id="4" w:name="_Toc13860"/>
      <w:r>
        <w:rPr>
          <w:rFonts w:hint="eastAsia" w:ascii="宋体" w:eastAsia="宋体" w:cs="宋体"/>
          <w:color w:val="auto"/>
          <w:highlight w:val="none"/>
        </w:rPr>
        <w:t>1.合同签订</w:t>
      </w:r>
      <w:bookmarkEnd w:id="4"/>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1.1</w:t>
      </w:r>
      <w:r>
        <w:rPr>
          <w:rFonts w:hint="eastAsia" w:ascii="宋体" w:hAnsi="宋体" w:cs="宋体"/>
          <w:color w:val="auto"/>
          <w:szCs w:val="21"/>
          <w:highlight w:val="none"/>
        </w:rPr>
        <w:t>中标人应按中标通知书指定的时间、地点，与采购人签订合同。中标人与采购人不得签订背离招标文件实质性内容的合同，否则合同无效。</w:t>
      </w:r>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1.2 </w:t>
      </w:r>
      <w:r>
        <w:rPr>
          <w:rFonts w:hint="eastAsia" w:ascii="宋体" w:hAnsi="宋体" w:cs="宋体"/>
          <w:color w:val="auto"/>
          <w:szCs w:val="21"/>
          <w:highlight w:val="none"/>
        </w:rPr>
        <w:t>如采购人或中标人拒签合同，则按违约处理。</w:t>
      </w:r>
    </w:p>
    <w:p>
      <w:pPr>
        <w:spacing w:line="420" w:lineRule="exact"/>
        <w:rPr>
          <w:rFonts w:ascii="宋体" w:hAnsi="宋体" w:cs="宋体"/>
          <w:color w:val="auto"/>
          <w:szCs w:val="21"/>
          <w:highlight w:val="none"/>
        </w:rPr>
      </w:pPr>
      <w:r>
        <w:rPr>
          <w:rFonts w:hint="eastAsia" w:ascii="宋体" w:hAnsi="宋体" w:cs="宋体"/>
          <w:color w:val="auto"/>
          <w:kern w:val="0"/>
          <w:szCs w:val="21"/>
          <w:highlight w:val="none"/>
        </w:rPr>
        <w:t xml:space="preserve">    1.3</w:t>
      </w:r>
      <w:r>
        <w:rPr>
          <w:rFonts w:hint="eastAsia" w:ascii="宋体" w:hAnsi="宋体" w:cs="宋体"/>
          <w:color w:val="auto"/>
          <w:szCs w:val="21"/>
          <w:highlight w:val="none"/>
        </w:rPr>
        <w:t>如中标人不按本招标文件要求签订合同，则取消其中标资格，招标人并依法追究中标人的缔约过失责任及其他法律责任。</w:t>
      </w:r>
    </w:p>
    <w:p>
      <w:pPr>
        <w:spacing w:line="420" w:lineRule="exact"/>
        <w:rPr>
          <w:rFonts w:ascii="宋体" w:hAnsi="宋体" w:cs="宋体"/>
          <w:color w:val="auto"/>
          <w:szCs w:val="21"/>
          <w:highlight w:val="none"/>
        </w:rPr>
      </w:pPr>
      <w:r>
        <w:rPr>
          <w:rFonts w:hint="eastAsia" w:ascii="宋体" w:hAnsi="宋体" w:cs="宋体"/>
          <w:color w:val="auto"/>
          <w:szCs w:val="21"/>
          <w:highlight w:val="none"/>
        </w:rPr>
        <w:t xml:space="preserve">    1.4 采购人追加合同标的权利：签订合同后，采购人如需追加与合同标的相同的货物、工程或者服务的，在不改变本合同其他条款的前提下，可以与中标人协商签订补充合同，但所有补充合同的采购金额不得超过原合同采购金额的10%。</w:t>
      </w:r>
    </w:p>
    <w:p>
      <w:pPr>
        <w:pStyle w:val="3"/>
        <w:rPr>
          <w:rFonts w:ascii="宋体" w:eastAsia="宋体" w:cs="宋体"/>
          <w:color w:val="auto"/>
          <w:sz w:val="28"/>
          <w:szCs w:val="28"/>
          <w:highlight w:val="none"/>
        </w:rPr>
      </w:pPr>
      <w:bookmarkStart w:id="5" w:name="_Toc9992"/>
      <w:bookmarkStart w:id="6" w:name="_Toc19323"/>
      <w:r>
        <w:rPr>
          <w:rFonts w:hint="eastAsia" w:ascii="宋体" w:eastAsia="宋体" w:cs="宋体"/>
          <w:color w:val="auto"/>
          <w:sz w:val="28"/>
          <w:szCs w:val="28"/>
          <w:highlight w:val="none"/>
        </w:rPr>
        <w:t>2.合同一般条款</w:t>
      </w:r>
      <w:bookmarkEnd w:id="5"/>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2.1、定义</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（1）甲方（需方）即采购人，是指通过招标采购，接受合同货物及服务的各级国家机关、事业单位和团体组织。</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（2）乙方（供方）即中标供应商，是指中标后提供合同货物和服务的自然人、法人及其他组织。</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（3）合同是指由甲乙双方按照招标文件和投标文件的实质性内容，通过协商一致达成的书面协议。</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（4）合同价格指以中标价格为依据，在供方全面履行合同义务后，需方应支付给供方的金额。</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（5）技术资料是指合同货物及其相关的设计、制造、监造、检验、验收等文件（包括图纸、各种文字说明、标准）。</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2.2、货物内容</w:t>
      </w:r>
    </w:p>
    <w:p>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合同包括以下内容：货物名称、规格型号、技术参数、数量（单位）等内容。</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2.3、合同价格</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（1）合同价格即合同总价。</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（2）合同价格包括合同货物、技术资料、合同货物的税费、运杂费、保险费、包装费、装卸费及与货物有关的供方应纳的税费等，所有税费由乙方负担。</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2.4、转包或分包</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（1）本合同范围的货物，应由乙方直接供应，不得转让他人供应；</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（2）非经甲方书面同意，乙方不得将本合同范围的货物全部或部分分包给他人供应；</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（3）如有转让和未经甲方同意的分包行为，甲方有权解除合同，并追究乙方的违约责任。</w:t>
      </w:r>
    </w:p>
    <w:p>
      <w:pPr>
        <w:pStyle w:val="7"/>
        <w:spacing w:line="400" w:lineRule="exact"/>
        <w:rPr>
          <w:rFonts w:hAnsi="宋体" w:cs="宋体"/>
          <w:color w:val="auto"/>
          <w:highlight w:val="none"/>
        </w:rPr>
      </w:pPr>
      <w:r>
        <w:rPr>
          <w:rFonts w:hint="eastAsia" w:hAnsi="宋体" w:cs="宋体"/>
          <w:bCs/>
          <w:color w:val="auto"/>
          <w:highlight w:val="none"/>
        </w:rPr>
        <w:t xml:space="preserve">    2.5、质量保证及售后服务</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（1）乙方应按招标文件规定的货物性能、技术要求、质量标准向甲方提供未经使用的全新产品。</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（2）乙方提供的货物在质保期内因货物本身的质量问题发生故障，乙方应负责免费更换。对达不到技术要求者，根据实际情况，经双方协商，可按以下办法处理：</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A、更换：由乙方承担所发生的全部费用。</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B、退货处理：乙方应退还甲方支付的合同款，同时应承担该货物的直接费用（运输、保险、检验、货款利息及银行手续费等）。</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（3）如在使用过程中发生质量问题，乙方在接到甲方通知后在</w:t>
      </w:r>
      <w:r>
        <w:rPr>
          <w:rFonts w:hint="eastAsia" w:hAnsi="宋体" w:cs="宋体"/>
          <w:color w:val="auto"/>
          <w:highlight w:val="none"/>
          <w:u w:val="single"/>
        </w:rPr>
        <w:t>X</w:t>
      </w:r>
      <w:r>
        <w:rPr>
          <w:rFonts w:hint="eastAsia" w:hAnsi="宋体" w:cs="宋体"/>
          <w:color w:val="auto"/>
          <w:highlight w:val="none"/>
        </w:rPr>
        <w:t>小时内到达甲方现场。</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（4）在质保期内，乙方应对货物出现的质量及安全问题负责处理解决并承担一切费用。</w:t>
      </w:r>
    </w:p>
    <w:p>
      <w:pPr>
        <w:pStyle w:val="7"/>
        <w:spacing w:line="400" w:lineRule="exact"/>
        <w:ind w:firstLine="420" w:firstLineChars="200"/>
        <w:rPr>
          <w:rFonts w:hAnsi="宋体" w:cs="宋体"/>
          <w:color w:val="auto"/>
          <w:highlight w:val="none"/>
        </w:rPr>
      </w:pPr>
      <w:r>
        <w:rPr>
          <w:rFonts w:hint="eastAsia" w:hAnsi="宋体" w:cs="宋体"/>
          <w:color w:val="auto"/>
          <w:highlight w:val="none"/>
        </w:rPr>
        <w:t>（5）上述货物的免费保修期为</w:t>
      </w:r>
      <w:r>
        <w:rPr>
          <w:rFonts w:hint="eastAsia" w:hAnsi="宋体" w:cs="宋体"/>
          <w:color w:val="auto"/>
          <w:highlight w:val="none"/>
          <w:u w:val="single"/>
        </w:rPr>
        <w:t>X</w:t>
      </w:r>
      <w:r>
        <w:rPr>
          <w:rFonts w:hint="eastAsia" w:hAnsi="宋体" w:cs="宋体"/>
          <w:color w:val="auto"/>
          <w:highlight w:val="none"/>
        </w:rPr>
        <w:t>年。超过保修期的机器设备，终生维修，维修时只收部件成本费。</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（6）乙方提供的货物由原厂提供售后服务的，乙方必须提供原厂商出具的售后服务承诺函（原件）。</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2.6、付款</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（1）本合同使用货币币制为人民币。</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 xml:space="preserve">（2）付款方式及方法：按专用条款执行。 </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2.7、检查验收</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（1）供方应随货物提供合格证和质量证明文件，如是国外进口的货物还须提供入关证明。</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（2）货物验收</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需方所交货物的各种质量指标不得低于该投标文件中所提供的质量指标要求（供方提供样品的质量指标），售后服务质量要求按照招标文件和投标文件的内容执行。供方交货时，需方可根据需要随机抽取一部分货物送有关权威检测部门检测，如检测不合格，供方负责赔偿需方一切损失。</w:t>
      </w:r>
    </w:p>
    <w:p>
      <w:pPr>
        <w:snapToGrid w:val="0"/>
        <w:spacing w:line="400" w:lineRule="exact"/>
        <w:ind w:firstLine="210" w:firstLineChars="100"/>
        <w:rPr>
          <w:rFonts w:ascii="宋体" w:hAnsi="宋体" w:cs="宋体"/>
          <w:bCs/>
          <w:color w:val="auto"/>
          <w:szCs w:val="21"/>
          <w:highlight w:val="none"/>
        </w:rPr>
      </w:pPr>
      <w:r>
        <w:rPr>
          <w:rFonts w:hint="eastAsia" w:ascii="宋体" w:hAnsi="宋体" w:cs="宋体"/>
          <w:bCs/>
          <w:color w:val="auto"/>
          <w:szCs w:val="21"/>
          <w:highlight w:val="none"/>
        </w:rPr>
        <w:t>（3）货物验收报告应由需方、供方经办人签字，并加盖双方公章，以此作为支付凭据。</w:t>
      </w: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2.8、索赔</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供方所提供货物、工程或者服务不符合合同约定的，需方有权拒收货物、拒绝服务、解除合同，供方应赔偿需方所有损失。</w:t>
      </w:r>
    </w:p>
    <w:p>
      <w:pPr>
        <w:pStyle w:val="7"/>
        <w:spacing w:line="400" w:lineRule="exact"/>
        <w:rPr>
          <w:rFonts w:hAnsi="宋体" w:cs="宋体"/>
          <w:bCs/>
          <w:color w:val="auto"/>
          <w:highlight w:val="none"/>
        </w:rPr>
      </w:pPr>
      <w:r>
        <w:rPr>
          <w:rFonts w:hint="eastAsia" w:hAnsi="宋体" w:cs="宋体"/>
          <w:bCs/>
          <w:color w:val="auto"/>
          <w:highlight w:val="none"/>
        </w:rPr>
        <w:t xml:space="preserve">    2.9、知识产权</w:t>
      </w:r>
    </w:p>
    <w:p>
      <w:pPr>
        <w:snapToGrid w:val="0"/>
        <w:spacing w:line="400" w:lineRule="exact"/>
        <w:ind w:firstLine="315" w:firstLineChars="150"/>
        <w:rPr>
          <w:rFonts w:ascii="宋体" w:hAnsi="宋体" w:cs="宋体"/>
          <w:bCs/>
          <w:color w:val="auto"/>
          <w:szCs w:val="21"/>
          <w:highlight w:val="none"/>
        </w:rPr>
      </w:pPr>
      <w:r>
        <w:rPr>
          <w:rFonts w:hint="eastAsia" w:ascii="宋体" w:hAnsi="宋体" w:cs="宋体"/>
          <w:bCs/>
          <w:color w:val="auto"/>
          <w:szCs w:val="21"/>
          <w:highlight w:val="none"/>
        </w:rPr>
        <w:t>乙方应保证所提供的货物或其任何一部分均不会侵犯任何第三方的知识产权，如若出现侵权行为，由乙方付全部责任。</w:t>
      </w:r>
    </w:p>
    <w:p>
      <w:pPr>
        <w:autoSpaceDE w:val="0"/>
        <w:autoSpaceDN w:val="0"/>
        <w:spacing w:line="400" w:lineRule="exact"/>
        <w:rPr>
          <w:rFonts w:ascii="宋体" w:hAnsi="宋体" w:cs="宋体"/>
          <w:color w:val="auto"/>
          <w:szCs w:val="21"/>
          <w:highlight w:val="none"/>
          <w:lang w:val="zh-CN"/>
        </w:rPr>
      </w:pPr>
      <w:r>
        <w:rPr>
          <w:rFonts w:hint="eastAsia" w:ascii="宋体" w:hAnsi="宋体" w:cs="宋体"/>
          <w:bCs/>
          <w:color w:val="auto"/>
          <w:highlight w:val="none"/>
        </w:rPr>
        <w:t xml:space="preserve">    2.10</w:t>
      </w:r>
      <w:r>
        <w:rPr>
          <w:rFonts w:hint="eastAsia" w:ascii="宋体" w:hAnsi="宋体" w:cs="宋体"/>
          <w:b/>
          <w:color w:val="auto"/>
          <w:szCs w:val="21"/>
          <w:highlight w:val="none"/>
          <w:lang w:val="zh-CN"/>
        </w:rPr>
        <w:t>、人员培训（选择性条款）：</w:t>
      </w:r>
      <w:r>
        <w:rPr>
          <w:rFonts w:hint="eastAsia" w:ascii="宋体" w:hAnsi="宋体" w:cs="宋体"/>
          <w:color w:val="auto"/>
          <w:szCs w:val="21"/>
          <w:highlight w:val="none"/>
          <w:lang w:val="zh-CN"/>
        </w:rPr>
        <w:t>供方免费对需方人员进行技术培训，直到需方人员熟练操作或掌握为准。</w:t>
      </w:r>
    </w:p>
    <w:p>
      <w:pPr>
        <w:autoSpaceDE w:val="0"/>
        <w:autoSpaceDN w:val="0"/>
        <w:spacing w:line="400" w:lineRule="exact"/>
        <w:rPr>
          <w:rFonts w:ascii="宋体" w:hAnsi="宋体" w:cs="宋体"/>
          <w:color w:val="auto"/>
          <w:szCs w:val="21"/>
          <w:highlight w:val="none"/>
          <w:u w:val="single"/>
          <w:lang w:val="zh-CN"/>
        </w:rPr>
      </w:pPr>
      <w:r>
        <w:rPr>
          <w:rFonts w:hint="eastAsia" w:ascii="宋体" w:hAnsi="宋体" w:cs="宋体"/>
          <w:color w:val="auto"/>
          <w:szCs w:val="21"/>
          <w:highlight w:val="none"/>
          <w:lang w:val="zh-CN"/>
        </w:rPr>
        <w:t>培训地点：；培训时间：；</w:t>
      </w:r>
    </w:p>
    <w:p>
      <w:pPr>
        <w:autoSpaceDE w:val="0"/>
        <w:autoSpaceDN w:val="0"/>
        <w:spacing w:line="400" w:lineRule="exact"/>
        <w:rPr>
          <w:rFonts w:ascii="宋体" w:hAnsi="宋体" w:cs="宋体"/>
          <w:color w:val="auto"/>
          <w:szCs w:val="21"/>
          <w:highlight w:val="none"/>
          <w:lang w:val="zh-CN"/>
        </w:rPr>
      </w:pPr>
      <w:r>
        <w:rPr>
          <w:rFonts w:hint="eastAsia" w:ascii="宋体" w:hAnsi="宋体" w:cs="宋体"/>
          <w:color w:val="auto"/>
          <w:szCs w:val="21"/>
          <w:highlight w:val="none"/>
          <w:lang w:val="zh-CN"/>
        </w:rPr>
        <w:t>培训方式：；</w:t>
      </w:r>
    </w:p>
    <w:p>
      <w:pPr>
        <w:autoSpaceDE w:val="0"/>
        <w:autoSpaceDN w:val="0"/>
        <w:spacing w:line="400" w:lineRule="exact"/>
        <w:rPr>
          <w:rFonts w:ascii="宋体" w:hAnsi="宋体" w:cs="宋体"/>
          <w:vanish/>
          <w:color w:val="auto"/>
          <w:szCs w:val="21"/>
          <w:highlight w:val="none"/>
          <w:lang w:val="zh-CN"/>
        </w:rPr>
      </w:pPr>
    </w:p>
    <w:p>
      <w:pPr>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 xml:space="preserve">    2.11、违约责任</w:t>
      </w:r>
    </w:p>
    <w:p>
      <w:pPr>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按专用条款及招标文件的其他有关约定执行。专用条款及招标文件约定不明或未约定的，按照《中华人民共和国合同法》、《中华人民共和国政府采购法》的有关规定执行。</w:t>
      </w:r>
    </w:p>
    <w:p>
      <w:pPr>
        <w:pStyle w:val="3"/>
        <w:rPr>
          <w:rFonts w:ascii="宋体" w:eastAsia="宋体" w:cs="宋体"/>
          <w:color w:val="auto"/>
          <w:sz w:val="28"/>
          <w:szCs w:val="28"/>
          <w:highlight w:val="none"/>
        </w:rPr>
      </w:pPr>
      <w:bookmarkStart w:id="7" w:name="_Toc22180"/>
    </w:p>
    <w:p>
      <w:pPr>
        <w:pStyle w:val="4"/>
        <w:ind w:left="0" w:leftChars="0" w:firstLine="0" w:firstLineChars="0"/>
        <w:rPr>
          <w:color w:val="auto"/>
          <w:highlight w:val="none"/>
        </w:rPr>
      </w:pPr>
    </w:p>
    <w:p>
      <w:pPr>
        <w:pStyle w:val="3"/>
        <w:spacing w:line="360" w:lineRule="exact"/>
        <w:rPr>
          <w:rFonts w:ascii="宋体" w:eastAsia="宋体" w:cs="宋体"/>
          <w:color w:val="auto"/>
          <w:sz w:val="28"/>
          <w:szCs w:val="28"/>
          <w:highlight w:val="none"/>
        </w:rPr>
      </w:pPr>
      <w:r>
        <w:rPr>
          <w:rFonts w:hint="eastAsia" w:ascii="宋体" w:eastAsia="宋体" w:cs="宋体"/>
          <w:color w:val="auto"/>
          <w:sz w:val="28"/>
          <w:szCs w:val="28"/>
          <w:highlight w:val="none"/>
        </w:rPr>
        <w:t>3．合同专用条款</w:t>
      </w:r>
      <w:bookmarkStart w:id="8" w:name="_Toc292980968"/>
      <w:bookmarkStart w:id="9" w:name="_Toc12360"/>
      <w:bookmarkStart w:id="10" w:name="_Toc6436"/>
      <w:bookmarkEnd w:id="6"/>
      <w:r>
        <w:rPr>
          <w:rFonts w:hint="eastAsia" w:ascii="宋体" w:eastAsia="宋体" w:cs="宋体"/>
          <w:color w:val="auto"/>
          <w:sz w:val="28"/>
          <w:szCs w:val="28"/>
          <w:highlight w:val="none"/>
        </w:rPr>
        <w:t>（特别约定条款）</w:t>
      </w:r>
      <w:bookmarkEnd w:id="7"/>
    </w:p>
    <w:p>
      <w:pPr>
        <w:spacing w:line="360" w:lineRule="exact"/>
        <w:jc w:val="center"/>
        <w:rPr>
          <w:rFonts w:ascii="宋体" w:hAnsi="宋体" w:cs="宋体"/>
          <w:b/>
          <w:color w:val="auto"/>
          <w:szCs w:val="21"/>
          <w:highlight w:val="none"/>
        </w:rPr>
      </w:pPr>
      <w:r>
        <w:rPr>
          <w:rFonts w:hint="eastAsia" w:ascii="宋体" w:hAnsi="宋体" w:cs="宋体"/>
          <w:b/>
          <w:color w:val="auto"/>
          <w:szCs w:val="21"/>
          <w:highlight w:val="none"/>
        </w:rPr>
        <w:t>（注：可结合具体招标项目进行更明确的约定）</w:t>
      </w:r>
      <w:bookmarkEnd w:id="8"/>
      <w:bookmarkEnd w:id="9"/>
      <w:bookmarkEnd w:id="10"/>
    </w:p>
    <w:p>
      <w:pPr>
        <w:spacing w:line="360" w:lineRule="exact"/>
        <w:jc w:val="center"/>
        <w:rPr>
          <w:rFonts w:ascii="宋体" w:hAnsi="宋体" w:cs="宋体"/>
          <w:b/>
          <w:color w:val="auto"/>
          <w:szCs w:val="21"/>
          <w:highlight w:val="none"/>
        </w:rPr>
      </w:pPr>
    </w:p>
    <w:p>
      <w:pPr>
        <w:spacing w:line="360" w:lineRule="exact"/>
        <w:jc w:val="center"/>
        <w:rPr>
          <w:rFonts w:ascii="宋体" w:hAnsi="宋体" w:cs="宋体"/>
          <w:b/>
          <w:color w:val="auto"/>
          <w:sz w:val="24"/>
          <w:highlight w:val="none"/>
        </w:rPr>
      </w:pPr>
      <w:r>
        <w:rPr>
          <w:rFonts w:hint="eastAsia" w:ascii="宋体" w:hAnsi="宋体" w:cs="宋体"/>
          <w:b/>
          <w:color w:val="auto"/>
          <w:sz w:val="24"/>
          <w:highlight w:val="none"/>
        </w:rPr>
        <w:t>温县政府集中采购合同</w:t>
      </w:r>
    </w:p>
    <w:p>
      <w:pPr>
        <w:spacing w:line="360" w:lineRule="exact"/>
        <w:rPr>
          <w:rFonts w:ascii="宋体" w:hAnsi="宋体" w:cs="宋体"/>
          <w:color w:val="auto"/>
          <w:szCs w:val="21"/>
          <w:highlight w:val="none"/>
          <w:u w:val="single"/>
          <w:lang w:val="zh-CN"/>
        </w:rPr>
      </w:pPr>
      <w:r>
        <w:rPr>
          <w:rFonts w:hint="eastAsia" w:ascii="宋体" w:hAnsi="宋体" w:cs="宋体"/>
          <w:color w:val="auto"/>
          <w:szCs w:val="21"/>
          <w:highlight w:val="none"/>
          <w:lang w:val="zh-CN"/>
        </w:rPr>
        <w:t>合同编号：</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需方（甲方）（采购人全称）：</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供方（乙方）（中标供应商全称）：</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供方持签发的中标/成交通知书，根据招标文件、供方的投标/报价等文件[项目编号：温交易]，按照《政府采购法》、《合同法》等有关法律、法规的规定，供需双方经协商一致，达成以下合同专用条款：</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一、本合同名称</w:t>
      </w:r>
      <w:r>
        <w:rPr>
          <w:rFonts w:hint="eastAsia" w:ascii="宋体" w:hAnsi="宋体" w:cs="宋体"/>
          <w:color w:val="auto"/>
          <w:szCs w:val="21"/>
          <w:highlight w:val="none"/>
          <w:lang w:val="zh-CN"/>
        </w:rPr>
        <w:t>：。</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二、本合同总价</w:t>
      </w:r>
      <w:r>
        <w:rPr>
          <w:rFonts w:hint="eastAsia" w:ascii="宋体" w:hAnsi="宋体" w:cs="宋体"/>
          <w:color w:val="auto"/>
          <w:szCs w:val="21"/>
          <w:highlight w:val="none"/>
          <w:lang w:val="zh-CN"/>
        </w:rPr>
        <w:t>：元（人民币）（大写：元）。供货范围、技术规格、及分项价格如下：                      单位：人民币元</w:t>
      </w:r>
    </w:p>
    <w:tbl>
      <w:tblPr>
        <w:tblStyle w:val="14"/>
        <w:tblW w:w="9152" w:type="dxa"/>
        <w:jc w:val="center"/>
        <w:tblInd w:w="0" w:type="dxa"/>
        <w:tblLayout w:type="fixed"/>
        <w:tblCellMar>
          <w:top w:w="0" w:type="dxa"/>
          <w:left w:w="108" w:type="dxa"/>
          <w:bottom w:w="0" w:type="dxa"/>
          <w:right w:w="108" w:type="dxa"/>
        </w:tblCellMar>
      </w:tblPr>
      <w:tblGrid>
        <w:gridCol w:w="1435"/>
        <w:gridCol w:w="2410"/>
        <w:gridCol w:w="985"/>
        <w:gridCol w:w="707"/>
        <w:gridCol w:w="733"/>
        <w:gridCol w:w="720"/>
        <w:gridCol w:w="1029"/>
        <w:gridCol w:w="1108"/>
        <w:gridCol w:w="25"/>
      </w:tblGrid>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序号</w:t>
            </w:r>
          </w:p>
        </w:tc>
        <w:tc>
          <w:tcPr>
            <w:tcW w:w="241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名称</w:t>
            </w:r>
          </w:p>
        </w:tc>
        <w:tc>
          <w:tcPr>
            <w:tcW w:w="98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品牌/规格/型号</w:t>
            </w:r>
          </w:p>
        </w:tc>
        <w:tc>
          <w:tcPr>
            <w:tcW w:w="707"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单位</w:t>
            </w:r>
          </w:p>
        </w:tc>
        <w:tc>
          <w:tcPr>
            <w:tcW w:w="733"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单价</w:t>
            </w:r>
          </w:p>
        </w:tc>
        <w:tc>
          <w:tcPr>
            <w:tcW w:w="72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数量</w:t>
            </w:r>
          </w:p>
        </w:tc>
        <w:tc>
          <w:tcPr>
            <w:tcW w:w="1029" w:type="dxa"/>
            <w:tcBorders>
              <w:top w:val="single" w:color="auto" w:sz="6" w:space="0"/>
              <w:left w:val="single" w:color="auto" w:sz="6" w:space="0"/>
              <w:bottom w:val="single" w:color="auto" w:sz="6" w:space="0"/>
              <w:right w:val="single" w:color="auto" w:sz="4"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合计</w:t>
            </w:r>
          </w:p>
        </w:tc>
        <w:tc>
          <w:tcPr>
            <w:tcW w:w="1108" w:type="dxa"/>
            <w:tcBorders>
              <w:top w:val="single" w:color="auto" w:sz="6" w:space="0"/>
              <w:left w:val="single" w:color="auto" w:sz="4"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lang w:val="zh-CN"/>
              </w:rPr>
            </w:pPr>
            <w:r>
              <w:rPr>
                <w:rFonts w:hint="eastAsia" w:ascii="宋体" w:hAnsi="宋体" w:cs="宋体"/>
                <w:color w:val="auto"/>
                <w:szCs w:val="21"/>
                <w:highlight w:val="none"/>
                <w:lang w:val="zh-CN"/>
              </w:rPr>
              <w:t>备注</w:t>
            </w: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360" w:lineRule="exact"/>
              <w:jc w:val="center"/>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vAlign w:val="center"/>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vAlign w:val="center"/>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gridAfter w:val="1"/>
          <w:wAfter w:w="25" w:type="dxa"/>
          <w:jc w:val="center"/>
        </w:trPr>
        <w:tc>
          <w:tcPr>
            <w:tcW w:w="143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241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985"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07"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33"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20" w:type="dxa"/>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1029" w:type="dxa"/>
            <w:tcBorders>
              <w:top w:val="single" w:color="auto" w:sz="6" w:space="0"/>
              <w:left w:val="single" w:color="auto" w:sz="6" w:space="0"/>
              <w:bottom w:val="single" w:color="auto" w:sz="6" w:space="0"/>
              <w:right w:val="single" w:color="auto" w:sz="4" w:space="0"/>
            </w:tcBorders>
          </w:tcPr>
          <w:p>
            <w:pPr>
              <w:spacing w:line="360" w:lineRule="exact"/>
              <w:rPr>
                <w:rFonts w:ascii="宋体" w:hAnsi="宋体" w:cs="宋体"/>
                <w:color w:val="auto"/>
                <w:szCs w:val="21"/>
                <w:highlight w:val="none"/>
              </w:rPr>
            </w:pPr>
          </w:p>
        </w:tc>
        <w:tc>
          <w:tcPr>
            <w:tcW w:w="1108" w:type="dxa"/>
            <w:tcBorders>
              <w:top w:val="single" w:color="auto" w:sz="6" w:space="0"/>
              <w:left w:val="single" w:color="auto" w:sz="4" w:space="0"/>
              <w:bottom w:val="single" w:color="auto" w:sz="6" w:space="0"/>
              <w:right w:val="single" w:color="auto" w:sz="6" w:space="0"/>
            </w:tcBorders>
          </w:tcPr>
          <w:p>
            <w:pPr>
              <w:spacing w:line="360" w:lineRule="exact"/>
              <w:rPr>
                <w:rFonts w:ascii="宋体" w:hAnsi="宋体" w:cs="宋体"/>
                <w:color w:val="auto"/>
                <w:szCs w:val="21"/>
                <w:highlight w:val="none"/>
              </w:rPr>
            </w:pPr>
          </w:p>
        </w:tc>
      </w:tr>
      <w:tr>
        <w:tblPrEx>
          <w:tblLayout w:type="fixed"/>
          <w:tblCellMar>
            <w:top w:w="0" w:type="dxa"/>
            <w:left w:w="108" w:type="dxa"/>
            <w:bottom w:w="0" w:type="dxa"/>
            <w:right w:w="108" w:type="dxa"/>
          </w:tblCellMar>
        </w:tblPrEx>
        <w:trPr>
          <w:trHeight w:val="352" w:hRule="atLeast"/>
          <w:jc w:val="center"/>
        </w:trPr>
        <w:tc>
          <w:tcPr>
            <w:tcW w:w="1435" w:type="dxa"/>
            <w:vMerge w:val="restart"/>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lang w:val="zh-CN"/>
              </w:rPr>
            </w:pPr>
            <w:r>
              <w:rPr>
                <w:rFonts w:hint="eastAsia" w:ascii="宋体" w:hAnsi="宋体" w:cs="宋体"/>
                <w:color w:val="auto"/>
                <w:szCs w:val="21"/>
                <w:highlight w:val="none"/>
                <w:lang w:val="zh-CN"/>
              </w:rPr>
              <w:t>总价（人民币）</w:t>
            </w:r>
          </w:p>
        </w:tc>
        <w:tc>
          <w:tcPr>
            <w:tcW w:w="7717" w:type="dxa"/>
            <w:gridSpan w:val="8"/>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lang w:val="zh-CN"/>
              </w:rPr>
            </w:pPr>
            <w:r>
              <w:rPr>
                <w:rFonts w:hint="eastAsia" w:ascii="宋体" w:hAnsi="宋体" w:cs="宋体"/>
                <w:color w:val="auto"/>
                <w:szCs w:val="21"/>
                <w:highlight w:val="none"/>
                <w:lang w:val="zh-CN"/>
              </w:rPr>
              <w:t>小写：</w:t>
            </w:r>
          </w:p>
        </w:tc>
      </w:tr>
      <w:tr>
        <w:tblPrEx>
          <w:tblLayout w:type="fixed"/>
          <w:tblCellMar>
            <w:top w:w="0" w:type="dxa"/>
            <w:left w:w="108" w:type="dxa"/>
            <w:bottom w:w="0" w:type="dxa"/>
            <w:right w:w="108" w:type="dxa"/>
          </w:tblCellMar>
        </w:tblPrEx>
        <w:trPr>
          <w:trHeight w:val="432" w:hRule="atLeast"/>
          <w:jc w:val="center"/>
        </w:trPr>
        <w:tc>
          <w:tcPr>
            <w:tcW w:w="1435" w:type="dxa"/>
            <w:vMerge w:val="continue"/>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p>
        </w:tc>
        <w:tc>
          <w:tcPr>
            <w:tcW w:w="7717" w:type="dxa"/>
            <w:gridSpan w:val="8"/>
            <w:tcBorders>
              <w:top w:val="single" w:color="auto" w:sz="6" w:space="0"/>
              <w:left w:val="single" w:color="auto" w:sz="6" w:space="0"/>
              <w:bottom w:val="single" w:color="auto" w:sz="6" w:space="0"/>
              <w:right w:val="single" w:color="auto" w:sz="6" w:space="0"/>
            </w:tcBorders>
          </w:tcPr>
          <w:p>
            <w:pPr>
              <w:spacing w:line="360" w:lineRule="exact"/>
              <w:rPr>
                <w:rFonts w:ascii="宋体" w:hAnsi="宋体" w:cs="宋体"/>
                <w:color w:val="auto"/>
                <w:szCs w:val="21"/>
                <w:highlight w:val="none"/>
              </w:rPr>
            </w:pPr>
            <w:r>
              <w:rPr>
                <w:rFonts w:hint="eastAsia" w:ascii="宋体" w:hAnsi="宋体" w:cs="宋体"/>
                <w:color w:val="auto"/>
                <w:szCs w:val="21"/>
                <w:highlight w:val="none"/>
                <w:lang w:val="zh-CN"/>
              </w:rPr>
              <w:t xml:space="preserve">大写： </w:t>
            </w:r>
            <w:r>
              <w:rPr>
                <w:rFonts w:hint="eastAsia" w:ascii="宋体" w:hAnsi="宋体" w:cs="宋体"/>
                <w:color w:val="auto"/>
                <w:szCs w:val="21"/>
                <w:highlight w:val="none"/>
              </w:rPr>
              <w:t xml:space="preserve">  佰   </w:t>
            </w:r>
            <w:r>
              <w:rPr>
                <w:rFonts w:hint="eastAsia" w:ascii="宋体" w:hAnsi="宋体" w:cs="宋体"/>
                <w:color w:val="auto"/>
                <w:szCs w:val="21"/>
                <w:highlight w:val="none"/>
                <w:lang w:val="zh-CN"/>
              </w:rPr>
              <w:t>拾万仟佰拾元   角   分</w:t>
            </w:r>
          </w:p>
        </w:tc>
      </w:tr>
    </w:tbl>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三、质量要求及供方对质量负责条件和期限：</w:t>
      </w:r>
    </w:p>
    <w:p>
      <w:pPr>
        <w:pStyle w:val="2"/>
        <w:rPr>
          <w:color w:val="auto"/>
          <w:highlight w:val="none"/>
          <w:lang w:val="zh-CN"/>
        </w:rPr>
      </w:pPr>
      <w:r>
        <w:rPr>
          <w:rFonts w:hint="eastAsia"/>
          <w:color w:val="auto"/>
          <w:highlight w:val="none"/>
        </w:rPr>
        <w:t>所供货物必须首先符合有关国家强制性规定、国家（行业）标准或相关法律法规要求</w:t>
      </w:r>
      <w:r>
        <w:rPr>
          <w:rFonts w:hint="eastAsia"/>
          <w:color w:val="auto"/>
          <w:highlight w:val="none"/>
          <w:lang w:val="zh-CN"/>
        </w:rPr>
        <w:t>，同时符合招标文件规定的质量要求。供方应提供全新未拆封产品（包括零部件、附件、备品备件等），如确需拆封的，应在供货前征得采购人同意，否则视为不能交货。供方保证全部按照合同规定的时间和方式向需方提供货物和服务，并负责可能的弥补缺陷。需方对货物规格、型号、质量有异议的，应在收到货物后日内以书面形式向供方提出，需安装调试成套设备的提出异议的期限为日。所供货物</w:t>
      </w:r>
      <w:r>
        <w:rPr>
          <w:color w:val="auto"/>
          <w:highlight w:val="none"/>
          <w:lang w:val="zh-CN"/>
        </w:rPr>
        <w:t>使用的所有五金配件必须是行业前十名品牌</w:t>
      </w:r>
      <w:r>
        <w:rPr>
          <w:rFonts w:hint="eastAsia"/>
          <w:color w:val="auto"/>
          <w:highlight w:val="none"/>
          <w:lang w:val="zh-CN"/>
        </w:rPr>
        <w:t>（</w:t>
      </w:r>
      <w:r>
        <w:rPr>
          <w:color w:val="auto"/>
          <w:highlight w:val="none"/>
          <w:lang w:val="zh-CN"/>
        </w:rPr>
        <w:t>网站排名榜显示为准）</w:t>
      </w:r>
    </w:p>
    <w:p>
      <w:pPr>
        <w:spacing w:line="38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四、供方的义务及售后服务承诺：</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w:t>
      </w:r>
      <w:r>
        <w:rPr>
          <w:rFonts w:ascii="宋体" w:hAnsi="宋体" w:cs="宋体"/>
          <w:color w:val="auto"/>
          <w:szCs w:val="21"/>
          <w:highlight w:val="none"/>
          <w:lang w:val="zh-CN"/>
        </w:rPr>
        <w:t>负责对所提供的所有产品进行环境监测，安装完成后现场及时检测（有资质检测单位完成）达到国家最新环保标准和及时入住标准（检测甲醛释放量、可溶性重金属等），所产生的费用自理。</w:t>
      </w:r>
    </w:p>
    <w:p>
      <w:pPr>
        <w:spacing w:line="360" w:lineRule="exact"/>
        <w:ind w:firstLine="420" w:firstLineChars="200"/>
        <w:rPr>
          <w:rFonts w:ascii="宋体" w:hAnsi="宋体" w:cs="宋体"/>
          <w:color w:val="auto"/>
          <w:szCs w:val="21"/>
          <w:highlight w:val="none"/>
          <w:u w:val="single"/>
          <w:lang w:val="zh-CN"/>
        </w:rPr>
      </w:pPr>
      <w:r>
        <w:rPr>
          <w:rFonts w:hint="eastAsia" w:ascii="宋体" w:hAnsi="宋体" w:cs="宋体"/>
          <w:color w:val="auto"/>
          <w:szCs w:val="21"/>
          <w:highlight w:val="none"/>
          <w:lang w:val="zh-CN"/>
        </w:rPr>
        <w:t xml:space="preserve">售后服务响应时间： </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解决问题时间：</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售后服务机构名称、地址及联系方式：</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其他服务承诺：</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五、合同履行地点及进度</w:t>
      </w:r>
      <w:r>
        <w:rPr>
          <w:rFonts w:hint="eastAsia" w:ascii="宋体" w:hAnsi="宋体" w:cs="宋体"/>
          <w:color w:val="auto"/>
          <w:szCs w:val="21"/>
          <w:highlight w:val="none"/>
          <w:lang w:val="zh-CN"/>
        </w:rPr>
        <w:t>：合同生效后，供方应于年月日前按需方要求在</w:t>
      </w:r>
      <w:r>
        <w:rPr>
          <w:rFonts w:hint="eastAsia" w:ascii="宋体" w:hAnsi="宋体" w:cs="宋体"/>
          <w:color w:val="auto"/>
          <w:szCs w:val="21"/>
          <w:highlight w:val="none"/>
          <w:u w:val="single"/>
          <w:lang w:val="zh-CN"/>
        </w:rPr>
        <w:t xml:space="preserve">                （</w:t>
      </w:r>
      <w:r>
        <w:rPr>
          <w:rFonts w:hint="eastAsia" w:ascii="宋体" w:hAnsi="宋体" w:cs="宋体"/>
          <w:color w:val="auto"/>
          <w:szCs w:val="21"/>
          <w:highlight w:val="none"/>
          <w:lang w:val="zh-CN"/>
        </w:rPr>
        <w:t>需方指定的地点）完成本项目的交货、安装、调试（或施工）。货物运送的费用由供方负责。需方应在货物到达指定地点后，提供符合安装条件的场地、电源、环境等。</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六、资料</w:t>
      </w:r>
      <w:r>
        <w:rPr>
          <w:rFonts w:hint="eastAsia" w:ascii="宋体" w:hAnsi="宋体" w:cs="宋体"/>
          <w:color w:val="auto"/>
          <w:szCs w:val="21"/>
          <w:highlight w:val="none"/>
          <w:lang w:val="zh-CN"/>
        </w:rPr>
        <w:t>：供方在交付货物时应向需方提供货物的使用说明、合格证书及其它相关资料，否则按不能交货对待。</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七、验收要求。</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1、供方履约完毕及时向需方提出验收申请。</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2、需方在收到供方验收申请后个工作日内组织验收。按照招标文件规定、中标供应商投标文件承诺，及国家有关规定认真组织验收工作。</w:t>
      </w:r>
    </w:p>
    <w:p>
      <w:pPr>
        <w:spacing w:line="360" w:lineRule="exact"/>
        <w:ind w:firstLine="420" w:firstLineChars="200"/>
        <w:rPr>
          <w:rFonts w:hint="eastAsia" w:ascii="宋体" w:hAnsi="宋体" w:cs="宋体"/>
          <w:color w:val="auto"/>
          <w:szCs w:val="21"/>
          <w:highlight w:val="none"/>
          <w:lang w:val="zh-CN"/>
        </w:rPr>
      </w:pPr>
      <w:r>
        <w:rPr>
          <w:rFonts w:hint="eastAsia" w:ascii="宋体" w:hAnsi="宋体" w:cs="宋体"/>
          <w:color w:val="auto"/>
          <w:szCs w:val="21"/>
          <w:highlight w:val="none"/>
          <w:lang w:val="zh-CN"/>
        </w:rPr>
        <w:t>3、验收合格后日内，需方出具《温县政府采购验收报告》。</w:t>
      </w:r>
    </w:p>
    <w:p>
      <w:pPr>
        <w:spacing w:line="360" w:lineRule="exact"/>
        <w:ind w:firstLine="420" w:firstLineChars="200"/>
        <w:rPr>
          <w:rFonts w:hint="eastAsia" w:ascii="宋体" w:hAnsi="宋体" w:cs="宋体"/>
          <w:color w:val="auto"/>
          <w:szCs w:val="21"/>
          <w:highlight w:val="none"/>
          <w:lang w:val="zh-CN"/>
        </w:rPr>
      </w:pPr>
      <w:r>
        <w:rPr>
          <w:rFonts w:hint="eastAsia" w:ascii="宋体" w:hAnsi="宋体" w:cs="宋体"/>
          <w:color w:val="auto"/>
          <w:szCs w:val="21"/>
          <w:highlight w:val="none"/>
          <w:lang w:val="zh-CN"/>
        </w:rPr>
        <w:t>八、付款程序、方式及期限：按照招标人确定的数量全部到货，支付合同价款的20%，安装完成并验收合格后支付到实际货款的90%，满一年无质量问题支付到实际货款的9</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val="zh-CN"/>
        </w:rPr>
        <w:t>%，余款质保期满无质量问题一次性无息付清</w:t>
      </w:r>
    </w:p>
    <w:p>
      <w:pPr>
        <w:spacing w:line="360" w:lineRule="exact"/>
        <w:ind w:firstLine="420" w:firstLineChars="200"/>
        <w:rPr>
          <w:rFonts w:hint="eastAsia" w:ascii="宋体" w:hAnsi="宋体" w:cs="宋体"/>
          <w:color w:val="auto"/>
          <w:szCs w:val="21"/>
          <w:highlight w:val="none"/>
          <w:lang w:val="zh-CN"/>
        </w:rPr>
      </w:pPr>
      <w:r>
        <w:rPr>
          <w:rFonts w:hint="eastAsia" w:ascii="宋体" w:hAnsi="宋体" w:cs="宋体"/>
          <w:color w:val="auto"/>
          <w:szCs w:val="21"/>
          <w:highlight w:val="none"/>
          <w:lang w:val="zh-CN"/>
        </w:rPr>
        <w:t>九、本合同单价为不变价，不受市场风险等因素的影响。</w:t>
      </w:r>
    </w:p>
    <w:p>
      <w:pPr>
        <w:spacing w:line="360" w:lineRule="exact"/>
        <w:ind w:firstLine="422" w:firstLineChars="200"/>
        <w:rPr>
          <w:rFonts w:ascii="宋体" w:hAnsi="宋体" w:cs="宋体"/>
          <w:b/>
          <w:color w:val="auto"/>
          <w:szCs w:val="21"/>
          <w:highlight w:val="none"/>
          <w:lang w:val="zh-CN"/>
        </w:rPr>
      </w:pPr>
      <w:r>
        <w:rPr>
          <w:rFonts w:hint="eastAsia" w:ascii="宋体" w:hAnsi="宋体" w:cs="宋体"/>
          <w:b/>
          <w:color w:val="auto"/>
          <w:szCs w:val="21"/>
          <w:highlight w:val="none"/>
          <w:lang w:val="zh-CN"/>
        </w:rPr>
        <w:t>十、违约责任</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供方所交付的货物品种、型号、规格、质量不符合国家规定标准及合同要求的，或者供方不能交付货物或完成系统安装、调试的或不能与省、市扶贫开发视频会议系统互联互通互控的，供方应向需方支付合同金额总值</w:t>
      </w:r>
      <w:r>
        <w:rPr>
          <w:rFonts w:hint="eastAsia" w:ascii="宋体" w:hAnsi="宋体" w:cs="宋体"/>
          <w:color w:val="auto"/>
          <w:szCs w:val="21"/>
          <w:highlight w:val="none"/>
        </w:rPr>
        <w:t>5</w:t>
      </w:r>
      <w:r>
        <w:rPr>
          <w:rFonts w:hint="eastAsia" w:ascii="宋体" w:hAnsi="宋体" w:cs="宋体"/>
          <w:color w:val="auto"/>
          <w:szCs w:val="21"/>
          <w:highlight w:val="none"/>
          <w:lang w:val="zh-CN"/>
        </w:rPr>
        <w:t>%的违约金，需方并有权解除合同，要求供方赔偿损失。供方如逾期交付的，每逾期一日供方应向需方支付合同金额的 0.1 %的违约金。逾期交付的违约金总额不超过合同总金额的20%。逾期超过日的，需方有权解除合同或者选择继续履行；需方要求供方继续履行合同的，不影响需方向供方主张违约责任。</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如需方违约，按合同一般条款执行。</w:t>
      </w:r>
    </w:p>
    <w:p>
      <w:pPr>
        <w:spacing w:line="360" w:lineRule="exact"/>
        <w:ind w:firstLine="422" w:firstLineChars="200"/>
        <w:rPr>
          <w:rFonts w:ascii="宋体" w:hAnsi="宋体" w:cs="宋体"/>
          <w:color w:val="auto"/>
          <w:szCs w:val="21"/>
          <w:highlight w:val="none"/>
          <w:lang w:val="zh-CN"/>
        </w:rPr>
      </w:pPr>
      <w:r>
        <w:rPr>
          <w:rFonts w:hint="eastAsia" w:ascii="宋体" w:hAnsi="宋体" w:cs="宋体"/>
          <w:b/>
          <w:color w:val="auto"/>
          <w:szCs w:val="21"/>
          <w:highlight w:val="none"/>
          <w:lang w:val="zh-CN"/>
        </w:rPr>
        <w:t>十</w:t>
      </w:r>
      <w:r>
        <w:rPr>
          <w:rFonts w:hint="eastAsia" w:ascii="宋体" w:hAnsi="宋体" w:cs="宋体"/>
          <w:b/>
          <w:color w:val="auto"/>
          <w:szCs w:val="21"/>
          <w:highlight w:val="none"/>
        </w:rPr>
        <w:t>一</w:t>
      </w:r>
      <w:r>
        <w:rPr>
          <w:rFonts w:hint="eastAsia" w:ascii="宋体" w:hAnsi="宋体" w:cs="宋体"/>
          <w:b/>
          <w:color w:val="auto"/>
          <w:szCs w:val="21"/>
          <w:highlight w:val="none"/>
          <w:lang w:val="zh-CN"/>
        </w:rPr>
        <w:t>、争议的解决</w:t>
      </w:r>
      <w:r>
        <w:rPr>
          <w:rFonts w:hint="eastAsia" w:ascii="宋体" w:hAnsi="宋体" w:cs="宋体"/>
          <w:color w:val="auto"/>
          <w:szCs w:val="21"/>
          <w:highlight w:val="none"/>
          <w:lang w:val="zh-CN"/>
        </w:rPr>
        <w:t>：</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1、双方友好协商；</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2、提请主管部门进行调解；</w:t>
      </w:r>
    </w:p>
    <w:p>
      <w:pPr>
        <w:spacing w:line="360" w:lineRule="exact"/>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3、由需方所在地人民法院诉讼管辖。</w:t>
      </w:r>
    </w:p>
    <w:p>
      <w:pPr>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十二、合同生效、备案及其它</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1、本合同经双方代表签字并加盖公章后生效。</w:t>
      </w:r>
    </w:p>
    <w:p>
      <w:pPr>
        <w:spacing w:line="36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w:t>
      </w:r>
      <w:r>
        <w:rPr>
          <w:rFonts w:hint="eastAsia" w:ascii="宋体" w:hAnsi="宋体" w:cs="宋体"/>
          <w:color w:val="auto"/>
          <w:szCs w:val="21"/>
          <w:highlight w:val="none"/>
          <w:u w:val="single"/>
        </w:rPr>
        <w:t>本合同一式五份，供需双方各持一份，</w:t>
      </w:r>
      <w:r>
        <w:rPr>
          <w:rFonts w:hint="eastAsia" w:ascii="宋体" w:hAnsi="宋体" w:cs="宋体"/>
          <w:b/>
          <w:bCs/>
          <w:color w:val="auto"/>
          <w:szCs w:val="21"/>
          <w:highlight w:val="none"/>
          <w:u w:val="single"/>
        </w:rPr>
        <w:t>在合同签订之日起七个工作日内</w:t>
      </w:r>
      <w:r>
        <w:rPr>
          <w:rFonts w:hint="eastAsia" w:ascii="宋体" w:hAnsi="宋体" w:cs="宋体"/>
          <w:color w:val="auto"/>
          <w:szCs w:val="21"/>
          <w:highlight w:val="none"/>
          <w:u w:val="single"/>
        </w:rPr>
        <w:t>交付温县财政局备案一份、温县公共资源交易中心存档一份，办理资金支付手续时提交一份。</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hint="eastAsia" w:ascii="宋体" w:hAnsi="宋体" w:cs="宋体"/>
          <w:color w:val="auto"/>
          <w:szCs w:val="21"/>
          <w:highlight w:val="none"/>
          <w:lang w:val="zh-CN"/>
        </w:rPr>
        <w:t>本合同未尽事宜，供需双方可签订补充协议，但补充协议不得违背本招标文件及供方的投标文件或报价文件的实质性约定内容。</w:t>
      </w:r>
    </w:p>
    <w:p>
      <w:pPr>
        <w:spacing w:line="360" w:lineRule="exact"/>
        <w:ind w:firstLine="420" w:firstLineChars="200"/>
        <w:rPr>
          <w:rFonts w:ascii="宋体" w:hAnsi="宋体" w:cs="宋体"/>
          <w:color w:val="auto"/>
          <w:szCs w:val="21"/>
          <w:highlight w:val="none"/>
        </w:rPr>
      </w:pP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供方（公章）：                          需方（公章）：</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地址：                                  地址：</w:t>
      </w:r>
    </w:p>
    <w:p>
      <w:pPr>
        <w:tabs>
          <w:tab w:val="left" w:pos="7290"/>
        </w:tabs>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法定代表人或委托                        法定代表人或委托</w:t>
      </w:r>
      <w:r>
        <w:rPr>
          <w:rFonts w:ascii="宋体" w:hAnsi="宋体" w:cs="宋体"/>
          <w:color w:val="auto"/>
          <w:szCs w:val="21"/>
          <w:highlight w:val="none"/>
        </w:rPr>
        <w:tab/>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代理人（签字）：                        代理人（签字）：</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电话：                                  电话：</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开户行：                                开户行：</w:t>
      </w:r>
    </w:p>
    <w:p>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账号：                                  账号：</w:t>
      </w:r>
    </w:p>
    <w:p>
      <w:pPr>
        <w:widowControl/>
        <w:spacing w:line="360" w:lineRule="exact"/>
        <w:ind w:firstLine="420" w:firstLineChars="200"/>
        <w:jc w:val="both"/>
        <w:rPr>
          <w:rFonts w:ascii="宋体" w:hAnsi="宋体" w:cs="宋体"/>
          <w:b/>
          <w:bCs/>
          <w:color w:val="auto"/>
          <w:kern w:val="0"/>
          <w:sz w:val="32"/>
          <w:szCs w:val="32"/>
          <w:highlight w:val="none"/>
        </w:rPr>
      </w:pPr>
      <w:r>
        <w:rPr>
          <w:rFonts w:hint="eastAsia" w:ascii="宋体" w:hAnsi="宋体" w:cs="宋体"/>
          <w:color w:val="auto"/>
          <w:szCs w:val="21"/>
          <w:highlight w:val="none"/>
        </w:rPr>
        <w:t xml:space="preserve">签约时间：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日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签约时间：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年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pPr>
        <w:widowControl/>
        <w:spacing w:line="560" w:lineRule="atLeast"/>
        <w:jc w:val="center"/>
        <w:outlineLvl w:val="0"/>
        <w:rPr>
          <w:rFonts w:ascii="宋体" w:hAnsi="宋体" w:cs="宋体"/>
          <w:b/>
          <w:bCs/>
          <w:color w:val="auto"/>
          <w:kern w:val="0"/>
          <w:sz w:val="32"/>
          <w:szCs w:val="32"/>
          <w:highlight w:val="none"/>
        </w:rPr>
      </w:pPr>
      <w:bookmarkStart w:id="11" w:name="_Toc11465"/>
      <w:r>
        <w:rPr>
          <w:rFonts w:hint="eastAsia" w:ascii="宋体" w:hAnsi="宋体" w:cs="宋体"/>
          <w:b/>
          <w:bCs/>
          <w:color w:val="auto"/>
          <w:kern w:val="0"/>
          <w:sz w:val="32"/>
          <w:szCs w:val="32"/>
          <w:highlight w:val="none"/>
        </w:rPr>
        <w:t>五、谈判响应性文件基本格式</w:t>
      </w:r>
      <w:bookmarkEnd w:id="11"/>
    </w:p>
    <w:p>
      <w:pPr>
        <w:jc w:val="right"/>
        <w:rPr>
          <w:rFonts w:ascii="宋体" w:hAnsi="宋体" w:cs="宋体"/>
          <w:color w:val="auto"/>
          <w:sz w:val="44"/>
          <w:szCs w:val="44"/>
          <w:highlight w:val="none"/>
        </w:rPr>
      </w:pPr>
      <w:r>
        <w:rPr>
          <w:rFonts w:hint="eastAsia" w:ascii="宋体" w:hAnsi="宋体" w:cs="宋体"/>
          <w:color w:val="auto"/>
          <w:sz w:val="44"/>
          <w:szCs w:val="44"/>
          <w:highlight w:val="none"/>
        </w:rPr>
        <w:t>正/副本</w:t>
      </w:r>
    </w:p>
    <w:p>
      <w:pPr>
        <w:jc w:val="right"/>
        <w:rPr>
          <w:rFonts w:ascii="宋体" w:hAnsi="宋体" w:cs="宋体"/>
          <w:color w:val="auto"/>
          <w:sz w:val="10"/>
          <w:szCs w:val="10"/>
          <w:highlight w:val="none"/>
        </w:rPr>
      </w:pPr>
    </w:p>
    <w:p>
      <w:pPr>
        <w:jc w:val="center"/>
        <w:rPr>
          <w:rFonts w:ascii="宋体" w:hAnsi="宋体" w:cs="宋体"/>
          <w:b/>
          <w:color w:val="auto"/>
          <w:sz w:val="44"/>
          <w:szCs w:val="44"/>
          <w:highlight w:val="none"/>
          <w:u w:val="single"/>
        </w:rPr>
      </w:pPr>
      <w:r>
        <w:rPr>
          <w:rFonts w:hint="eastAsia" w:ascii="宋体" w:hAnsi="宋体" w:cs="宋体"/>
          <w:b/>
          <w:color w:val="auto"/>
          <w:sz w:val="44"/>
          <w:szCs w:val="44"/>
          <w:highlight w:val="none"/>
        </w:rPr>
        <w:t xml:space="preserve"> （项目名称）</w:t>
      </w: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jc w:val="center"/>
        <w:rPr>
          <w:rFonts w:ascii="宋体" w:hAnsi="宋体" w:cs="宋体"/>
          <w:b/>
          <w:color w:val="auto"/>
          <w:sz w:val="72"/>
          <w:szCs w:val="72"/>
          <w:highlight w:val="none"/>
        </w:rPr>
      </w:pPr>
      <w:r>
        <w:rPr>
          <w:rFonts w:hint="eastAsia" w:ascii="宋体" w:hAnsi="宋体" w:cs="宋体"/>
          <w:b/>
          <w:color w:val="auto"/>
          <w:sz w:val="72"/>
          <w:szCs w:val="72"/>
          <w:highlight w:val="none"/>
        </w:rPr>
        <w:t>响 应 性 文 件</w:t>
      </w:r>
    </w:p>
    <w:p>
      <w:pPr>
        <w:widowControl/>
        <w:jc w:val="center"/>
        <w:rPr>
          <w:rFonts w:ascii="宋体" w:hAnsi="宋体"/>
          <w:color w:val="auto"/>
          <w:kern w:val="0"/>
          <w:szCs w:val="21"/>
          <w:highlight w:val="none"/>
        </w:rPr>
      </w:pPr>
      <w:r>
        <w:rPr>
          <w:rFonts w:hint="eastAsia" w:ascii="宋体" w:hAnsi="宋体"/>
          <w:color w:val="auto"/>
          <w:kern w:val="0"/>
          <w:szCs w:val="21"/>
          <w:highlight w:val="none"/>
        </w:rPr>
        <w:t>项目编号：温交易【    】  号</w:t>
      </w:r>
    </w:p>
    <w:p>
      <w:pPr>
        <w:widowControl/>
        <w:tabs>
          <w:tab w:val="center" w:pos="4940"/>
        </w:tabs>
        <w:ind w:firstLine="3360" w:firstLineChars="1600"/>
        <w:jc w:val="left"/>
        <w:rPr>
          <w:rFonts w:ascii="宋体" w:hAnsi="宋体"/>
          <w:color w:val="auto"/>
          <w:kern w:val="0"/>
          <w:szCs w:val="21"/>
          <w:highlight w:val="none"/>
        </w:rPr>
      </w:pPr>
      <w:r>
        <w:rPr>
          <w:rFonts w:hint="eastAsia" w:ascii="宋体" w:hAnsi="宋体"/>
          <w:color w:val="auto"/>
          <w:kern w:val="0"/>
          <w:szCs w:val="21"/>
          <w:highlight w:val="none"/>
        </w:rPr>
        <w:t>采购编号：温政采【    】  号</w:t>
      </w: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rPr>
          <w:rFonts w:ascii="宋体" w:hAnsi="宋体" w:cs="宋体"/>
          <w:b/>
          <w:color w:val="auto"/>
          <w:sz w:val="32"/>
          <w:szCs w:val="32"/>
          <w:highlight w:val="none"/>
        </w:rPr>
      </w:pPr>
    </w:p>
    <w:p>
      <w:pPr>
        <w:tabs>
          <w:tab w:val="left" w:pos="7200"/>
          <w:tab w:val="left" w:pos="7560"/>
        </w:tabs>
        <w:spacing w:line="480" w:lineRule="auto"/>
        <w:ind w:firstLine="1827" w:firstLineChars="650"/>
        <w:rPr>
          <w:rFonts w:ascii="宋体" w:hAnsi="宋体" w:cs="宋体"/>
          <w:b/>
          <w:color w:val="auto"/>
          <w:sz w:val="28"/>
          <w:highlight w:val="none"/>
        </w:rPr>
      </w:pPr>
      <w:r>
        <w:rPr>
          <w:rFonts w:hint="eastAsia" w:ascii="宋体" w:hAnsi="宋体" w:cs="宋体"/>
          <w:b/>
          <w:color w:val="auto"/>
          <w:sz w:val="28"/>
          <w:highlight w:val="none"/>
        </w:rPr>
        <w:t>投 标 人：</w:t>
      </w:r>
      <w:r>
        <w:rPr>
          <w:rFonts w:hint="eastAsia" w:ascii="宋体" w:hAnsi="宋体" w:cs="宋体"/>
          <w:b/>
          <w:color w:val="auto"/>
          <w:sz w:val="28"/>
          <w:highlight w:val="none"/>
          <w:u w:val="single"/>
        </w:rPr>
        <w:t xml:space="preserve">             （盖章）</w:t>
      </w:r>
    </w:p>
    <w:p>
      <w:pPr>
        <w:spacing w:line="480" w:lineRule="auto"/>
        <w:ind w:left="424" w:leftChars="202" w:firstLine="1405" w:firstLineChars="500"/>
        <w:rPr>
          <w:rFonts w:ascii="宋体" w:hAnsi="宋体" w:cs="宋体"/>
          <w:b/>
          <w:color w:val="auto"/>
          <w:sz w:val="28"/>
          <w:highlight w:val="none"/>
          <w:u w:val="single"/>
        </w:rPr>
      </w:pPr>
      <w:r>
        <w:rPr>
          <w:rFonts w:hint="eastAsia" w:ascii="宋体" w:hAnsi="宋体" w:cs="宋体"/>
          <w:b/>
          <w:color w:val="auto"/>
          <w:sz w:val="28"/>
          <w:highlight w:val="none"/>
        </w:rPr>
        <w:t>法定代表人或授权委托人:</w:t>
      </w:r>
      <w:r>
        <w:rPr>
          <w:rFonts w:hint="eastAsia" w:ascii="宋体" w:hAnsi="宋体" w:cs="宋体"/>
          <w:b/>
          <w:color w:val="auto"/>
          <w:sz w:val="28"/>
          <w:highlight w:val="none"/>
          <w:u w:val="single"/>
        </w:rPr>
        <w:t xml:space="preserve">         (签字或盖章) </w:t>
      </w:r>
    </w:p>
    <w:p>
      <w:pPr>
        <w:spacing w:line="480" w:lineRule="auto"/>
        <w:ind w:left="424" w:leftChars="202" w:firstLine="1405" w:firstLineChars="500"/>
        <w:rPr>
          <w:rFonts w:hint="default" w:ascii="宋体" w:hAnsi="宋体" w:eastAsia="宋体" w:cs="宋体"/>
          <w:b/>
          <w:color w:val="auto"/>
          <w:sz w:val="28"/>
          <w:highlight w:val="none"/>
          <w:u w:val="single"/>
          <w:lang w:val="en-US" w:eastAsia="zh-CN"/>
        </w:rPr>
      </w:pPr>
      <w:r>
        <w:rPr>
          <w:rFonts w:hint="eastAsia" w:ascii="宋体" w:hAnsi="宋体" w:cs="宋体"/>
          <w:b/>
          <w:color w:val="auto"/>
          <w:sz w:val="28"/>
          <w:highlight w:val="none"/>
        </w:rPr>
        <w:t>投标人地址：</w:t>
      </w:r>
      <w:r>
        <w:rPr>
          <w:rFonts w:hint="eastAsia" w:ascii="宋体" w:hAnsi="宋体" w:cs="宋体"/>
          <w:b/>
          <w:color w:val="auto"/>
          <w:sz w:val="28"/>
          <w:highlight w:val="none"/>
          <w:u w:val="single"/>
          <w:lang w:val="en-US" w:eastAsia="zh-CN"/>
        </w:rPr>
        <w:t xml:space="preserve">                                 </w:t>
      </w:r>
    </w:p>
    <w:p>
      <w:pPr>
        <w:spacing w:line="440" w:lineRule="exact"/>
        <w:ind w:left="424" w:leftChars="202" w:firstLine="1405" w:firstLineChars="500"/>
        <w:jc w:val="left"/>
        <w:rPr>
          <w:rFonts w:ascii="宋体" w:hAnsi="宋体" w:cs="宋体"/>
          <w:b/>
          <w:color w:val="auto"/>
          <w:sz w:val="28"/>
          <w:highlight w:val="none"/>
        </w:rPr>
      </w:pPr>
      <w:r>
        <w:rPr>
          <w:rFonts w:hint="eastAsia" w:ascii="宋体" w:hAnsi="宋体" w:cs="宋体"/>
          <w:b/>
          <w:color w:val="auto"/>
          <w:sz w:val="28"/>
          <w:highlight w:val="none"/>
        </w:rPr>
        <w:t>日    期：</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年</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月</w:t>
      </w:r>
      <w:r>
        <w:rPr>
          <w:rFonts w:hint="eastAsia" w:ascii="宋体" w:hAnsi="宋体" w:cs="宋体"/>
          <w:b/>
          <w:color w:val="auto"/>
          <w:sz w:val="28"/>
          <w:highlight w:val="none"/>
          <w:lang w:val="en-US" w:eastAsia="zh-CN"/>
        </w:rPr>
        <w:t xml:space="preserve">    </w:t>
      </w:r>
      <w:r>
        <w:rPr>
          <w:rFonts w:hint="eastAsia" w:ascii="宋体" w:hAnsi="宋体" w:cs="宋体"/>
          <w:b/>
          <w:color w:val="auto"/>
          <w:sz w:val="28"/>
          <w:highlight w:val="none"/>
        </w:rPr>
        <w:t>日</w:t>
      </w:r>
    </w:p>
    <w:p>
      <w:pPr>
        <w:widowControl/>
        <w:snapToGrid w:val="0"/>
        <w:spacing w:line="240" w:lineRule="exac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480" w:lineRule="atLeast"/>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1、谈判投标函</w:t>
      </w:r>
    </w:p>
    <w:p>
      <w:pPr>
        <w:widowControl/>
        <w:snapToGrid w:val="0"/>
        <w:spacing w:line="480" w:lineRule="atLeast"/>
        <w:jc w:val="center"/>
        <w:rPr>
          <w:rFonts w:ascii="宋体" w:hAnsi="宋体" w:cs="宋体"/>
          <w:b/>
          <w:bCs/>
          <w:color w:val="auto"/>
          <w:kern w:val="0"/>
          <w:sz w:val="24"/>
          <w:highlight w:val="none"/>
        </w:rPr>
      </w:pPr>
    </w:p>
    <w:p>
      <w:pPr>
        <w:widowControl/>
        <w:spacing w:line="560" w:lineRule="atLeast"/>
        <w:rPr>
          <w:rFonts w:ascii="宋体" w:hAnsi="宋体" w:cs="宋体"/>
          <w:b/>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b/>
          <w:color w:val="auto"/>
          <w:kern w:val="0"/>
          <w:szCs w:val="21"/>
          <w:highlight w:val="none"/>
        </w:rPr>
        <w:t>：</w:t>
      </w:r>
      <w:r>
        <w:rPr>
          <w:rFonts w:hint="eastAsia" w:ascii="宋体" w:hAnsi="宋体" w:cs="宋体"/>
          <w:b/>
          <w:color w:val="auto"/>
          <w:kern w:val="0"/>
          <w:szCs w:val="21"/>
          <w:highlight w:val="none"/>
          <w:u w:val="single"/>
        </w:rPr>
        <w:t>采购人（名称）</w:t>
      </w:r>
    </w:p>
    <w:p>
      <w:pPr>
        <w:spacing w:line="560" w:lineRule="exact"/>
        <w:ind w:firstLine="308" w:firstLineChars="147"/>
        <w:outlineLvl w:val="1"/>
        <w:rPr>
          <w:rFonts w:ascii="宋体" w:hAnsi="宋体" w:cs="宋体"/>
          <w:color w:val="auto"/>
          <w:szCs w:val="21"/>
          <w:highlight w:val="none"/>
        </w:rPr>
      </w:pPr>
      <w:r>
        <w:rPr>
          <w:rFonts w:hint="eastAsia" w:ascii="宋体" w:hAnsi="宋体" w:cs="宋体"/>
          <w:color w:val="auto"/>
          <w:szCs w:val="21"/>
          <w:highlight w:val="none"/>
        </w:rPr>
        <w:t>根据贵方项目编号为</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号的（项目名称）的竞争性谈判文件，签字代表：</w:t>
      </w:r>
      <w:r>
        <w:rPr>
          <w:rFonts w:hint="eastAsia" w:ascii="宋体" w:hAnsi="宋体" w:cs="宋体"/>
          <w:color w:val="auto"/>
          <w:szCs w:val="21"/>
          <w:highlight w:val="none"/>
          <w:u w:val="single"/>
        </w:rPr>
        <w:t xml:space="preserve">（法人代表）  </w:t>
      </w:r>
      <w:r>
        <w:rPr>
          <w:rFonts w:hint="eastAsia" w:ascii="宋体" w:hAnsi="宋体" w:cs="宋体"/>
          <w:color w:val="auto"/>
          <w:szCs w:val="21"/>
          <w:highlight w:val="none"/>
        </w:rPr>
        <w:t>正式授权并代表投标供应商</w:t>
      </w:r>
      <w:r>
        <w:rPr>
          <w:rFonts w:hint="eastAsia" w:ascii="宋体" w:hAnsi="宋体" w:cs="宋体"/>
          <w:color w:val="auto"/>
          <w:szCs w:val="21"/>
          <w:highlight w:val="none"/>
          <w:u w:val="single"/>
        </w:rPr>
        <w:t xml:space="preserve"> （单位名称、单位地址） </w:t>
      </w:r>
      <w:r>
        <w:rPr>
          <w:rFonts w:hint="eastAsia" w:ascii="宋体" w:hAnsi="宋体" w:cs="宋体"/>
          <w:color w:val="auto"/>
          <w:szCs w:val="21"/>
          <w:highlight w:val="none"/>
        </w:rPr>
        <w:t xml:space="preserve">提交以下文件正本份和副本份，并对之负法律责任。 </w:t>
      </w:r>
    </w:p>
    <w:p>
      <w:pPr>
        <w:spacing w:line="560" w:lineRule="exact"/>
        <w:ind w:firstLine="315" w:firstLineChars="150"/>
        <w:outlineLvl w:val="1"/>
        <w:rPr>
          <w:rFonts w:ascii="宋体" w:hAnsi="宋体" w:cs="宋体"/>
          <w:color w:val="auto"/>
          <w:szCs w:val="21"/>
          <w:highlight w:val="none"/>
        </w:rPr>
      </w:pPr>
      <w:r>
        <w:rPr>
          <w:rFonts w:hint="eastAsia" w:ascii="宋体" w:hAnsi="宋体" w:cs="宋体"/>
          <w:color w:val="auto"/>
          <w:szCs w:val="21"/>
          <w:highlight w:val="none"/>
        </w:rPr>
        <w:t>据此函，签字代表宣布同意如下：</w:t>
      </w:r>
    </w:p>
    <w:p>
      <w:pPr>
        <w:spacing w:line="560" w:lineRule="exact"/>
        <w:outlineLvl w:val="1"/>
        <w:rPr>
          <w:rFonts w:ascii="宋体" w:hAnsi="宋体" w:cs="宋体"/>
          <w:color w:val="auto"/>
          <w:szCs w:val="21"/>
          <w:highlight w:val="none"/>
        </w:rPr>
      </w:pPr>
      <w:r>
        <w:rPr>
          <w:rFonts w:hint="eastAsia" w:ascii="宋体" w:hAnsi="宋体" w:cs="宋体"/>
          <w:color w:val="auto"/>
          <w:szCs w:val="21"/>
          <w:highlight w:val="none"/>
        </w:rPr>
        <w:t xml:space="preserve">     1、我方已仔细研究了</w:t>
      </w:r>
      <w:r>
        <w:rPr>
          <w:rFonts w:hint="eastAsia" w:ascii="宋体" w:hAnsi="宋体" w:cs="宋体"/>
          <w:color w:val="auto"/>
          <w:szCs w:val="21"/>
          <w:highlight w:val="none"/>
          <w:u w:val="single"/>
        </w:rPr>
        <w:t xml:space="preserve">        （项目名称）</w:t>
      </w:r>
      <w:r>
        <w:rPr>
          <w:rFonts w:hint="eastAsia" w:ascii="宋体" w:hAnsi="宋体" w:cs="宋体"/>
          <w:color w:val="auto"/>
          <w:szCs w:val="21"/>
          <w:highlight w:val="none"/>
        </w:rPr>
        <w:t>招标文件的全部内容，愿意以人民币</w:t>
      </w:r>
      <w:r>
        <w:rPr>
          <w:rFonts w:hint="eastAsia" w:ascii="宋体" w:hAnsi="宋体" w:cs="宋体"/>
          <w:color w:val="auto"/>
          <w:szCs w:val="21"/>
          <w:highlight w:val="none"/>
          <w:u w:val="single"/>
        </w:rPr>
        <w:t xml:space="preserve">        元</w:t>
      </w:r>
      <w:r>
        <w:rPr>
          <w:rFonts w:hint="eastAsia" w:ascii="宋体" w:hAnsi="宋体" w:cs="宋体"/>
          <w:color w:val="auto"/>
          <w:szCs w:val="21"/>
          <w:highlight w:val="none"/>
        </w:rPr>
        <w:t>的投标报价，承担本项目的工作。</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2、如果我们的响应性谈判文件被接受，我们将按竞争性谈判文件的规定签订并严格履行合同中的责任和义务。</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3、投标供应商已详细审查全部竞争性谈判文件，包括修改文件以及全部参考资料和有关附件。我们完全理解并同意放弃对这方面有不明及误解的权力。</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4、本投标自开标日起有效期为60个日历天。</w:t>
      </w:r>
    </w:p>
    <w:p>
      <w:pPr>
        <w:spacing w:line="560" w:lineRule="exact"/>
        <w:ind w:firstLine="525" w:firstLineChars="250"/>
        <w:outlineLvl w:val="1"/>
        <w:rPr>
          <w:rFonts w:ascii="宋体" w:hAnsi="宋体" w:cs="宋体"/>
          <w:color w:val="auto"/>
          <w:szCs w:val="21"/>
          <w:highlight w:val="none"/>
        </w:rPr>
      </w:pPr>
      <w:r>
        <w:rPr>
          <w:rFonts w:hint="eastAsia" w:ascii="宋体" w:hAnsi="宋体" w:cs="宋体"/>
          <w:color w:val="auto"/>
          <w:szCs w:val="21"/>
          <w:highlight w:val="none"/>
        </w:rPr>
        <w:t>5、投标供应商同意提供按照贵方可能要求的与其投标有关的一切数据或资料，完全理解贵方不一定接受最低价的投标或没收任何投标。</w:t>
      </w:r>
    </w:p>
    <w:p>
      <w:pPr>
        <w:spacing w:line="560" w:lineRule="exact"/>
        <w:outlineLvl w:val="1"/>
        <w:rPr>
          <w:rFonts w:ascii="宋体" w:hAnsi="宋体" w:cs="宋体"/>
          <w:color w:val="auto"/>
          <w:szCs w:val="21"/>
          <w:highlight w:val="none"/>
        </w:rPr>
      </w:pPr>
    </w:p>
    <w:p>
      <w:pPr>
        <w:spacing w:line="560" w:lineRule="exact"/>
        <w:outlineLvl w:val="1"/>
        <w:rPr>
          <w:rFonts w:ascii="宋体" w:hAnsi="宋体" w:cs="宋体"/>
          <w:color w:val="auto"/>
          <w:szCs w:val="21"/>
          <w:highlight w:val="none"/>
          <w:u w:val="single"/>
        </w:rPr>
      </w:pPr>
      <w:r>
        <w:rPr>
          <w:rFonts w:hint="eastAsia" w:ascii="宋体" w:hAnsi="宋体" w:cs="宋体"/>
          <w:color w:val="auto"/>
          <w:szCs w:val="21"/>
          <w:highlight w:val="none"/>
        </w:rPr>
        <w:t xml:space="preserve">                                      投标供应商名称（公章）： </w:t>
      </w:r>
    </w:p>
    <w:p>
      <w:pPr>
        <w:spacing w:line="560" w:lineRule="exact"/>
        <w:outlineLvl w:val="1"/>
        <w:rPr>
          <w:rFonts w:ascii="宋体" w:hAnsi="宋体" w:cs="宋体"/>
          <w:b/>
          <w:color w:val="auto"/>
          <w:szCs w:val="21"/>
          <w:highlight w:val="none"/>
          <w:u w:val="single"/>
        </w:rPr>
      </w:pPr>
      <w:r>
        <w:rPr>
          <w:rFonts w:hint="eastAsia" w:ascii="宋体" w:hAnsi="宋体" w:cs="宋体"/>
          <w:color w:val="auto"/>
          <w:szCs w:val="21"/>
          <w:highlight w:val="none"/>
        </w:rPr>
        <w:t xml:space="preserve">                                     法定代表人或授权委托人签字:</w:t>
      </w:r>
    </w:p>
    <w:p>
      <w:pPr>
        <w:spacing w:line="560" w:lineRule="exact"/>
        <w:ind w:firstLine="3990" w:firstLineChars="1900"/>
        <w:outlineLvl w:val="1"/>
        <w:rPr>
          <w:rFonts w:ascii="宋体" w:hAnsi="宋体" w:cs="宋体"/>
          <w:color w:val="auto"/>
          <w:szCs w:val="21"/>
          <w:highlight w:val="none"/>
        </w:rPr>
      </w:pPr>
    </w:p>
    <w:p>
      <w:pPr>
        <w:spacing w:line="560" w:lineRule="exact"/>
        <w:ind w:firstLine="3990" w:firstLineChars="1900"/>
        <w:outlineLvl w:val="1"/>
        <w:rPr>
          <w:rFonts w:ascii="宋体" w:hAnsi="宋体" w:cs="宋体"/>
          <w:color w:val="auto"/>
          <w:szCs w:val="21"/>
          <w:highlight w:val="none"/>
        </w:rPr>
      </w:pPr>
      <w:r>
        <w:rPr>
          <w:rFonts w:hint="eastAsia" w:ascii="宋体" w:hAnsi="宋体" w:cs="宋体"/>
          <w:color w:val="auto"/>
          <w:szCs w:val="21"/>
          <w:highlight w:val="none"/>
        </w:rPr>
        <w:t>日   期：     年   月   日</w:t>
      </w:r>
    </w:p>
    <w:p>
      <w:pPr>
        <w:pStyle w:val="3"/>
        <w:spacing w:line="360" w:lineRule="exact"/>
        <w:jc w:val="both"/>
        <w:rPr>
          <w:rFonts w:ascii="宋体" w:eastAsia="宋体" w:cs="宋体"/>
          <w:color w:val="auto"/>
          <w:sz w:val="30"/>
          <w:szCs w:val="30"/>
          <w:highlight w:val="none"/>
        </w:rPr>
      </w:pPr>
    </w:p>
    <w:p>
      <w:pPr>
        <w:rPr>
          <w:rFonts w:ascii="宋体" w:hAnsi="宋体" w:cs="宋体"/>
          <w:color w:val="auto"/>
          <w:highlight w:val="none"/>
        </w:rPr>
      </w:pPr>
    </w:p>
    <w:p>
      <w:pPr>
        <w:rPr>
          <w:rFonts w:ascii="宋体" w:hAnsi="宋体" w:cs="宋体"/>
          <w:color w:val="auto"/>
          <w:highlight w:val="none"/>
        </w:rPr>
      </w:pPr>
    </w:p>
    <w:p>
      <w:pPr>
        <w:pStyle w:val="3"/>
        <w:spacing w:line="360" w:lineRule="exact"/>
        <w:jc w:val="both"/>
        <w:rPr>
          <w:rFonts w:ascii="宋体" w:eastAsia="宋体" w:cs="宋体"/>
          <w:color w:val="auto"/>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bookmarkStart w:id="12" w:name="_Toc20128"/>
      <w:bookmarkStart w:id="13" w:name="_Toc13214"/>
      <w:bookmarkStart w:id="14" w:name="_Toc17338"/>
      <w:bookmarkStart w:id="15" w:name="_Toc371425861"/>
      <w:bookmarkStart w:id="16" w:name="_Toc371423289"/>
      <w:bookmarkStart w:id="17" w:name="_Toc4599"/>
      <w:bookmarkStart w:id="18" w:name="_Toc22723"/>
      <w:bookmarkStart w:id="19" w:name="_Toc29345"/>
      <w:bookmarkStart w:id="20" w:name="_Toc14402"/>
      <w:bookmarkStart w:id="21" w:name="_Toc14177"/>
      <w:bookmarkStart w:id="22" w:name="_Toc18432"/>
      <w:bookmarkStart w:id="23" w:name="_Toc7753"/>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2、第一轮报价表</w:t>
      </w:r>
    </w:p>
    <w:p>
      <w:pPr>
        <w:widowControl/>
        <w:spacing w:line="360" w:lineRule="exact"/>
        <w:jc w:val="left"/>
        <w:outlineLvl w:val="1"/>
        <w:rPr>
          <w:rFonts w:ascii="宋体" w:hAnsi="宋体" w:cs="宋体"/>
          <w:color w:val="auto"/>
          <w:kern w:val="0"/>
          <w:sz w:val="32"/>
          <w:szCs w:val="32"/>
          <w:highlight w:val="none"/>
        </w:rPr>
      </w:pPr>
    </w:p>
    <w:tbl>
      <w:tblPr>
        <w:tblStyle w:val="14"/>
        <w:tblW w:w="9300" w:type="dxa"/>
        <w:tblInd w:w="239" w:type="dxa"/>
        <w:tblLayout w:type="fixed"/>
        <w:tblCellMar>
          <w:top w:w="0" w:type="dxa"/>
          <w:left w:w="0" w:type="dxa"/>
          <w:bottom w:w="0" w:type="dxa"/>
          <w:right w:w="0" w:type="dxa"/>
        </w:tblCellMar>
      </w:tblPr>
      <w:tblGrid>
        <w:gridCol w:w="1620"/>
        <w:gridCol w:w="3374"/>
        <w:gridCol w:w="1322"/>
        <w:gridCol w:w="2984"/>
      </w:tblGrid>
      <w:tr>
        <w:tblPrEx>
          <w:tblLayout w:type="fixed"/>
          <w:tblCellMar>
            <w:top w:w="0" w:type="dxa"/>
            <w:left w:w="0" w:type="dxa"/>
            <w:bottom w:w="0" w:type="dxa"/>
            <w:right w:w="0" w:type="dxa"/>
          </w:tblCellMar>
        </w:tblPrEx>
        <w:trPr>
          <w:cantSplit/>
          <w:trHeight w:val="8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3374"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1322"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项目编号</w:t>
            </w:r>
          </w:p>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采购编号</w:t>
            </w:r>
          </w:p>
        </w:tc>
        <w:tc>
          <w:tcPr>
            <w:tcW w:w="2984"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1513" w:hRule="atLeast"/>
        </w:trPr>
        <w:tc>
          <w:tcPr>
            <w:tcW w:w="162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投标总报价</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ind w:firstLine="1575" w:firstLineChars="750"/>
              <w:rPr>
                <w:rFonts w:ascii="宋体" w:hAnsi="宋体" w:cs="宋体"/>
                <w:color w:val="auto"/>
                <w:szCs w:val="21"/>
                <w:highlight w:val="none"/>
              </w:rPr>
            </w:pPr>
            <w:r>
              <w:rPr>
                <w:rFonts w:hint="eastAsia" w:ascii="宋体" w:hAnsi="宋体" w:cs="宋体"/>
                <w:color w:val="auto"/>
                <w:szCs w:val="21"/>
                <w:highlight w:val="none"/>
              </w:rPr>
              <w:t>人民币大写：</w:t>
            </w:r>
          </w:p>
          <w:p>
            <w:pPr>
              <w:spacing w:line="360" w:lineRule="exact"/>
              <w:ind w:firstLine="1575" w:firstLineChars="750"/>
              <w:rPr>
                <w:rFonts w:ascii="宋体" w:hAnsi="宋体" w:cs="宋体"/>
                <w:color w:val="auto"/>
                <w:szCs w:val="21"/>
                <w:highlight w:val="none"/>
              </w:rPr>
            </w:pPr>
          </w:p>
          <w:p>
            <w:pPr>
              <w:spacing w:line="360" w:lineRule="exact"/>
              <w:ind w:firstLine="1575" w:firstLineChars="750"/>
              <w:rPr>
                <w:rFonts w:ascii="宋体" w:hAnsi="宋体" w:cs="宋体"/>
                <w:color w:val="auto"/>
                <w:szCs w:val="21"/>
                <w:highlight w:val="none"/>
                <w:u w:val="single"/>
              </w:rPr>
            </w:pPr>
            <w:r>
              <w:rPr>
                <w:rFonts w:hint="eastAsia" w:ascii="宋体" w:hAnsi="宋体" w:cs="宋体"/>
                <w:color w:val="auto"/>
                <w:szCs w:val="21"/>
                <w:highlight w:val="none"/>
              </w:rPr>
              <w:t>人民币小写：</w:t>
            </w:r>
          </w:p>
        </w:tc>
      </w:tr>
      <w:tr>
        <w:tblPrEx>
          <w:tblLayout w:type="fixed"/>
          <w:tblCellMar>
            <w:top w:w="0" w:type="dxa"/>
            <w:left w:w="0" w:type="dxa"/>
            <w:bottom w:w="0" w:type="dxa"/>
            <w:right w:w="0" w:type="dxa"/>
          </w:tblCellMar>
        </w:tblPrEx>
        <w:trPr>
          <w:cantSplit/>
          <w:trHeight w:val="1053" w:hRule="atLeast"/>
        </w:trPr>
        <w:tc>
          <w:tcPr>
            <w:tcW w:w="1620"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质量</w:t>
            </w:r>
          </w:p>
        </w:tc>
        <w:tc>
          <w:tcPr>
            <w:tcW w:w="7680"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供货期</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1695"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优惠条件</w:t>
            </w: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cs="宋体"/>
                <w:color w:val="auto"/>
                <w:szCs w:val="21"/>
                <w:highlight w:val="none"/>
              </w:rPr>
            </w:pPr>
          </w:p>
        </w:tc>
      </w:tr>
      <w:tr>
        <w:tblPrEx>
          <w:tblLayout w:type="fixed"/>
          <w:tblCellMar>
            <w:top w:w="0" w:type="dxa"/>
            <w:left w:w="0" w:type="dxa"/>
            <w:bottom w:w="0" w:type="dxa"/>
            <w:right w:w="0" w:type="dxa"/>
          </w:tblCellMar>
        </w:tblPrEx>
        <w:trPr>
          <w:cantSplit/>
          <w:trHeight w:val="2542" w:hRule="atLeast"/>
        </w:trPr>
        <w:tc>
          <w:tcPr>
            <w:tcW w:w="1620"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7680"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rPr>
                <w:rFonts w:ascii="宋体" w:hAnsi="宋体" w:cs="宋体"/>
                <w:b/>
                <w:color w:val="auto"/>
                <w:szCs w:val="21"/>
                <w:highlight w:val="none"/>
              </w:rPr>
            </w:pPr>
            <w:r>
              <w:rPr>
                <w:rFonts w:hint="eastAsia" w:ascii="宋体" w:hAnsi="宋体" w:cs="宋体"/>
                <w:b/>
                <w:color w:val="auto"/>
                <w:szCs w:val="21"/>
                <w:highlight w:val="none"/>
              </w:rPr>
              <w:t>说明：</w:t>
            </w:r>
          </w:p>
          <w:p>
            <w:pPr>
              <w:spacing w:line="360" w:lineRule="exact"/>
              <w:rPr>
                <w:rFonts w:ascii="宋体" w:hAnsi="宋体" w:cs="宋体"/>
                <w:color w:val="auto"/>
                <w:szCs w:val="21"/>
                <w:highlight w:val="none"/>
              </w:rPr>
            </w:pPr>
            <w:r>
              <w:rPr>
                <w:rFonts w:hint="eastAsia" w:ascii="宋体" w:hAnsi="宋体" w:cs="宋体"/>
                <w:color w:val="auto"/>
                <w:szCs w:val="21"/>
                <w:highlight w:val="none"/>
              </w:rPr>
              <w:t>1、本表投标总价应与投标文件中报价表、投标函的总报价一致，不一致者以《投标函》中总报价为准（大小写不一致以大写金额为准），投标人将承担由此造成的一切后果。</w:t>
            </w:r>
          </w:p>
          <w:p>
            <w:pPr>
              <w:ind w:left="1"/>
              <w:jc w:val="left"/>
              <w:rPr>
                <w:rFonts w:ascii="宋体" w:hAnsi="宋体" w:cs="宋体"/>
                <w:color w:val="auto"/>
                <w:szCs w:val="21"/>
                <w:highlight w:val="none"/>
              </w:rPr>
            </w:pPr>
            <w:r>
              <w:rPr>
                <w:rFonts w:hint="eastAsia" w:ascii="宋体" w:hAnsi="宋体" w:cs="宋体"/>
                <w:color w:val="auto"/>
                <w:szCs w:val="21"/>
                <w:highlight w:val="none"/>
              </w:rPr>
              <w:t>2、投标总报价应包含成本、运输、税金、培训、安装调试等一切与之相关费用。</w:t>
            </w:r>
          </w:p>
        </w:tc>
      </w:tr>
    </w:tbl>
    <w:p>
      <w:pPr>
        <w:autoSpaceDE w:val="0"/>
        <w:autoSpaceDN w:val="0"/>
        <w:adjustRightInd w:val="0"/>
        <w:spacing w:line="160" w:lineRule="exact"/>
        <w:jc w:val="center"/>
        <w:rPr>
          <w:rFonts w:ascii="宋体" w:hAnsi="宋体" w:cs="宋体"/>
          <w:b/>
          <w:color w:val="auto"/>
          <w:sz w:val="24"/>
          <w:highlight w:val="none"/>
        </w:rPr>
      </w:pPr>
    </w:p>
    <w:p>
      <w:pPr>
        <w:spacing w:line="360" w:lineRule="exact"/>
        <w:jc w:val="center"/>
        <w:outlineLvl w:val="1"/>
        <w:rPr>
          <w:rFonts w:ascii="宋体" w:hAnsi="宋体" w:cs="宋体"/>
          <w:color w:val="auto"/>
          <w:sz w:val="24"/>
          <w:highlight w:val="none"/>
        </w:rPr>
      </w:pPr>
    </w:p>
    <w:p>
      <w:pPr>
        <w:spacing w:line="360" w:lineRule="exact"/>
        <w:outlineLvl w:val="1"/>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Cs w:val="21"/>
          <w:highlight w:val="none"/>
        </w:rPr>
        <w:t xml:space="preserve"> 投标供应商名称</w:t>
      </w:r>
      <w:r>
        <w:rPr>
          <w:rFonts w:hint="eastAsia" w:ascii="宋体" w:hAnsi="宋体" w:cs="宋体"/>
          <w:color w:val="auto"/>
          <w:sz w:val="24"/>
          <w:highlight w:val="none"/>
        </w:rPr>
        <w:t>（公章）：</w:t>
      </w:r>
    </w:p>
    <w:p>
      <w:pPr>
        <w:rPr>
          <w:rFonts w:ascii="宋体" w:hAnsi="宋体" w:cs="宋体"/>
          <w:color w:val="auto"/>
          <w:sz w:val="24"/>
          <w:highlight w:val="none"/>
        </w:rPr>
      </w:pPr>
    </w:p>
    <w:p>
      <w:pPr>
        <w:rPr>
          <w:rFonts w:ascii="宋体" w:hAnsi="宋体" w:cs="宋体"/>
          <w:color w:val="auto"/>
          <w:sz w:val="24"/>
          <w:highlight w:val="none"/>
        </w:rPr>
      </w:pPr>
      <w:r>
        <w:rPr>
          <w:rFonts w:hint="eastAsia" w:ascii="宋体" w:hAnsi="宋体" w:cs="宋体"/>
          <w:color w:val="auto"/>
          <w:sz w:val="24"/>
          <w:highlight w:val="none"/>
        </w:rPr>
        <w:t>法定代表人或授权委托人签字:</w:t>
      </w:r>
    </w:p>
    <w:p>
      <w:pPr>
        <w:rPr>
          <w:rFonts w:ascii="宋体" w:hAnsi="宋体" w:cs="宋体"/>
          <w:color w:val="auto"/>
          <w:sz w:val="24"/>
          <w:highlight w:val="none"/>
        </w:rPr>
      </w:pPr>
    </w:p>
    <w:p>
      <w:pPr>
        <w:rPr>
          <w:rFonts w:ascii="宋体" w:hAnsi="宋体" w:cs="宋体"/>
          <w:color w:val="auto"/>
          <w:highlight w:val="none"/>
        </w:rPr>
      </w:pPr>
      <w:r>
        <w:rPr>
          <w:rFonts w:hint="eastAsia" w:ascii="宋体" w:hAnsi="宋体" w:cs="宋体"/>
          <w:color w:val="auto"/>
          <w:sz w:val="24"/>
          <w:highlight w:val="none"/>
        </w:rPr>
        <w:t xml:space="preserve">                                                          年    月   日</w:t>
      </w:r>
    </w:p>
    <w:p>
      <w:pPr>
        <w:pStyle w:val="2"/>
        <w:rPr>
          <w:color w:val="auto"/>
          <w:highlight w:val="none"/>
        </w:rPr>
      </w:pPr>
    </w:p>
    <w:p>
      <w:pPr>
        <w:widowControl/>
        <w:snapToGrid w:val="0"/>
        <w:spacing w:line="600" w:lineRule="exact"/>
        <w:jc w:val="center"/>
        <w:rPr>
          <w:rFonts w:hint="default" w:ascii="宋体" w:hAnsi="宋体" w:eastAsia="宋体" w:cs="宋体"/>
          <w:b/>
          <w:bCs/>
          <w:color w:val="auto"/>
          <w:kern w:val="0"/>
          <w:sz w:val="30"/>
          <w:szCs w:val="30"/>
          <w:highlight w:val="none"/>
          <w:lang w:val="en-US" w:eastAsia="zh-CN"/>
        </w:rPr>
      </w:pPr>
      <w:bookmarkStart w:id="24" w:name="_Toc21646"/>
      <w:bookmarkStart w:id="25" w:name="_Toc3520"/>
      <w:bookmarkStart w:id="26" w:name="_Toc14122"/>
      <w:bookmarkStart w:id="27" w:name="_Toc371423288"/>
      <w:bookmarkStart w:id="28" w:name="_Toc19574"/>
      <w:bookmarkStart w:id="29" w:name="_Toc14858"/>
      <w:bookmarkStart w:id="30" w:name="_Toc371425860"/>
      <w:bookmarkStart w:id="31" w:name="_Toc3409"/>
      <w:bookmarkStart w:id="32" w:name="_Toc2598"/>
      <w:bookmarkStart w:id="33" w:name="_Toc31498"/>
      <w:bookmarkStart w:id="34" w:name="_Toc2654"/>
      <w:bookmarkStart w:id="35" w:name="_Toc23199"/>
      <w:r>
        <w:rPr>
          <w:rFonts w:hint="eastAsia" w:ascii="宋体" w:hAnsi="宋体" w:cs="宋体"/>
          <w:b/>
          <w:bCs/>
          <w:color w:val="auto"/>
          <w:kern w:val="0"/>
          <w:sz w:val="30"/>
          <w:szCs w:val="30"/>
          <w:highlight w:val="none"/>
        </w:rPr>
        <w:t>3、货物分项报价一览表</w:t>
      </w:r>
      <w:bookmarkEnd w:id="24"/>
      <w:bookmarkEnd w:id="25"/>
      <w:bookmarkEnd w:id="26"/>
      <w:bookmarkEnd w:id="27"/>
      <w:bookmarkEnd w:id="28"/>
      <w:bookmarkEnd w:id="29"/>
      <w:bookmarkEnd w:id="30"/>
      <w:bookmarkEnd w:id="31"/>
      <w:bookmarkEnd w:id="32"/>
      <w:bookmarkEnd w:id="33"/>
      <w:bookmarkEnd w:id="34"/>
      <w:bookmarkEnd w:id="35"/>
      <w:r>
        <w:rPr>
          <w:rFonts w:hint="eastAsia" w:ascii="宋体" w:hAnsi="宋体" w:cs="宋体"/>
          <w:b/>
          <w:bCs/>
          <w:color w:val="auto"/>
          <w:kern w:val="0"/>
          <w:sz w:val="30"/>
          <w:szCs w:val="30"/>
          <w:highlight w:val="none"/>
          <w:lang w:eastAsia="zh-CN"/>
        </w:rPr>
        <w:t>（</w:t>
      </w:r>
      <w:r>
        <w:rPr>
          <w:rFonts w:hint="eastAsia" w:ascii="宋体" w:hAnsi="宋体" w:cs="宋体"/>
          <w:b/>
          <w:bCs/>
          <w:color w:val="auto"/>
          <w:kern w:val="0"/>
          <w:sz w:val="30"/>
          <w:szCs w:val="30"/>
          <w:highlight w:val="none"/>
          <w:lang w:val="en-US" w:eastAsia="zh-CN"/>
        </w:rPr>
        <w:t>一轮）</w:t>
      </w:r>
    </w:p>
    <w:p>
      <w:pPr>
        <w:widowControl/>
        <w:spacing w:line="360" w:lineRule="exact"/>
        <w:jc w:val="left"/>
        <w:rPr>
          <w:rFonts w:ascii="宋体" w:hAnsi="宋体" w:cs="宋体"/>
          <w:i/>
          <w:color w:val="auto"/>
          <w:kern w:val="0"/>
          <w:szCs w:val="21"/>
          <w:highlight w:val="none"/>
        </w:rPr>
      </w:pPr>
    </w:p>
    <w:tbl>
      <w:tblPr>
        <w:tblStyle w:val="14"/>
        <w:tblpPr w:leftFromText="180" w:rightFromText="180" w:vertAnchor="text" w:horzAnchor="page" w:tblpX="1378" w:tblpY="355"/>
        <w:tblOverlap w:val="never"/>
        <w:tblW w:w="9611" w:type="dxa"/>
        <w:tblInd w:w="0" w:type="dxa"/>
        <w:tblLayout w:type="fixed"/>
        <w:tblCellMar>
          <w:top w:w="0" w:type="dxa"/>
          <w:left w:w="0" w:type="dxa"/>
          <w:bottom w:w="0" w:type="dxa"/>
          <w:right w:w="0" w:type="dxa"/>
        </w:tblCellMar>
      </w:tblPr>
      <w:tblGrid>
        <w:gridCol w:w="677"/>
        <w:gridCol w:w="1966"/>
        <w:gridCol w:w="1584"/>
        <w:gridCol w:w="679"/>
        <w:gridCol w:w="623"/>
        <w:gridCol w:w="1084"/>
        <w:gridCol w:w="1265"/>
        <w:gridCol w:w="1733"/>
      </w:tblGrid>
      <w:tr>
        <w:tblPrEx>
          <w:tblLayout w:type="fixed"/>
          <w:tblCellMar>
            <w:top w:w="0" w:type="dxa"/>
            <w:left w:w="0" w:type="dxa"/>
            <w:bottom w:w="0" w:type="dxa"/>
            <w:right w:w="0" w:type="dxa"/>
          </w:tblCellMar>
        </w:tblPrEx>
        <w:trPr>
          <w:cantSplit/>
          <w:trHeight w:val="940" w:hRule="atLeast"/>
        </w:trPr>
        <w:tc>
          <w:tcPr>
            <w:tcW w:w="9611" w:type="dxa"/>
            <w:gridSpan w:val="8"/>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投标商：（此处填名称并盖章）</w:t>
            </w:r>
          </w:p>
        </w:tc>
      </w:tr>
      <w:tr>
        <w:tblPrEx>
          <w:tblLayout w:type="fixed"/>
          <w:tblCellMar>
            <w:top w:w="0" w:type="dxa"/>
            <w:left w:w="0" w:type="dxa"/>
            <w:bottom w:w="0" w:type="dxa"/>
            <w:right w:w="0" w:type="dxa"/>
          </w:tblCellMar>
        </w:tblPrEx>
        <w:trPr>
          <w:cantSplit/>
          <w:trHeight w:val="989" w:hRule="atLeast"/>
        </w:trPr>
        <w:tc>
          <w:tcPr>
            <w:tcW w:w="9611" w:type="dxa"/>
            <w:gridSpan w:val="8"/>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项目：（此处填项目名称）                                     金额单位：元</w:t>
            </w:r>
          </w:p>
        </w:tc>
      </w:tr>
      <w:tr>
        <w:tblPrEx>
          <w:tblLayout w:type="fixed"/>
          <w:tblCellMar>
            <w:top w:w="0" w:type="dxa"/>
            <w:left w:w="0" w:type="dxa"/>
            <w:bottom w:w="0" w:type="dxa"/>
            <w:right w:w="0" w:type="dxa"/>
          </w:tblCellMar>
        </w:tblPrEx>
        <w:trPr>
          <w:trHeight w:val="967" w:hRule="atLeast"/>
        </w:trPr>
        <w:tc>
          <w:tcPr>
            <w:tcW w:w="6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序号</w:t>
            </w:r>
          </w:p>
        </w:tc>
        <w:tc>
          <w:tcPr>
            <w:tcW w:w="19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货物名称</w:t>
            </w:r>
          </w:p>
        </w:tc>
        <w:tc>
          <w:tcPr>
            <w:tcW w:w="15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规格型号</w:t>
            </w:r>
          </w:p>
        </w:tc>
        <w:tc>
          <w:tcPr>
            <w:tcW w:w="679"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单位</w:t>
            </w:r>
          </w:p>
        </w:tc>
        <w:tc>
          <w:tcPr>
            <w:tcW w:w="62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数量</w:t>
            </w:r>
          </w:p>
        </w:tc>
        <w:tc>
          <w:tcPr>
            <w:tcW w:w="10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单价</w:t>
            </w:r>
          </w:p>
        </w:tc>
        <w:tc>
          <w:tcPr>
            <w:tcW w:w="1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hAnsi="宋体" w:cs="宋体"/>
                <w:color w:val="auto"/>
                <w:szCs w:val="21"/>
                <w:highlight w:val="none"/>
              </w:rPr>
              <w:t>合计</w:t>
            </w:r>
          </w:p>
        </w:tc>
        <w:tc>
          <w:tcPr>
            <w:tcW w:w="173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jc w:val="center"/>
              <w:rPr>
                <w:rFonts w:ascii="宋体" w:cs="宋体"/>
                <w:color w:val="auto"/>
                <w:szCs w:val="21"/>
                <w:highlight w:val="none"/>
              </w:rPr>
            </w:pPr>
            <w:r>
              <w:rPr>
                <w:rFonts w:hint="eastAsia" w:ascii="宋体" w:cs="宋体"/>
                <w:color w:val="auto"/>
                <w:szCs w:val="21"/>
                <w:highlight w:val="none"/>
              </w:rPr>
              <w:t>备注</w:t>
            </w:r>
          </w:p>
        </w:tc>
      </w:tr>
      <w:tr>
        <w:tblPrEx>
          <w:tblLayout w:type="fixed"/>
          <w:tblCellMar>
            <w:top w:w="0" w:type="dxa"/>
            <w:left w:w="0" w:type="dxa"/>
            <w:bottom w:w="0" w:type="dxa"/>
            <w:right w:w="0" w:type="dxa"/>
          </w:tblCellMar>
        </w:tblPrEx>
        <w:trPr>
          <w:trHeight w:val="782" w:hRule="atLeast"/>
        </w:trPr>
        <w:tc>
          <w:tcPr>
            <w:tcW w:w="677"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1</w:t>
            </w:r>
          </w:p>
        </w:tc>
        <w:tc>
          <w:tcPr>
            <w:tcW w:w="1966"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888" w:hRule="atLeast"/>
        </w:trPr>
        <w:tc>
          <w:tcPr>
            <w:tcW w:w="677"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2</w:t>
            </w:r>
          </w:p>
        </w:tc>
        <w:tc>
          <w:tcPr>
            <w:tcW w:w="1966" w:type="dxa"/>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single" w:color="auto" w:sz="4" w:space="0"/>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single" w:color="auto" w:sz="4" w:space="0"/>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888" w:hRule="atLeast"/>
        </w:trPr>
        <w:tc>
          <w:tcPr>
            <w:tcW w:w="677"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r>
              <w:rPr>
                <w:rFonts w:hint="eastAsia" w:ascii="宋体" w:hAnsi="宋体"/>
                <w:color w:val="auto"/>
                <w:szCs w:val="21"/>
                <w:highlight w:val="none"/>
              </w:rPr>
              <w:t>3</w:t>
            </w:r>
          </w:p>
        </w:tc>
        <w:tc>
          <w:tcPr>
            <w:tcW w:w="1966" w:type="dxa"/>
            <w:tcBorders>
              <w:top w:val="nil"/>
              <w:left w:val="single" w:color="auto" w:sz="4" w:space="0"/>
              <w:bottom w:val="single" w:color="auto" w:sz="4" w:space="0"/>
              <w:right w:val="single" w:color="auto" w:sz="4" w:space="0"/>
            </w:tcBorders>
            <w:tcMar>
              <w:top w:w="20" w:type="dxa"/>
              <w:left w:w="20" w:type="dxa"/>
              <w:bottom w:w="0" w:type="dxa"/>
              <w:right w:w="20" w:type="dxa"/>
            </w:tcMar>
          </w:tcPr>
          <w:p>
            <w:pPr>
              <w:spacing w:line="400" w:lineRule="exact"/>
              <w:rPr>
                <w:rFonts w:ascii="宋体" w:cs="宋体"/>
                <w:color w:val="auto"/>
                <w:szCs w:val="21"/>
                <w:highlight w:val="none"/>
              </w:rPr>
            </w:pPr>
          </w:p>
        </w:tc>
        <w:tc>
          <w:tcPr>
            <w:tcW w:w="1584"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79"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623" w:type="dxa"/>
            <w:tcBorders>
              <w:top w:val="nil"/>
              <w:left w:val="nil"/>
              <w:bottom w:val="single" w:color="auto" w:sz="4" w:space="0"/>
              <w:right w:val="single" w:color="auto" w:sz="4" w:space="0"/>
            </w:tcBorders>
            <w:tcMar>
              <w:top w:w="20" w:type="dxa"/>
              <w:left w:w="20" w:type="dxa"/>
              <w:bottom w:w="0" w:type="dxa"/>
              <w:right w:w="20" w:type="dxa"/>
            </w:tcMar>
          </w:tcPr>
          <w:p>
            <w:pPr>
              <w:spacing w:line="400" w:lineRule="exact"/>
              <w:jc w:val="center"/>
              <w:rPr>
                <w:rFonts w:ascii="宋体" w:cs="宋体"/>
                <w:color w:val="auto"/>
                <w:szCs w:val="21"/>
                <w:highlight w:val="none"/>
              </w:rPr>
            </w:pPr>
          </w:p>
        </w:tc>
        <w:tc>
          <w:tcPr>
            <w:tcW w:w="1084"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265"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c>
          <w:tcPr>
            <w:tcW w:w="1733" w:type="dxa"/>
            <w:tcBorders>
              <w:top w:val="nil"/>
              <w:left w:val="nil"/>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p>
        </w:tc>
      </w:tr>
      <w:tr>
        <w:tblPrEx>
          <w:tblLayout w:type="fixed"/>
          <w:tblCellMar>
            <w:top w:w="0" w:type="dxa"/>
            <w:left w:w="0" w:type="dxa"/>
            <w:bottom w:w="0" w:type="dxa"/>
            <w:right w:w="0" w:type="dxa"/>
          </w:tblCellMar>
        </w:tblPrEx>
        <w:trPr>
          <w:trHeight w:val="2104" w:hRule="atLeast"/>
        </w:trPr>
        <w:tc>
          <w:tcPr>
            <w:tcW w:w="9611" w:type="dxa"/>
            <w:gridSpan w:val="8"/>
            <w:tcBorders>
              <w:top w:val="single" w:color="auto" w:sz="4" w:space="0"/>
              <w:left w:val="single" w:color="auto" w:sz="4" w:space="0"/>
              <w:bottom w:val="single" w:color="auto" w:sz="4" w:space="0"/>
              <w:right w:val="single" w:color="auto" w:sz="4" w:space="0"/>
            </w:tcBorders>
            <w:tcMar>
              <w:top w:w="20" w:type="dxa"/>
              <w:left w:w="20" w:type="dxa"/>
              <w:bottom w:w="0" w:type="dxa"/>
              <w:right w:w="20" w:type="dxa"/>
            </w:tcMar>
            <w:vAlign w:val="center"/>
          </w:tcPr>
          <w:p>
            <w:pPr>
              <w:rPr>
                <w:rFonts w:ascii="宋体" w:cs="宋体"/>
                <w:color w:val="auto"/>
                <w:szCs w:val="21"/>
                <w:highlight w:val="none"/>
              </w:rPr>
            </w:pPr>
            <w:r>
              <w:rPr>
                <w:rFonts w:hint="eastAsia" w:ascii="宋体" w:hAnsi="宋体" w:cs="宋体"/>
                <w:color w:val="auto"/>
                <w:szCs w:val="21"/>
                <w:highlight w:val="none"/>
              </w:rPr>
              <w:t>优惠条件：</w:t>
            </w:r>
            <w:r>
              <w:rPr>
                <w:rFonts w:ascii="宋体" w:hAnsi="宋体" w:cs="宋体"/>
                <w:color w:val="auto"/>
                <w:szCs w:val="21"/>
                <w:highlight w:val="none"/>
              </w:rPr>
              <w:t>1</w:t>
            </w:r>
            <w:r>
              <w:rPr>
                <w:rFonts w:hint="eastAsia" w:ascii="宋体" w:hAnsi="宋体" w:cs="宋体"/>
                <w:color w:val="auto"/>
                <w:szCs w:val="21"/>
                <w:highlight w:val="none"/>
              </w:rPr>
              <w:t>、</w:t>
            </w:r>
          </w:p>
          <w:p>
            <w:pPr>
              <w:rPr>
                <w:rFonts w:ascii="宋体" w:cs="宋体"/>
                <w:color w:val="auto"/>
                <w:szCs w:val="21"/>
                <w:highlight w:val="none"/>
              </w:rPr>
            </w:pPr>
            <w:r>
              <w:rPr>
                <w:rFonts w:ascii="宋体" w:hAnsi="宋体" w:cs="宋体"/>
                <w:color w:val="auto"/>
                <w:szCs w:val="21"/>
                <w:highlight w:val="none"/>
              </w:rPr>
              <w:t xml:space="preserve">          2</w:t>
            </w:r>
            <w:r>
              <w:rPr>
                <w:rFonts w:hint="eastAsia" w:ascii="宋体" w:hAnsi="宋体" w:cs="宋体"/>
                <w:color w:val="auto"/>
                <w:szCs w:val="21"/>
                <w:highlight w:val="none"/>
              </w:rPr>
              <w:t>、</w:t>
            </w:r>
          </w:p>
          <w:p>
            <w:pPr>
              <w:rPr>
                <w:rFonts w:ascii="宋体" w:cs="宋体"/>
                <w:color w:val="auto"/>
                <w:szCs w:val="21"/>
                <w:highlight w:val="none"/>
              </w:rPr>
            </w:pPr>
            <w:r>
              <w:rPr>
                <w:rFonts w:ascii="宋体" w:hAnsi="宋体" w:cs="宋体"/>
                <w:color w:val="auto"/>
                <w:szCs w:val="21"/>
                <w:highlight w:val="none"/>
              </w:rPr>
              <w:t xml:space="preserve">          3</w:t>
            </w:r>
            <w:r>
              <w:rPr>
                <w:rFonts w:hint="eastAsia" w:ascii="宋体" w:hAnsi="宋体" w:cs="宋体"/>
                <w:color w:val="auto"/>
                <w:szCs w:val="21"/>
                <w:highlight w:val="none"/>
              </w:rPr>
              <w:t>、</w:t>
            </w:r>
          </w:p>
          <w:p>
            <w:pPr>
              <w:rPr>
                <w:rFonts w:ascii="宋体" w:cs="宋体"/>
                <w:color w:val="auto"/>
                <w:szCs w:val="21"/>
                <w:highlight w:val="none"/>
              </w:rPr>
            </w:pPr>
            <w:r>
              <w:rPr>
                <w:rFonts w:hint="eastAsia" w:ascii="宋体" w:hAnsi="宋体" w:cs="宋体"/>
                <w:color w:val="auto"/>
                <w:szCs w:val="21"/>
                <w:highlight w:val="none"/>
              </w:rPr>
              <w:t>法定代表人或授权委托人签字（公章）：</w:t>
            </w:r>
          </w:p>
          <w:p>
            <w:pPr>
              <w:rPr>
                <w:rFonts w:ascii="宋体" w:cs="宋体"/>
                <w:color w:val="auto"/>
                <w:szCs w:val="21"/>
                <w:highlight w:val="none"/>
              </w:rPr>
            </w:pPr>
          </w:p>
        </w:tc>
      </w:tr>
    </w:tbl>
    <w:p>
      <w:pPr>
        <w:spacing w:line="360" w:lineRule="exact"/>
        <w:jc w:val="center"/>
        <w:rPr>
          <w:rFonts w:ascii="宋体" w:hAnsi="宋体" w:cs="宋体"/>
          <w:color w:val="auto"/>
          <w:szCs w:val="21"/>
          <w:highlight w:val="none"/>
        </w:rPr>
      </w:pPr>
    </w:p>
    <w:p>
      <w:pPr>
        <w:spacing w:line="360" w:lineRule="exact"/>
        <w:jc w:val="center"/>
        <w:rPr>
          <w:rFonts w:ascii="宋体" w:hAnsi="宋体" w:cs="宋体"/>
          <w:color w:val="auto"/>
          <w:szCs w:val="21"/>
          <w:highlight w:val="none"/>
        </w:rPr>
      </w:pPr>
    </w:p>
    <w:p>
      <w:pPr>
        <w:spacing w:line="360" w:lineRule="exact"/>
        <w:jc w:val="center"/>
        <w:rPr>
          <w:rFonts w:ascii="宋体" w:hAnsi="宋体" w:cs="宋体"/>
          <w:b/>
          <w:color w:val="auto"/>
          <w:szCs w:val="21"/>
          <w:highlight w:val="none"/>
        </w:rPr>
      </w:pPr>
      <w:r>
        <w:rPr>
          <w:rFonts w:hint="eastAsia" w:ascii="宋体" w:hAnsi="宋体" w:cs="宋体"/>
          <w:color w:val="auto"/>
          <w:szCs w:val="21"/>
          <w:highlight w:val="none"/>
        </w:rPr>
        <w:t xml:space="preserve">                               年    月   日</w:t>
      </w:r>
    </w:p>
    <w:p>
      <w:pPr>
        <w:rPr>
          <w:rFonts w:ascii="宋体" w:hAnsi="宋体" w:cs="宋体"/>
          <w:color w:val="auto"/>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4、技术规格和商务条款偏差表</w:t>
      </w:r>
    </w:p>
    <w:p>
      <w:pPr>
        <w:spacing w:line="360" w:lineRule="exact"/>
        <w:jc w:val="center"/>
        <w:rPr>
          <w:rFonts w:ascii="宋体" w:hAnsi="宋体" w:cs="宋体"/>
          <w:b/>
          <w:color w:val="auto"/>
          <w:szCs w:val="21"/>
          <w:highlight w:val="none"/>
        </w:rPr>
      </w:pPr>
    </w:p>
    <w:p>
      <w:pPr>
        <w:widowControl/>
        <w:spacing w:line="360" w:lineRule="exact"/>
        <w:rPr>
          <w:rFonts w:ascii="宋体" w:hAnsi="宋体" w:cs="宋体"/>
          <w:color w:val="auto"/>
          <w:szCs w:val="21"/>
          <w:highlight w:val="none"/>
        </w:rPr>
      </w:pPr>
      <w:r>
        <w:rPr>
          <w:rFonts w:hint="eastAsia" w:ascii="宋体" w:hAnsi="宋体" w:cs="宋体"/>
          <w:color w:val="auto"/>
          <w:szCs w:val="21"/>
          <w:highlight w:val="none"/>
        </w:rPr>
        <w:t>项目名称：</w:t>
      </w:r>
    </w:p>
    <w:p>
      <w:pPr>
        <w:widowControl/>
        <w:spacing w:line="360" w:lineRule="exact"/>
        <w:rPr>
          <w:rFonts w:ascii="宋体" w:hAnsi="宋体" w:cs="宋体"/>
          <w:color w:val="auto"/>
          <w:szCs w:val="21"/>
          <w:highlight w:val="none"/>
          <w:u w:val="single"/>
        </w:rPr>
      </w:pPr>
    </w:p>
    <w:p>
      <w:pPr>
        <w:widowControl/>
        <w:spacing w:line="360" w:lineRule="exact"/>
        <w:rPr>
          <w:rFonts w:ascii="宋体" w:hAnsi="宋体" w:cs="宋体"/>
          <w:color w:val="auto"/>
          <w:szCs w:val="21"/>
          <w:highlight w:val="none"/>
        </w:rPr>
      </w:pPr>
      <w:r>
        <w:rPr>
          <w:rFonts w:hint="eastAsia" w:ascii="宋体" w:hAnsi="宋体" w:cs="宋体"/>
          <w:color w:val="auto"/>
          <w:szCs w:val="21"/>
          <w:highlight w:val="none"/>
        </w:rPr>
        <w:t xml:space="preserve"> 投标供应商名称：（公章）</w:t>
      </w:r>
    </w:p>
    <w:tbl>
      <w:tblPr>
        <w:tblStyle w:val="14"/>
        <w:tblpPr w:leftFromText="180" w:rightFromText="180" w:vertAnchor="text" w:horzAnchor="margin" w:tblpY="297"/>
        <w:tblW w:w="936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5"/>
        <w:gridCol w:w="1955"/>
        <w:gridCol w:w="2848"/>
        <w:gridCol w:w="1934"/>
        <w:gridCol w:w="22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53" w:hRule="atLeast"/>
        </w:trPr>
        <w:tc>
          <w:tcPr>
            <w:tcW w:w="385" w:type="dxa"/>
          </w:tcPr>
          <w:p>
            <w:pPr>
              <w:widowControl/>
              <w:spacing w:line="360" w:lineRule="exact"/>
              <w:jc w:val="center"/>
              <w:rPr>
                <w:rFonts w:ascii="宋体" w:hAnsi="宋体" w:cs="宋体"/>
                <w:color w:val="auto"/>
                <w:szCs w:val="21"/>
                <w:highlight w:val="none"/>
              </w:rPr>
            </w:pP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序</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号</w:t>
            </w:r>
          </w:p>
        </w:tc>
        <w:tc>
          <w:tcPr>
            <w:tcW w:w="1955"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招标文件技术</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要求（详细列明技术配置）</w:t>
            </w:r>
          </w:p>
        </w:tc>
        <w:tc>
          <w:tcPr>
            <w:tcW w:w="2848" w:type="dxa"/>
            <w:vAlign w:val="center"/>
          </w:tcPr>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投标文件技术</w:t>
            </w:r>
          </w:p>
          <w:p>
            <w:pPr>
              <w:widowControl/>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响应情况（详细列明所投产品的技术配置）</w:t>
            </w:r>
          </w:p>
        </w:tc>
        <w:tc>
          <w:tcPr>
            <w:tcW w:w="1934" w:type="dxa"/>
            <w:vAlign w:val="center"/>
          </w:tcPr>
          <w:p>
            <w:pPr>
              <w:widowControl/>
              <w:spacing w:before="120" w:line="360" w:lineRule="exact"/>
              <w:jc w:val="center"/>
              <w:rPr>
                <w:rFonts w:ascii="宋体" w:hAnsi="宋体" w:cs="宋体"/>
                <w:color w:val="auto"/>
                <w:szCs w:val="21"/>
                <w:highlight w:val="none"/>
              </w:rPr>
            </w:pPr>
            <w:r>
              <w:rPr>
                <w:rFonts w:hint="eastAsia" w:ascii="宋体" w:hAnsi="宋体" w:cs="宋体"/>
                <w:color w:val="auto"/>
                <w:szCs w:val="21"/>
                <w:highlight w:val="none"/>
              </w:rPr>
              <w:t>偏差描述（详细描述技术是否具有正、负偏差）</w:t>
            </w:r>
          </w:p>
        </w:tc>
        <w:tc>
          <w:tcPr>
            <w:tcW w:w="2246" w:type="dxa"/>
            <w:tcBorders>
              <w:right w:val="single" w:color="auto" w:sz="4" w:space="0"/>
            </w:tcBorders>
            <w:vAlign w:val="center"/>
          </w:tcPr>
          <w:p>
            <w:pPr>
              <w:widowControl/>
              <w:spacing w:before="120" w:line="36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72" w:hRule="atLeast"/>
        </w:trPr>
        <w:tc>
          <w:tcPr>
            <w:tcW w:w="385" w:type="dxa"/>
            <w:tcBorders>
              <w:bottom w:val="single" w:color="auto" w:sz="4" w:space="0"/>
            </w:tcBorders>
          </w:tcPr>
          <w:p>
            <w:pPr>
              <w:widowControl/>
              <w:spacing w:line="360" w:lineRule="exact"/>
              <w:rPr>
                <w:rFonts w:ascii="宋体" w:hAnsi="宋体" w:cs="宋体"/>
                <w:color w:val="auto"/>
                <w:szCs w:val="21"/>
                <w:highlight w:val="none"/>
              </w:rPr>
            </w:pPr>
          </w:p>
        </w:tc>
        <w:tc>
          <w:tcPr>
            <w:tcW w:w="1955" w:type="dxa"/>
            <w:tcBorders>
              <w:bottom w:val="single" w:color="auto" w:sz="4" w:space="0"/>
            </w:tcBorders>
          </w:tcPr>
          <w:p>
            <w:pPr>
              <w:widowControl/>
              <w:spacing w:line="360" w:lineRule="exact"/>
              <w:rPr>
                <w:rFonts w:ascii="宋体" w:hAnsi="宋体" w:cs="宋体"/>
                <w:color w:val="auto"/>
                <w:szCs w:val="21"/>
                <w:highlight w:val="none"/>
              </w:rPr>
            </w:pPr>
          </w:p>
        </w:tc>
        <w:tc>
          <w:tcPr>
            <w:tcW w:w="2848" w:type="dxa"/>
            <w:tcBorders>
              <w:bottom w:val="single" w:color="auto" w:sz="4" w:space="0"/>
            </w:tcBorders>
          </w:tcPr>
          <w:p>
            <w:pPr>
              <w:widowControl/>
              <w:spacing w:line="360" w:lineRule="exact"/>
              <w:rPr>
                <w:rFonts w:ascii="宋体" w:hAnsi="宋体" w:cs="宋体"/>
                <w:color w:val="auto"/>
                <w:szCs w:val="21"/>
                <w:highlight w:val="none"/>
              </w:rPr>
            </w:pPr>
          </w:p>
        </w:tc>
        <w:tc>
          <w:tcPr>
            <w:tcW w:w="1934" w:type="dxa"/>
            <w:tcBorders>
              <w:bottom w:val="single" w:color="auto" w:sz="4" w:space="0"/>
            </w:tcBorders>
          </w:tcPr>
          <w:p>
            <w:pPr>
              <w:widowControl/>
              <w:spacing w:line="360" w:lineRule="exact"/>
              <w:rPr>
                <w:rFonts w:ascii="宋体" w:hAnsi="宋体" w:cs="宋体"/>
                <w:color w:val="auto"/>
                <w:szCs w:val="21"/>
                <w:highlight w:val="none"/>
              </w:rPr>
            </w:pPr>
          </w:p>
        </w:tc>
        <w:tc>
          <w:tcPr>
            <w:tcW w:w="2246" w:type="dxa"/>
            <w:tcBorders>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6"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6"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50" w:hRule="atLeast"/>
        </w:trPr>
        <w:tc>
          <w:tcPr>
            <w:tcW w:w="38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55"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848"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1934" w:type="dxa"/>
            <w:tcBorders>
              <w:top w:val="single" w:color="auto" w:sz="4" w:space="0"/>
              <w:bottom w:val="single" w:color="auto" w:sz="4" w:space="0"/>
            </w:tcBorders>
          </w:tcPr>
          <w:p>
            <w:pPr>
              <w:widowControl/>
              <w:spacing w:line="360" w:lineRule="exact"/>
              <w:rPr>
                <w:rFonts w:ascii="宋体" w:hAnsi="宋体" w:cs="宋体"/>
                <w:color w:val="auto"/>
                <w:szCs w:val="21"/>
                <w:highlight w:val="none"/>
              </w:rPr>
            </w:pPr>
          </w:p>
        </w:tc>
        <w:tc>
          <w:tcPr>
            <w:tcW w:w="2246" w:type="dxa"/>
            <w:tcBorders>
              <w:top w:val="single" w:color="auto" w:sz="4" w:space="0"/>
              <w:bottom w:val="single" w:color="auto" w:sz="4" w:space="0"/>
              <w:right w:val="single" w:color="auto" w:sz="4" w:space="0"/>
            </w:tcBorders>
          </w:tcPr>
          <w:p>
            <w:pPr>
              <w:widowControl/>
              <w:spacing w:line="360" w:lineRule="exact"/>
              <w:rPr>
                <w:rFonts w:ascii="宋体" w:hAnsi="宋体" w:cs="宋体"/>
                <w:color w:val="auto"/>
                <w:szCs w:val="21"/>
                <w:highlight w:val="none"/>
              </w:rPr>
            </w:pPr>
          </w:p>
        </w:tc>
      </w:tr>
    </w:tbl>
    <w:p>
      <w:pPr>
        <w:widowControl/>
        <w:spacing w:line="360" w:lineRule="exact"/>
        <w:rPr>
          <w:rFonts w:ascii="宋体" w:hAnsi="宋体" w:cs="宋体"/>
          <w:b/>
          <w:color w:val="auto"/>
          <w:szCs w:val="21"/>
          <w:highlight w:val="none"/>
        </w:rPr>
      </w:pPr>
    </w:p>
    <w:p>
      <w:pPr>
        <w:widowControl/>
        <w:spacing w:line="500" w:lineRule="exact"/>
        <w:ind w:firstLine="308" w:firstLineChars="147"/>
        <w:rPr>
          <w:rFonts w:ascii="宋体" w:hAnsi="宋体" w:cs="宋体"/>
          <w:color w:val="auto"/>
          <w:szCs w:val="21"/>
          <w:highlight w:val="none"/>
        </w:rPr>
      </w:pPr>
      <w:r>
        <w:rPr>
          <w:rFonts w:hint="eastAsia" w:ascii="宋体" w:hAnsi="宋体" w:cs="宋体"/>
          <w:color w:val="auto"/>
          <w:szCs w:val="21"/>
          <w:highlight w:val="none"/>
        </w:rPr>
        <w:t>投标人法定代表人或授权代表（签字）：</w:t>
      </w:r>
    </w:p>
    <w:p>
      <w:pPr>
        <w:widowControl/>
        <w:autoSpaceDE w:val="0"/>
        <w:autoSpaceDN w:val="0"/>
        <w:spacing w:line="500" w:lineRule="exact"/>
        <w:ind w:right="26" w:firstLine="308" w:firstLineChars="147"/>
        <w:rPr>
          <w:rFonts w:ascii="宋体" w:hAnsi="宋体" w:cs="宋体"/>
          <w:color w:val="auto"/>
          <w:szCs w:val="21"/>
          <w:highlight w:val="none"/>
          <w:u w:val="single"/>
        </w:rPr>
      </w:pPr>
      <w:r>
        <w:rPr>
          <w:rFonts w:hint="eastAsia" w:ascii="宋体" w:hAnsi="宋体" w:cs="宋体"/>
          <w:color w:val="auto"/>
          <w:szCs w:val="21"/>
          <w:highlight w:val="none"/>
        </w:rPr>
        <w:t>日期：年月日</w:t>
      </w:r>
    </w:p>
    <w:p>
      <w:pPr>
        <w:widowControl/>
        <w:autoSpaceDE w:val="0"/>
        <w:autoSpaceDN w:val="0"/>
        <w:spacing w:line="500" w:lineRule="exact"/>
        <w:ind w:right="26" w:firstLine="359" w:firstLineChars="171"/>
        <w:rPr>
          <w:rFonts w:ascii="宋体" w:hAnsi="宋体" w:cs="宋体"/>
          <w:color w:val="auto"/>
          <w:szCs w:val="21"/>
          <w:highlight w:val="none"/>
        </w:rPr>
      </w:pPr>
      <w:r>
        <w:rPr>
          <w:rFonts w:hint="eastAsia" w:ascii="宋体" w:hAnsi="宋体" w:cs="宋体"/>
          <w:color w:val="auto"/>
          <w:szCs w:val="21"/>
          <w:highlight w:val="none"/>
        </w:rPr>
        <w:t>注：1、投标人必须按要求规范填写技术规范偏差表。如果此表中所列内容无法满足招标文件中提出的要求或内容不一致，其投标将被视为无效投标。</w:t>
      </w:r>
    </w:p>
    <w:p>
      <w:pPr>
        <w:widowControl/>
        <w:spacing w:line="500" w:lineRule="exact"/>
        <w:ind w:firstLine="359" w:firstLineChars="171"/>
        <w:rPr>
          <w:rFonts w:ascii="宋体" w:hAnsi="宋体" w:cs="宋体"/>
          <w:color w:val="auto"/>
          <w:szCs w:val="21"/>
          <w:highlight w:val="none"/>
        </w:rPr>
      </w:pPr>
      <w:r>
        <w:rPr>
          <w:rFonts w:hint="eastAsia" w:ascii="宋体" w:hAnsi="宋体" w:cs="宋体"/>
          <w:color w:val="auto"/>
          <w:szCs w:val="21"/>
          <w:highlight w:val="none"/>
        </w:rPr>
        <w:t>2、投标人必须根据所投产品的实际情况如实填写，评委会如发现有虚假描述的，将不予推荐中标候选人。</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bookmarkEnd w:id="12"/>
    <w:bookmarkEnd w:id="13"/>
    <w:bookmarkEnd w:id="14"/>
    <w:bookmarkEnd w:id="15"/>
    <w:bookmarkEnd w:id="16"/>
    <w:bookmarkEnd w:id="17"/>
    <w:bookmarkEnd w:id="18"/>
    <w:bookmarkEnd w:id="19"/>
    <w:bookmarkEnd w:id="20"/>
    <w:bookmarkEnd w:id="21"/>
    <w:bookmarkEnd w:id="22"/>
    <w:bookmarkEnd w:id="23"/>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5、法定代表人（负责人）资格证明书</w:t>
      </w:r>
    </w:p>
    <w:p>
      <w:pPr>
        <w:rPr>
          <w:rFonts w:ascii="宋体" w:hAnsi="宋体" w:cs="宋体"/>
          <w:color w:val="auto"/>
          <w:highlight w:val="none"/>
        </w:rPr>
      </w:pPr>
    </w:p>
    <w:p>
      <w:pPr>
        <w:spacing w:line="360" w:lineRule="exact"/>
        <w:jc w:val="center"/>
        <w:outlineLvl w:val="1"/>
        <w:rPr>
          <w:rFonts w:ascii="宋体" w:hAnsi="宋体" w:cs="宋体"/>
          <w:b/>
          <w:color w:val="auto"/>
          <w:sz w:val="32"/>
          <w:szCs w:val="32"/>
          <w:highlight w:val="none"/>
        </w:rPr>
      </w:pPr>
    </w:p>
    <w:p>
      <w:pPr>
        <w:spacing w:line="500" w:lineRule="exact"/>
        <w:outlineLvl w:val="1"/>
        <w:rPr>
          <w:rFonts w:ascii="宋体" w:hAnsi="宋体" w:cs="宋体"/>
          <w:color w:val="auto"/>
          <w:szCs w:val="21"/>
          <w:highlight w:val="none"/>
          <w:u w:val="single"/>
        </w:rPr>
      </w:pPr>
      <w:bookmarkStart w:id="36" w:name="_Toc4528"/>
      <w:r>
        <w:rPr>
          <w:rFonts w:hint="eastAsia" w:ascii="宋体" w:hAnsi="宋体" w:cs="宋体"/>
          <w:color w:val="auto"/>
          <w:szCs w:val="21"/>
          <w:highlight w:val="none"/>
        </w:rPr>
        <w:t>单位名称：</w:t>
      </w:r>
      <w:bookmarkEnd w:id="36"/>
    </w:p>
    <w:p>
      <w:pPr>
        <w:spacing w:line="500" w:lineRule="exact"/>
        <w:outlineLvl w:val="1"/>
        <w:rPr>
          <w:rFonts w:ascii="宋体" w:hAnsi="宋体" w:cs="宋体"/>
          <w:color w:val="auto"/>
          <w:szCs w:val="21"/>
          <w:highlight w:val="none"/>
        </w:rPr>
      </w:pPr>
      <w:bookmarkStart w:id="37" w:name="_Toc6193"/>
      <w:r>
        <w:rPr>
          <w:rFonts w:hint="eastAsia" w:ascii="宋体" w:hAnsi="宋体" w:cs="宋体"/>
          <w:color w:val="auto"/>
          <w:szCs w:val="21"/>
          <w:highlight w:val="none"/>
        </w:rPr>
        <w:t>地    址：</w:t>
      </w:r>
      <w:bookmarkEnd w:id="37"/>
    </w:p>
    <w:p>
      <w:pPr>
        <w:spacing w:line="500" w:lineRule="exact"/>
        <w:jc w:val="left"/>
        <w:outlineLvl w:val="1"/>
        <w:rPr>
          <w:rFonts w:ascii="宋体" w:hAnsi="宋体" w:cs="宋体"/>
          <w:color w:val="auto"/>
          <w:szCs w:val="21"/>
          <w:highlight w:val="none"/>
        </w:rPr>
      </w:pPr>
      <w:bookmarkStart w:id="38" w:name="_Toc17570"/>
      <w:r>
        <w:rPr>
          <w:rFonts w:hint="eastAsia" w:ascii="宋体" w:hAnsi="宋体" w:cs="宋体"/>
          <w:color w:val="auto"/>
          <w:szCs w:val="21"/>
          <w:highlight w:val="none"/>
        </w:rPr>
        <w:t>姓   名：__________ 性别：__________  年龄：__________  职务：__________ 系______________________________________（投标单位名称）的法定代表人。为_____________________________项目的报价，签署上述项目的响应性谈判文件、进行合同谈判、签署合同和处理与之有关的一切事务。</w:t>
      </w:r>
      <w:bookmarkEnd w:id="38"/>
    </w:p>
    <w:p>
      <w:pPr>
        <w:spacing w:line="500" w:lineRule="exact"/>
        <w:ind w:firstLine="420" w:firstLineChars="200"/>
        <w:outlineLvl w:val="1"/>
        <w:rPr>
          <w:rFonts w:ascii="宋体" w:hAnsi="宋体" w:cs="宋体"/>
          <w:color w:val="auto"/>
          <w:szCs w:val="21"/>
          <w:highlight w:val="none"/>
        </w:rPr>
      </w:pPr>
      <w:bookmarkStart w:id="39" w:name="_Toc20969"/>
      <w:r>
        <w:rPr>
          <w:rFonts w:hint="eastAsia" w:ascii="宋体" w:hAnsi="宋体" w:cs="宋体"/>
          <w:color w:val="auto"/>
          <w:szCs w:val="21"/>
          <w:highlight w:val="none"/>
        </w:rPr>
        <w:t>特此证明。</w:t>
      </w:r>
      <w:bookmarkEnd w:id="39"/>
    </w:p>
    <w:p>
      <w:pPr>
        <w:spacing w:line="500" w:lineRule="exact"/>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p>
    <w:p>
      <w:pPr>
        <w:spacing w:line="500" w:lineRule="exact"/>
        <w:ind w:firstLine="2100" w:firstLineChars="1000"/>
        <w:outlineLvl w:val="1"/>
        <w:rPr>
          <w:rFonts w:ascii="宋体" w:hAnsi="宋体" w:cs="宋体"/>
          <w:color w:val="auto"/>
          <w:szCs w:val="21"/>
          <w:highlight w:val="none"/>
        </w:rPr>
      </w:pPr>
      <w:bookmarkStart w:id="40" w:name="_Toc15093"/>
      <w:r>
        <w:rPr>
          <w:rFonts w:hint="eastAsia" w:ascii="宋体" w:hAnsi="宋体" w:cs="宋体"/>
          <w:color w:val="auto"/>
          <w:szCs w:val="21"/>
          <w:highlight w:val="none"/>
        </w:rPr>
        <w:t>投标供应商：（盖章）_______________________</w:t>
      </w:r>
      <w:bookmarkEnd w:id="40"/>
    </w:p>
    <w:p>
      <w:pPr>
        <w:spacing w:line="500" w:lineRule="exact"/>
        <w:ind w:firstLine="2100" w:firstLineChars="1000"/>
        <w:outlineLvl w:val="1"/>
        <w:rPr>
          <w:rFonts w:ascii="宋体" w:hAnsi="宋体" w:cs="宋体"/>
          <w:color w:val="auto"/>
          <w:szCs w:val="21"/>
          <w:highlight w:val="none"/>
        </w:rPr>
      </w:pPr>
      <w:bookmarkStart w:id="41" w:name="_Toc13086"/>
      <w:r>
        <w:rPr>
          <w:rFonts w:hint="eastAsia" w:ascii="宋体" w:hAnsi="宋体" w:cs="宋体"/>
          <w:color w:val="auto"/>
          <w:szCs w:val="21"/>
          <w:highlight w:val="none"/>
        </w:rPr>
        <w:t>日      期：___________年_____月_____日</w:t>
      </w:r>
      <w:bookmarkEnd w:id="41"/>
    </w:p>
    <w:p>
      <w:pPr>
        <w:spacing w:line="500" w:lineRule="exact"/>
        <w:ind w:firstLine="315" w:firstLineChars="1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42" w:name="_Toc16104"/>
      <w:r>
        <w:rPr>
          <w:rFonts w:hint="eastAsia" w:ascii="宋体" w:hAnsi="宋体" w:cs="宋体"/>
          <w:color w:val="auto"/>
          <w:szCs w:val="21"/>
          <w:highlight w:val="none"/>
        </w:rPr>
        <w:t>附: 法人代表身份证复印件</w:t>
      </w:r>
      <w:bookmarkEnd w:id="42"/>
    </w:p>
    <w:p>
      <w:pPr>
        <w:spacing w:line="360" w:lineRule="exact"/>
        <w:jc w:val="center"/>
        <w:outlineLvl w:val="1"/>
        <w:rPr>
          <w:rFonts w:ascii="宋体" w:hAnsi="宋体" w:cs="宋体"/>
          <w:b/>
          <w:color w:val="auto"/>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1"/>
          <w:szCs w:val="21"/>
          <w:highlight w:val="none"/>
        </w:rPr>
      </w:pPr>
    </w:p>
    <w:p>
      <w:pPr>
        <w:pStyle w:val="3"/>
        <w:spacing w:line="360" w:lineRule="exact"/>
        <w:rPr>
          <w:rFonts w:ascii="宋体" w:eastAsia="宋体" w:cs="宋体"/>
          <w:color w:val="auto"/>
          <w:sz w:val="24"/>
          <w:szCs w:val="24"/>
          <w:highlight w:val="none"/>
        </w:rPr>
      </w:pPr>
    </w:p>
    <w:p>
      <w:pPr>
        <w:pStyle w:val="3"/>
        <w:spacing w:line="360" w:lineRule="exact"/>
        <w:rPr>
          <w:rFonts w:ascii="宋体" w:eastAsia="宋体" w:cs="宋体"/>
          <w:color w:val="auto"/>
          <w:sz w:val="24"/>
          <w:szCs w:val="24"/>
          <w:highlight w:val="none"/>
        </w:rPr>
      </w:pPr>
    </w:p>
    <w:p>
      <w:pPr>
        <w:pStyle w:val="3"/>
        <w:spacing w:line="360" w:lineRule="exact"/>
        <w:jc w:val="both"/>
        <w:rPr>
          <w:rFonts w:ascii="宋体" w:eastAsia="宋体" w:cs="宋体"/>
          <w:color w:val="auto"/>
          <w:sz w:val="24"/>
          <w:szCs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rPr>
          <w:rFonts w:ascii="宋体" w:hAnsi="宋体" w:cs="宋体"/>
          <w:color w:val="auto"/>
          <w:sz w:val="24"/>
          <w:highlight w:val="none"/>
        </w:rPr>
      </w:pPr>
    </w:p>
    <w:p>
      <w:pPr>
        <w:widowControl/>
        <w:snapToGrid w:val="0"/>
        <w:spacing w:line="600" w:lineRule="exact"/>
        <w:jc w:val="center"/>
        <w:rPr>
          <w:rFonts w:ascii="宋体" w:hAnsi="宋体" w:cs="宋体"/>
          <w:b/>
          <w:bCs/>
          <w:color w:val="auto"/>
          <w:kern w:val="0"/>
          <w:sz w:val="30"/>
          <w:szCs w:val="30"/>
          <w:highlight w:val="none"/>
        </w:rPr>
      </w:pPr>
      <w:bookmarkStart w:id="43" w:name="_Toc21544"/>
      <w:r>
        <w:rPr>
          <w:rFonts w:hint="eastAsia" w:ascii="宋体" w:hAnsi="宋体" w:cs="宋体"/>
          <w:b/>
          <w:bCs/>
          <w:color w:val="auto"/>
          <w:kern w:val="0"/>
          <w:sz w:val="30"/>
          <w:szCs w:val="30"/>
          <w:highlight w:val="none"/>
        </w:rPr>
        <w:t>6、法定代表人授权委托书</w:t>
      </w:r>
      <w:bookmarkEnd w:id="43"/>
    </w:p>
    <w:p>
      <w:pPr>
        <w:rPr>
          <w:rFonts w:ascii="宋体" w:hAnsi="宋体" w:cs="宋体"/>
          <w:color w:val="auto"/>
          <w:highlight w:val="none"/>
        </w:rPr>
      </w:pPr>
    </w:p>
    <w:p>
      <w:pPr>
        <w:spacing w:line="360" w:lineRule="exact"/>
        <w:outlineLvl w:val="1"/>
        <w:rPr>
          <w:rFonts w:ascii="宋体" w:hAnsi="宋体" w:cs="宋体"/>
          <w:color w:val="auto"/>
          <w:sz w:val="24"/>
          <w:highlight w:val="none"/>
        </w:rPr>
      </w:pPr>
    </w:p>
    <w:p>
      <w:pPr>
        <w:spacing w:line="500" w:lineRule="exact"/>
        <w:ind w:firstLine="420" w:firstLineChars="200"/>
        <w:jc w:val="left"/>
        <w:outlineLvl w:val="1"/>
        <w:rPr>
          <w:rFonts w:ascii="宋体" w:hAnsi="宋体" w:cs="宋体"/>
          <w:color w:val="auto"/>
          <w:szCs w:val="21"/>
          <w:highlight w:val="none"/>
        </w:rPr>
      </w:pPr>
      <w:bookmarkStart w:id="44" w:name="_Toc27202"/>
      <w:r>
        <w:rPr>
          <w:rFonts w:hint="eastAsia" w:ascii="宋体" w:hAnsi="宋体" w:cs="宋体"/>
          <w:color w:val="auto"/>
          <w:szCs w:val="21"/>
          <w:highlight w:val="none"/>
        </w:rPr>
        <w:t>本授权委托书声明：___________（姓名）系__________________________________（投标单位名称）的法定代表人，现授权委托_______________________________（单位名称）的_________ （姓名）为我公司代理人，以本公司的名义参加_____________________项目的投标活动。</w:t>
      </w:r>
      <w:bookmarkEnd w:id="44"/>
    </w:p>
    <w:p>
      <w:pPr>
        <w:pStyle w:val="7"/>
        <w:snapToGrid w:val="0"/>
        <w:spacing w:line="500" w:lineRule="exact"/>
        <w:ind w:firstLine="525" w:firstLineChars="250"/>
        <w:jc w:val="left"/>
        <w:outlineLvl w:val="1"/>
        <w:rPr>
          <w:rFonts w:hAnsi="宋体" w:cs="宋体"/>
          <w:color w:val="auto"/>
          <w:highlight w:val="none"/>
        </w:rPr>
      </w:pPr>
      <w:bookmarkStart w:id="45" w:name="_Toc26449"/>
      <w:r>
        <w:rPr>
          <w:rFonts w:hint="eastAsia" w:hAnsi="宋体" w:cs="宋体"/>
          <w:color w:val="auto"/>
          <w:highlight w:val="none"/>
        </w:rPr>
        <w:t>代理人在投标、合同签订过程中所签署的一切文件和处理与之有关的一切事务，我均予以承认。本授权书自出具之日起生效。</w:t>
      </w:r>
      <w:bookmarkEnd w:id="45"/>
    </w:p>
    <w:p>
      <w:pPr>
        <w:spacing w:line="500" w:lineRule="exact"/>
        <w:ind w:firstLine="420" w:firstLineChars="200"/>
        <w:jc w:val="left"/>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46" w:name="_Toc12092"/>
      <w:r>
        <w:rPr>
          <w:rFonts w:hint="eastAsia" w:ascii="宋体" w:hAnsi="宋体" w:cs="宋体"/>
          <w:color w:val="auto"/>
          <w:szCs w:val="21"/>
          <w:highlight w:val="none"/>
        </w:rPr>
        <w:t>代理人无权转让委托权。特此委托。</w:t>
      </w:r>
      <w:bookmarkEnd w:id="46"/>
    </w:p>
    <w:p>
      <w:pPr>
        <w:spacing w:line="500" w:lineRule="exact"/>
        <w:ind w:firstLine="525" w:firstLineChars="2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p>
    <w:p>
      <w:pPr>
        <w:spacing w:line="500" w:lineRule="exact"/>
        <w:ind w:firstLine="630" w:firstLineChars="300"/>
        <w:jc w:val="both"/>
        <w:outlineLvl w:val="1"/>
        <w:rPr>
          <w:rFonts w:hint="default" w:ascii="宋体" w:hAnsi="宋体" w:eastAsia="宋体" w:cs="宋体"/>
          <w:color w:val="auto"/>
          <w:szCs w:val="21"/>
          <w:highlight w:val="none"/>
          <w:u w:val="single"/>
          <w:lang w:val="en-US" w:eastAsia="zh-CN"/>
        </w:rPr>
      </w:pPr>
      <w:bookmarkStart w:id="47" w:name="_Toc25253"/>
      <w:r>
        <w:rPr>
          <w:rFonts w:hint="eastAsia" w:ascii="宋体" w:hAnsi="宋体" w:cs="宋体"/>
          <w:color w:val="auto"/>
          <w:szCs w:val="21"/>
          <w:highlight w:val="none"/>
        </w:rPr>
        <w:t>投标供应商代表：</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身份证号：</w:t>
      </w:r>
      <w:bookmarkEnd w:id="47"/>
      <w:r>
        <w:rPr>
          <w:rFonts w:hint="eastAsia" w:ascii="宋体" w:hAnsi="宋体" w:cs="宋体"/>
          <w:color w:val="auto"/>
          <w:szCs w:val="21"/>
          <w:highlight w:val="none"/>
          <w:u w:val="single"/>
          <w:lang w:val="en-US" w:eastAsia="zh-CN"/>
        </w:rPr>
        <w:t xml:space="preserve">           </w:t>
      </w:r>
    </w:p>
    <w:p>
      <w:pPr>
        <w:spacing w:line="500" w:lineRule="exact"/>
        <w:ind w:firstLine="630" w:firstLineChars="300"/>
        <w:jc w:val="both"/>
        <w:outlineLvl w:val="1"/>
        <w:rPr>
          <w:rFonts w:hint="default" w:ascii="宋体" w:hAnsi="宋体" w:eastAsia="宋体" w:cs="宋体"/>
          <w:color w:val="auto"/>
          <w:szCs w:val="21"/>
          <w:highlight w:val="none"/>
          <w:lang w:val="en-US" w:eastAsia="zh-CN"/>
        </w:rPr>
      </w:pPr>
      <w:bookmarkStart w:id="48" w:name="_Toc3485"/>
      <w:r>
        <w:rPr>
          <w:rFonts w:hint="eastAsia" w:ascii="宋体" w:hAnsi="宋体" w:cs="宋体"/>
          <w:color w:val="auto"/>
          <w:szCs w:val="21"/>
          <w:highlight w:val="none"/>
        </w:rPr>
        <w:t>单位：</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职务：</w:t>
      </w:r>
      <w:bookmarkEnd w:id="48"/>
      <w:r>
        <w:rPr>
          <w:rFonts w:hint="eastAsia" w:ascii="宋体" w:hAnsi="宋体" w:cs="宋体"/>
          <w:color w:val="auto"/>
          <w:szCs w:val="21"/>
          <w:highlight w:val="none"/>
          <w:u w:val="single"/>
          <w:lang w:val="en-US" w:eastAsia="zh-CN"/>
        </w:rPr>
        <w:t xml:space="preserve">               </w:t>
      </w:r>
    </w:p>
    <w:p>
      <w:pPr>
        <w:spacing w:line="500" w:lineRule="exact"/>
        <w:ind w:firstLine="630" w:firstLineChars="300"/>
        <w:jc w:val="both"/>
        <w:outlineLvl w:val="1"/>
        <w:rPr>
          <w:rFonts w:hint="default" w:ascii="宋体" w:hAnsi="宋体" w:eastAsia="宋体" w:cs="宋体"/>
          <w:color w:val="auto"/>
          <w:szCs w:val="21"/>
          <w:highlight w:val="none"/>
          <w:lang w:val="en-US" w:eastAsia="zh-CN"/>
        </w:rPr>
      </w:pPr>
      <w:bookmarkStart w:id="49" w:name="_Toc18703"/>
      <w:r>
        <w:rPr>
          <w:rFonts w:hint="eastAsia" w:ascii="宋体" w:hAnsi="宋体" w:cs="宋体"/>
          <w:color w:val="auto"/>
          <w:szCs w:val="21"/>
          <w:highlight w:val="none"/>
        </w:rPr>
        <w:t>详细通讯地址：</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邮政编码: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电话：</w:t>
      </w:r>
      <w:bookmarkEnd w:id="49"/>
      <w:r>
        <w:rPr>
          <w:rFonts w:hint="eastAsia" w:ascii="宋体" w:hAnsi="宋体" w:cs="宋体"/>
          <w:color w:val="auto"/>
          <w:szCs w:val="21"/>
          <w:highlight w:val="none"/>
          <w:u w:val="single"/>
          <w:lang w:val="en-US" w:eastAsia="zh-CN"/>
        </w:rPr>
        <w:t xml:space="preserve">               </w:t>
      </w:r>
    </w:p>
    <w:p>
      <w:pPr>
        <w:spacing w:line="500" w:lineRule="exact"/>
        <w:outlineLvl w:val="1"/>
        <w:rPr>
          <w:rFonts w:ascii="宋体" w:hAnsi="宋体" w:cs="宋体"/>
          <w:color w:val="auto"/>
          <w:szCs w:val="21"/>
          <w:highlight w:val="none"/>
        </w:rPr>
      </w:pPr>
    </w:p>
    <w:p>
      <w:pPr>
        <w:spacing w:line="500" w:lineRule="exact"/>
        <w:outlineLvl w:val="1"/>
        <w:rPr>
          <w:rFonts w:ascii="宋体" w:hAnsi="宋体" w:cs="宋体"/>
          <w:color w:val="auto"/>
          <w:szCs w:val="21"/>
          <w:highlight w:val="none"/>
        </w:rPr>
      </w:pPr>
    </w:p>
    <w:p>
      <w:pPr>
        <w:spacing w:line="500" w:lineRule="exact"/>
        <w:ind w:firstLine="2835" w:firstLineChars="1350"/>
        <w:outlineLvl w:val="1"/>
        <w:rPr>
          <w:rFonts w:ascii="宋体" w:hAnsi="宋体" w:cs="宋体"/>
          <w:color w:val="auto"/>
          <w:szCs w:val="21"/>
          <w:highlight w:val="none"/>
          <w:u w:val="single"/>
        </w:rPr>
      </w:pPr>
      <w:bookmarkStart w:id="50" w:name="_Toc32221"/>
      <w:r>
        <w:rPr>
          <w:rFonts w:hint="eastAsia" w:ascii="宋体" w:hAnsi="宋体" w:cs="宋体"/>
          <w:color w:val="auto"/>
          <w:szCs w:val="21"/>
          <w:highlight w:val="none"/>
        </w:rPr>
        <w:t>法定代表人签字和盖章：</w:t>
      </w:r>
      <w:bookmarkEnd w:id="50"/>
    </w:p>
    <w:p>
      <w:pPr>
        <w:spacing w:line="500" w:lineRule="exact"/>
        <w:ind w:firstLine="2835" w:firstLineChars="1350"/>
        <w:outlineLvl w:val="1"/>
        <w:rPr>
          <w:rFonts w:ascii="宋体" w:hAnsi="宋体" w:cs="宋体"/>
          <w:color w:val="auto"/>
          <w:szCs w:val="21"/>
          <w:highlight w:val="none"/>
          <w:u w:val="single"/>
        </w:rPr>
      </w:pPr>
      <w:bookmarkStart w:id="51" w:name="_Toc5493"/>
      <w:r>
        <w:rPr>
          <w:rFonts w:hint="eastAsia" w:ascii="宋体" w:hAnsi="宋体" w:cs="宋体"/>
          <w:color w:val="auto"/>
          <w:szCs w:val="21"/>
          <w:highlight w:val="none"/>
        </w:rPr>
        <w:t>投标单位公章：</w:t>
      </w:r>
      <w:bookmarkEnd w:id="51"/>
    </w:p>
    <w:p>
      <w:pPr>
        <w:spacing w:line="500" w:lineRule="exact"/>
        <w:ind w:firstLine="2835" w:firstLineChars="1350"/>
        <w:outlineLvl w:val="1"/>
        <w:rPr>
          <w:rFonts w:ascii="宋体" w:hAnsi="宋体" w:cs="宋体"/>
          <w:color w:val="auto"/>
          <w:szCs w:val="21"/>
          <w:highlight w:val="none"/>
        </w:rPr>
      </w:pPr>
      <w:bookmarkStart w:id="52" w:name="_Toc10833"/>
      <w:r>
        <w:rPr>
          <w:rFonts w:hint="eastAsia" w:ascii="宋体" w:hAnsi="宋体" w:cs="宋体"/>
          <w:color w:val="auto"/>
          <w:szCs w:val="21"/>
          <w:highlight w:val="none"/>
        </w:rPr>
        <w:t>日        期：___________年_____月_____日</w:t>
      </w:r>
      <w:bookmarkEnd w:id="52"/>
    </w:p>
    <w:p>
      <w:pPr>
        <w:spacing w:line="500" w:lineRule="exact"/>
        <w:ind w:firstLine="525" w:firstLineChars="250"/>
        <w:outlineLvl w:val="1"/>
        <w:rPr>
          <w:rFonts w:ascii="宋体" w:hAnsi="宋体" w:cs="宋体"/>
          <w:color w:val="auto"/>
          <w:szCs w:val="21"/>
          <w:highlight w:val="none"/>
        </w:rPr>
      </w:pPr>
    </w:p>
    <w:p>
      <w:pPr>
        <w:spacing w:line="500" w:lineRule="exact"/>
        <w:ind w:firstLine="525" w:firstLineChars="250"/>
        <w:outlineLvl w:val="1"/>
        <w:rPr>
          <w:rFonts w:ascii="宋体" w:hAnsi="宋体" w:cs="宋体"/>
          <w:color w:val="auto"/>
          <w:szCs w:val="21"/>
          <w:highlight w:val="none"/>
        </w:rPr>
      </w:pPr>
      <w:bookmarkStart w:id="53" w:name="_Toc8126"/>
      <w:r>
        <w:rPr>
          <w:rFonts w:hint="eastAsia" w:ascii="宋体" w:hAnsi="宋体" w:cs="宋体"/>
          <w:color w:val="auto"/>
          <w:szCs w:val="21"/>
          <w:highlight w:val="none"/>
        </w:rPr>
        <w:t>附:授权委托人身份证复印件</w:t>
      </w:r>
      <w:bookmarkEnd w:id="53"/>
    </w:p>
    <w:p>
      <w:pPr>
        <w:pStyle w:val="3"/>
        <w:spacing w:line="360" w:lineRule="exact"/>
        <w:jc w:val="both"/>
        <w:rPr>
          <w:rFonts w:ascii="宋体" w:eastAsia="宋体" w:cs="宋体"/>
          <w:color w:val="auto"/>
          <w:sz w:val="21"/>
          <w:szCs w:val="21"/>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rPr>
          <w:rFonts w:ascii="宋体" w:hAnsi="宋体" w:cs="宋体"/>
          <w:color w:val="auto"/>
          <w:highlight w:val="none"/>
        </w:rPr>
      </w:pPr>
    </w:p>
    <w:p>
      <w:pPr>
        <w:widowControl/>
        <w:snapToGrid w:val="0"/>
        <w:spacing w:line="600" w:lineRule="exact"/>
        <w:jc w:val="center"/>
        <w:rPr>
          <w:rFonts w:ascii="宋体" w:hAnsi="宋体" w:cs="宋体"/>
          <w:b/>
          <w:bCs/>
          <w:color w:val="auto"/>
          <w:kern w:val="0"/>
          <w:sz w:val="30"/>
          <w:szCs w:val="30"/>
          <w:highlight w:val="none"/>
        </w:rPr>
      </w:pPr>
      <w:bookmarkStart w:id="54" w:name="_Toc3749"/>
      <w:r>
        <w:rPr>
          <w:rFonts w:hint="eastAsia" w:ascii="宋体" w:hAnsi="宋体" w:cs="宋体"/>
          <w:b/>
          <w:bCs/>
          <w:color w:val="auto"/>
          <w:kern w:val="0"/>
          <w:sz w:val="30"/>
          <w:szCs w:val="30"/>
          <w:highlight w:val="none"/>
        </w:rPr>
        <w:t>7、投标人基本情况表</w:t>
      </w:r>
      <w:bookmarkEnd w:id="54"/>
    </w:p>
    <w:p>
      <w:pPr>
        <w:spacing w:line="360" w:lineRule="exact"/>
        <w:rPr>
          <w:rFonts w:ascii="宋体" w:hAnsi="宋体" w:cs="宋体"/>
          <w:color w:val="auto"/>
          <w:sz w:val="24"/>
          <w:highlight w:val="none"/>
        </w:rPr>
      </w:pPr>
    </w:p>
    <w:tbl>
      <w:tblPr>
        <w:tblStyle w:val="14"/>
        <w:tblW w:w="93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106"/>
        <w:gridCol w:w="1329"/>
        <w:gridCol w:w="1330"/>
        <w:gridCol w:w="1105"/>
        <w:gridCol w:w="225"/>
        <w:gridCol w:w="1330"/>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投标供应商名称</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注册地址</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Merge w:val="restart"/>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联系方式</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2659"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 话</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6" w:hRule="atLeast"/>
          <w:jc w:val="center"/>
        </w:trPr>
        <w:tc>
          <w:tcPr>
            <w:tcW w:w="1551"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传  真</w:t>
            </w:r>
          </w:p>
        </w:tc>
        <w:tc>
          <w:tcPr>
            <w:tcW w:w="2659"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网 址</w:t>
            </w:r>
          </w:p>
        </w:tc>
        <w:tc>
          <w:tcPr>
            <w:tcW w:w="266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组织结构</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法定代表人</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姓名</w:t>
            </w:r>
          </w:p>
        </w:tc>
        <w:tc>
          <w:tcPr>
            <w:tcW w:w="1329"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技术职称</w:t>
            </w: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技术负责人</w:t>
            </w:r>
          </w:p>
        </w:tc>
        <w:tc>
          <w:tcPr>
            <w:tcW w:w="1106"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姓名</w:t>
            </w:r>
          </w:p>
        </w:tc>
        <w:tc>
          <w:tcPr>
            <w:tcW w:w="1329"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技术职称</w:t>
            </w:r>
          </w:p>
        </w:tc>
        <w:tc>
          <w:tcPr>
            <w:tcW w:w="1330"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电话</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成立时间</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3990" w:type="dxa"/>
            <w:gridSpan w:val="4"/>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企业资质等级</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restart"/>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其中</w:t>
            </w: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高级职称人员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营业执照号</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中级职称人员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6"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注册资金</w:t>
            </w:r>
          </w:p>
        </w:tc>
        <w:tc>
          <w:tcPr>
            <w:tcW w:w="3765" w:type="dxa"/>
            <w:gridSpan w:val="3"/>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105" w:type="dxa"/>
            <w:vMerge w:val="continue"/>
            <w:vAlign w:val="center"/>
          </w:tcPr>
          <w:p>
            <w:pPr>
              <w:autoSpaceDE w:val="0"/>
              <w:autoSpaceDN w:val="0"/>
              <w:adjustRightInd w:val="0"/>
              <w:spacing w:line="360" w:lineRule="exact"/>
              <w:jc w:val="center"/>
              <w:rPr>
                <w:rFonts w:ascii="宋体" w:hAnsi="宋体" w:cs="宋体"/>
                <w:color w:val="auto"/>
                <w:kern w:val="0"/>
                <w:szCs w:val="21"/>
                <w:highlight w:val="none"/>
              </w:rPr>
            </w:pPr>
          </w:p>
        </w:tc>
        <w:tc>
          <w:tcPr>
            <w:tcW w:w="1555" w:type="dxa"/>
            <w:gridSpan w:val="2"/>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初级职称人员</w:t>
            </w:r>
          </w:p>
        </w:tc>
        <w:tc>
          <w:tcPr>
            <w:tcW w:w="1330" w:type="dxa"/>
            <w:vAlign w:val="center"/>
          </w:tcPr>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4"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经营范围</w:t>
            </w:r>
          </w:p>
        </w:tc>
        <w:tc>
          <w:tcPr>
            <w:tcW w:w="7755" w:type="dxa"/>
            <w:gridSpan w:val="7"/>
            <w:vAlign w:val="center"/>
          </w:tcPr>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p>
            <w:pPr>
              <w:autoSpaceDE w:val="0"/>
              <w:autoSpaceDN w:val="0"/>
              <w:adjustRightInd w:val="0"/>
              <w:spacing w:line="360" w:lineRule="exact"/>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1551" w:type="dxa"/>
            <w:vAlign w:val="center"/>
          </w:tcPr>
          <w:p>
            <w:pPr>
              <w:autoSpaceDE w:val="0"/>
              <w:autoSpaceDN w:val="0"/>
              <w:adjustRightInd w:val="0"/>
              <w:spacing w:line="36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c>
          <w:tcPr>
            <w:tcW w:w="7755" w:type="dxa"/>
            <w:gridSpan w:val="7"/>
            <w:vAlign w:val="center"/>
          </w:tcPr>
          <w:p>
            <w:pPr>
              <w:autoSpaceDE w:val="0"/>
              <w:autoSpaceDN w:val="0"/>
              <w:adjustRightInd w:val="0"/>
              <w:spacing w:line="360" w:lineRule="exact"/>
              <w:rPr>
                <w:rFonts w:ascii="宋体" w:hAnsi="宋体" w:cs="宋体"/>
                <w:color w:val="auto"/>
                <w:kern w:val="0"/>
                <w:szCs w:val="21"/>
                <w:highlight w:val="none"/>
              </w:rPr>
            </w:pPr>
            <w:r>
              <w:rPr>
                <w:rFonts w:hint="eastAsia" w:ascii="宋体" w:hAnsi="宋体" w:cs="宋体"/>
                <w:color w:val="auto"/>
                <w:kern w:val="0"/>
                <w:szCs w:val="21"/>
                <w:highlight w:val="none"/>
              </w:rPr>
              <w:t>投标单位可跟据企业实际情况增加或删减填写此表</w:t>
            </w:r>
          </w:p>
        </w:tc>
      </w:tr>
    </w:tbl>
    <w:p>
      <w:pPr>
        <w:spacing w:line="360" w:lineRule="exact"/>
        <w:outlineLvl w:val="1"/>
        <w:rPr>
          <w:rFonts w:ascii="宋体" w:hAnsi="宋体" w:cs="宋体"/>
          <w:b/>
          <w:color w:val="auto"/>
          <w:sz w:val="24"/>
          <w:highlight w:val="none"/>
        </w:rPr>
      </w:pPr>
    </w:p>
    <w:p>
      <w:pPr>
        <w:pStyle w:val="3"/>
        <w:spacing w:line="360" w:lineRule="exact"/>
        <w:rPr>
          <w:rFonts w:ascii="宋体" w:eastAsia="宋体" w:cs="宋体"/>
          <w:color w:val="auto"/>
          <w:sz w:val="24"/>
          <w:szCs w:val="24"/>
          <w:highlight w:val="none"/>
        </w:rPr>
      </w:pPr>
    </w:p>
    <w:p>
      <w:pPr>
        <w:rPr>
          <w:rFonts w:ascii="宋体" w:hAnsi="宋体" w:cs="宋体"/>
          <w:color w:val="auto"/>
          <w:highlight w:val="none"/>
        </w:rPr>
      </w:pPr>
    </w:p>
    <w:p>
      <w:pPr>
        <w:spacing w:after="120" w:line="360" w:lineRule="exact"/>
        <w:ind w:firstLine="118" w:firstLineChars="49"/>
        <w:jc w:val="center"/>
        <w:rPr>
          <w:rFonts w:ascii="宋体" w:hAnsi="宋体" w:cs="宋体"/>
          <w:b/>
          <w:color w:val="auto"/>
          <w:sz w:val="24"/>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8、服务承诺及优惠条件</w:t>
      </w:r>
    </w:p>
    <w:p>
      <w:pPr>
        <w:autoSpaceDE w:val="0"/>
        <w:autoSpaceDN w:val="0"/>
        <w:adjustRightInd w:val="0"/>
        <w:jc w:val="center"/>
        <w:rPr>
          <w:rFonts w:ascii="宋体" w:hAnsi="宋体" w:cs="宋体"/>
          <w:b/>
          <w:color w:val="auto"/>
          <w:sz w:val="24"/>
          <w:highlight w:val="none"/>
        </w:rPr>
      </w:pPr>
    </w:p>
    <w:tbl>
      <w:tblPr>
        <w:tblStyle w:val="14"/>
        <w:tblW w:w="8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4"/>
        <w:gridCol w:w="6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exact"/>
          <w:jc w:val="center"/>
        </w:trPr>
        <w:tc>
          <w:tcPr>
            <w:tcW w:w="19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项目名称</w:t>
            </w:r>
          </w:p>
        </w:tc>
        <w:tc>
          <w:tcPr>
            <w:tcW w:w="632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exact"/>
          <w:jc w:val="center"/>
        </w:trPr>
        <w:tc>
          <w:tcPr>
            <w:tcW w:w="19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投标供应商名称</w:t>
            </w:r>
          </w:p>
        </w:tc>
        <w:tc>
          <w:tcPr>
            <w:tcW w:w="6321"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853" w:hRule="atLeast"/>
          <w:jc w:val="center"/>
        </w:trPr>
        <w:tc>
          <w:tcPr>
            <w:tcW w:w="8265" w:type="dxa"/>
            <w:gridSpan w:val="2"/>
            <w:tcBorders>
              <w:top w:val="single" w:color="auto" w:sz="4" w:space="0"/>
              <w:left w:val="single" w:color="auto" w:sz="4" w:space="0"/>
              <w:bottom w:val="single" w:color="auto" w:sz="4" w:space="0"/>
              <w:right w:val="single" w:color="auto" w:sz="4" w:space="0"/>
            </w:tcBorders>
            <w:vAlign w:val="center"/>
          </w:tcPr>
          <w:p>
            <w:pPr>
              <w:pStyle w:val="16"/>
              <w:spacing w:line="400" w:lineRule="exact"/>
              <w:jc w:val="center"/>
              <w:rPr>
                <w:rFonts w:ascii="宋体" w:hAnsi="宋体" w:eastAsia="宋体" w:cs="宋体"/>
                <w:color w:val="auto"/>
                <w:sz w:val="24"/>
                <w:szCs w:val="24"/>
                <w:highlight w:val="none"/>
              </w:rPr>
            </w:pPr>
          </w:p>
        </w:tc>
      </w:tr>
    </w:tbl>
    <w:p>
      <w:pPr>
        <w:tabs>
          <w:tab w:val="right" w:leader="dot" w:pos="8505"/>
        </w:tabs>
        <w:spacing w:line="360" w:lineRule="auto"/>
        <w:ind w:firstLine="480" w:firstLineChars="200"/>
        <w:rPr>
          <w:rFonts w:ascii="宋体" w:hAnsi="宋体" w:cs="宋体"/>
          <w:color w:val="auto"/>
          <w:sz w:val="24"/>
          <w:highlight w:val="none"/>
        </w:rPr>
      </w:pPr>
    </w:p>
    <w:p>
      <w:pPr>
        <w:tabs>
          <w:tab w:val="right" w:leader="dot" w:pos="850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投标供应商名称：（盖章）                         </w:t>
      </w:r>
    </w:p>
    <w:p>
      <w:pPr>
        <w:tabs>
          <w:tab w:val="right" w:leader="dot" w:pos="8505"/>
        </w:tabs>
        <w:spacing w:line="360" w:lineRule="auto"/>
        <w:rPr>
          <w:rFonts w:ascii="宋体" w:hAnsi="宋体" w:cs="宋体"/>
          <w:color w:val="auto"/>
          <w:sz w:val="24"/>
          <w:highlight w:val="none"/>
        </w:rPr>
      </w:pPr>
      <w:r>
        <w:rPr>
          <w:rFonts w:hint="eastAsia" w:ascii="宋体" w:hAnsi="宋体" w:cs="宋体"/>
          <w:color w:val="auto"/>
          <w:sz w:val="24"/>
          <w:highlight w:val="none"/>
        </w:rPr>
        <w:t xml:space="preserve">    法定代表人或其委托代理人：（签字或盖章）</w:t>
      </w:r>
    </w:p>
    <w:p>
      <w:pPr>
        <w:autoSpaceDE w:val="0"/>
        <w:autoSpaceDN w:val="0"/>
        <w:adjustRightInd w:val="0"/>
        <w:rPr>
          <w:rFonts w:ascii="宋体" w:hAnsi="宋体" w:cs="宋体"/>
          <w:color w:val="auto"/>
          <w:sz w:val="24"/>
          <w:highlight w:val="none"/>
        </w:rPr>
      </w:pPr>
      <w:r>
        <w:rPr>
          <w:rFonts w:hint="eastAsia" w:ascii="宋体" w:hAnsi="宋体" w:cs="宋体"/>
          <w:color w:val="auto"/>
          <w:sz w:val="24"/>
          <w:highlight w:val="none"/>
        </w:rPr>
        <w:t xml:space="preserve">    日      期：      年     月    日</w:t>
      </w:r>
    </w:p>
    <w:p>
      <w:pPr>
        <w:autoSpaceDE w:val="0"/>
        <w:autoSpaceDN w:val="0"/>
        <w:adjustRightInd w:val="0"/>
        <w:rPr>
          <w:rFonts w:ascii="宋体" w:hAnsi="宋体" w:cs="宋体"/>
          <w:b/>
          <w:color w:val="auto"/>
          <w:sz w:val="24"/>
          <w:highlight w:val="none"/>
        </w:rPr>
      </w:pPr>
    </w:p>
    <w:p>
      <w:pPr>
        <w:autoSpaceDE w:val="0"/>
        <w:autoSpaceDN w:val="0"/>
        <w:adjustRightInd w:val="0"/>
        <w:rPr>
          <w:rFonts w:ascii="宋体" w:hAnsi="宋体" w:cs="宋体"/>
          <w:b/>
          <w:color w:val="auto"/>
          <w:sz w:val="24"/>
          <w:highlight w:val="none"/>
        </w:rPr>
      </w:pPr>
    </w:p>
    <w:p>
      <w:pPr>
        <w:autoSpaceDE w:val="0"/>
        <w:autoSpaceDN w:val="0"/>
        <w:adjustRightInd w:val="0"/>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jc w:val="center"/>
        <w:rPr>
          <w:rFonts w:ascii="宋体" w:hAnsi="宋体" w:cs="宋体"/>
          <w:b/>
          <w:color w:val="auto"/>
          <w:sz w:val="24"/>
          <w:highlight w:val="none"/>
        </w:rPr>
      </w:pPr>
    </w:p>
    <w:p>
      <w:pPr>
        <w:pStyle w:val="3"/>
        <w:rPr>
          <w:rFonts w:ascii="宋体" w:eastAsia="宋体"/>
          <w:color w:val="auto"/>
          <w:sz w:val="28"/>
          <w:szCs w:val="28"/>
          <w:highlight w:val="none"/>
        </w:rPr>
      </w:pPr>
      <w:bookmarkStart w:id="55" w:name="_Toc395168331"/>
      <w:bookmarkStart w:id="56" w:name="_Toc1101"/>
      <w:r>
        <w:rPr>
          <w:rFonts w:hint="eastAsia"/>
          <w:color w:val="auto"/>
          <w:highlight w:val="none"/>
        </w:rPr>
        <w:t>9、</w:t>
      </w:r>
      <w:bookmarkEnd w:id="55"/>
      <w:r>
        <w:rPr>
          <w:rFonts w:hint="eastAsia" w:ascii="宋体" w:eastAsia="宋体"/>
          <w:color w:val="auto"/>
          <w:sz w:val="28"/>
          <w:szCs w:val="28"/>
          <w:highlight w:val="none"/>
        </w:rPr>
        <w:t>售后服务承诺</w:t>
      </w:r>
    </w:p>
    <w:p>
      <w:pPr>
        <w:rPr>
          <w:color w:val="auto"/>
          <w:highlight w:val="none"/>
        </w:rPr>
      </w:pPr>
    </w:p>
    <w:p>
      <w:pPr>
        <w:spacing w:line="600" w:lineRule="exact"/>
        <w:rPr>
          <w:rFonts w:ascii="宋体" w:hAnsi="宋体"/>
          <w:color w:val="auto"/>
          <w:szCs w:val="21"/>
          <w:highlight w:val="none"/>
        </w:rPr>
      </w:pPr>
      <w:r>
        <w:rPr>
          <w:rFonts w:hint="eastAsia" w:ascii="宋体" w:hAnsi="宋体"/>
          <w:color w:val="auto"/>
          <w:szCs w:val="21"/>
          <w:highlight w:val="none"/>
        </w:rPr>
        <w:t>投标人必须提供但不限于提供以下内容：</w:t>
      </w:r>
    </w:p>
    <w:p>
      <w:pPr>
        <w:spacing w:line="600" w:lineRule="exact"/>
        <w:ind w:firstLine="315" w:firstLineChars="150"/>
        <w:rPr>
          <w:rFonts w:ascii="宋体" w:hAnsi="宋体"/>
          <w:color w:val="auto"/>
          <w:szCs w:val="21"/>
          <w:highlight w:val="none"/>
        </w:rPr>
      </w:pPr>
      <w:r>
        <w:rPr>
          <w:rFonts w:hint="eastAsia" w:ascii="宋体" w:hAnsi="宋体"/>
          <w:color w:val="auto"/>
          <w:szCs w:val="21"/>
          <w:highlight w:val="none"/>
        </w:rPr>
        <w:t>1、详细说明售后服务的内容、形式、含免费维修时间、解决质量或操作问题的响应时间、解决问题实际、维修单位名称、地点。</w:t>
      </w:r>
    </w:p>
    <w:p>
      <w:pPr>
        <w:spacing w:line="600" w:lineRule="exact"/>
        <w:ind w:firstLine="315" w:firstLineChars="150"/>
        <w:rPr>
          <w:rFonts w:ascii="宋体" w:hAnsi="宋体"/>
          <w:color w:val="auto"/>
          <w:szCs w:val="21"/>
          <w:highlight w:val="none"/>
        </w:rPr>
      </w:pPr>
      <w:r>
        <w:rPr>
          <w:rFonts w:hint="eastAsia" w:ascii="宋体" w:hAnsi="宋体"/>
          <w:color w:val="auto"/>
          <w:szCs w:val="21"/>
          <w:highlight w:val="none"/>
        </w:rPr>
        <w:t>2、该次项目所提供的其他免费物品或服务。</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10、反商业贿赂承诺书</w:t>
      </w:r>
      <w:bookmarkEnd w:id="56"/>
    </w:p>
    <w:p>
      <w:pPr>
        <w:rPr>
          <w:rFonts w:ascii="宋体" w:hAnsi="宋体" w:cs="宋体"/>
          <w:color w:val="auto"/>
          <w:highlight w:val="none"/>
        </w:rPr>
      </w:pPr>
    </w:p>
    <w:p>
      <w:pPr>
        <w:spacing w:line="360" w:lineRule="exact"/>
        <w:rPr>
          <w:rFonts w:ascii="宋体" w:hAnsi="宋体" w:cs="宋体"/>
          <w:color w:val="auto"/>
          <w:sz w:val="24"/>
          <w:highlight w:val="none"/>
        </w:rPr>
      </w:pPr>
    </w:p>
    <w:p>
      <w:pPr>
        <w:spacing w:line="560" w:lineRule="exact"/>
        <w:rPr>
          <w:rFonts w:ascii="宋体" w:hAnsi="宋体" w:cs="宋体"/>
          <w:color w:val="auto"/>
          <w:szCs w:val="21"/>
          <w:highlight w:val="none"/>
        </w:rPr>
      </w:pPr>
      <w:r>
        <w:rPr>
          <w:rFonts w:hint="eastAsia" w:ascii="宋体" w:hAnsi="宋体" w:cs="宋体"/>
          <w:color w:val="auto"/>
          <w:szCs w:val="21"/>
          <w:highlight w:val="none"/>
        </w:rPr>
        <w:t>我公司承诺：</w:t>
      </w:r>
      <w:r>
        <w:rPr>
          <w:rFonts w:hint="eastAsia" w:ascii="宋体" w:hAnsi="宋体" w:cs="宋体"/>
          <w:color w:val="auto"/>
          <w:szCs w:val="21"/>
          <w:highlight w:val="none"/>
        </w:rPr>
        <w:tab/>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在</w:t>
      </w:r>
      <w:r>
        <w:rPr>
          <w:rFonts w:hint="eastAsia" w:ascii="宋体" w:hAnsi="宋体" w:cs="宋体"/>
          <w:color w:val="auto"/>
          <w:szCs w:val="21"/>
          <w:highlight w:val="none"/>
          <w:u w:val="single"/>
        </w:rPr>
        <w:t>（投标项目名称）</w:t>
      </w:r>
      <w:r>
        <w:rPr>
          <w:rFonts w:hint="eastAsia" w:ascii="宋体" w:hAnsi="宋体" w:cs="宋体"/>
          <w:color w:val="auto"/>
          <w:szCs w:val="21"/>
          <w:highlight w:val="none"/>
        </w:rPr>
        <w:t>投标活动中，我公司保证做到：</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一、公平参加本次投标活动。</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二、杜绝任何形式的商业贿赂行为。不向国家工作人员、政府采购代理机构工作人员、评审专家及其亲属提供礼品礼金、回扣、佣金等费用。</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三、若出现上述行为，我公司及参与投标的工作人员愿意接受按照国家法律法规等有关规定的处罚。</w:t>
      </w:r>
    </w:p>
    <w:p>
      <w:pPr>
        <w:spacing w:line="560" w:lineRule="exact"/>
        <w:rPr>
          <w:rFonts w:ascii="宋体" w:hAnsi="宋体" w:cs="宋体"/>
          <w:color w:val="auto"/>
          <w:szCs w:val="21"/>
          <w:highlight w:val="none"/>
        </w:rPr>
      </w:pPr>
    </w:p>
    <w:p>
      <w:pPr>
        <w:spacing w:line="560" w:lineRule="exact"/>
        <w:ind w:firstLine="2940" w:firstLineChars="1400"/>
        <w:rPr>
          <w:rFonts w:ascii="宋体" w:hAnsi="宋体" w:cs="宋体"/>
          <w:color w:val="auto"/>
          <w:szCs w:val="21"/>
          <w:highlight w:val="none"/>
        </w:rPr>
      </w:pPr>
      <w:r>
        <w:rPr>
          <w:rFonts w:hint="eastAsia" w:ascii="宋体" w:hAnsi="宋体" w:cs="宋体"/>
          <w:color w:val="auto"/>
          <w:szCs w:val="21"/>
          <w:highlight w:val="none"/>
        </w:rPr>
        <w:t>公司法人代表（签字）</w:t>
      </w:r>
    </w:p>
    <w:p>
      <w:pPr>
        <w:spacing w:line="560" w:lineRule="exact"/>
        <w:rPr>
          <w:rFonts w:ascii="宋体" w:hAnsi="宋体" w:cs="宋体"/>
          <w:color w:val="auto"/>
          <w:szCs w:val="21"/>
          <w:highlight w:val="none"/>
        </w:rPr>
      </w:pPr>
      <w:r>
        <w:rPr>
          <w:rFonts w:hint="eastAsia" w:ascii="宋体" w:hAnsi="宋体" w:cs="宋体"/>
          <w:color w:val="auto"/>
          <w:szCs w:val="21"/>
          <w:highlight w:val="none"/>
        </w:rPr>
        <w:t xml:space="preserve">                            法人授权代表（签字）</w:t>
      </w:r>
    </w:p>
    <w:p>
      <w:pPr>
        <w:spacing w:line="560" w:lineRule="exact"/>
        <w:ind w:left="4305" w:hanging="4305" w:hangingChars="2050"/>
        <w:rPr>
          <w:rFonts w:ascii="宋体" w:hAnsi="宋体" w:cs="宋体"/>
          <w:color w:val="auto"/>
          <w:szCs w:val="21"/>
          <w:highlight w:val="none"/>
        </w:rPr>
      </w:pPr>
      <w:r>
        <w:rPr>
          <w:rFonts w:hint="eastAsia" w:ascii="宋体" w:hAnsi="宋体" w:cs="宋体"/>
          <w:color w:val="auto"/>
          <w:szCs w:val="21"/>
          <w:highlight w:val="none"/>
        </w:rPr>
        <w:t xml:space="preserve">                                        （公章）</w:t>
      </w:r>
    </w:p>
    <w:p>
      <w:pPr>
        <w:spacing w:line="500" w:lineRule="exact"/>
        <w:ind w:left="4305" w:hanging="4305" w:hangingChars="2050"/>
        <w:rPr>
          <w:rFonts w:ascii="宋体" w:hAnsi="宋体" w:cs="宋体"/>
          <w:color w:val="auto"/>
          <w:szCs w:val="21"/>
          <w:highlight w:val="none"/>
        </w:rPr>
      </w:pPr>
    </w:p>
    <w:p>
      <w:pPr>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                                        年   月  日</w:t>
      </w:r>
    </w:p>
    <w:p>
      <w:pPr>
        <w:spacing w:line="360" w:lineRule="exact"/>
        <w:rPr>
          <w:rFonts w:ascii="宋体" w:hAnsi="宋体" w:cs="宋体"/>
          <w:color w:val="auto"/>
          <w:szCs w:val="21"/>
          <w:highlight w:val="none"/>
        </w:rPr>
      </w:pPr>
    </w:p>
    <w:p>
      <w:pPr>
        <w:spacing w:line="360" w:lineRule="exact"/>
        <w:jc w:val="center"/>
        <w:rPr>
          <w:rFonts w:ascii="宋体" w:hAnsi="宋体" w:cs="宋体"/>
          <w:b/>
          <w:color w:val="auto"/>
          <w:szCs w:val="21"/>
          <w:highlight w:val="none"/>
        </w:rPr>
      </w:pPr>
    </w:p>
    <w:p>
      <w:pPr>
        <w:spacing w:line="360" w:lineRule="exact"/>
        <w:jc w:val="center"/>
        <w:rPr>
          <w:rFonts w:ascii="宋体" w:hAnsi="宋体" w:cs="宋体"/>
          <w:b/>
          <w:color w:val="auto"/>
          <w:szCs w:val="21"/>
          <w:highlight w:val="none"/>
        </w:rPr>
      </w:pPr>
    </w:p>
    <w:p>
      <w:pPr>
        <w:widowControl/>
        <w:snapToGrid w:val="0"/>
        <w:spacing w:line="600" w:lineRule="exact"/>
        <w:jc w:val="center"/>
        <w:rPr>
          <w:rFonts w:ascii="宋体" w:hAnsi="宋体" w:cs="宋体"/>
          <w:b/>
          <w:bCs/>
          <w:color w:val="auto"/>
          <w:kern w:val="0"/>
          <w:sz w:val="30"/>
          <w:szCs w:val="30"/>
          <w:highlight w:val="none"/>
        </w:rPr>
      </w:pPr>
      <w:bookmarkStart w:id="57" w:name="_Toc30173"/>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jc w:val="center"/>
        <w:rPr>
          <w:rFonts w:ascii="宋体" w:hAnsi="宋体" w:cs="宋体"/>
          <w:b/>
          <w:color w:val="auto"/>
          <w:kern w:val="0"/>
          <w:sz w:val="32"/>
          <w:szCs w:val="32"/>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11、投标承诺函</w:t>
      </w:r>
    </w:p>
    <w:p>
      <w:pPr>
        <w:jc w:val="center"/>
        <w:rPr>
          <w:rFonts w:ascii="宋体" w:hAnsi="宋体"/>
          <w:b/>
          <w:color w:val="auto"/>
          <w:sz w:val="44"/>
          <w:szCs w:val="44"/>
          <w:highlight w:val="none"/>
        </w:rPr>
      </w:pP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我单位对项目（项目编号：    采购编号： ）投标行为做出承诺，保证所提交材料的真实性。</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我单位承诺：</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1、在投标文件递交截止时间后至确定成交人的</w:t>
      </w:r>
      <w:r>
        <w:rPr>
          <w:color w:val="auto"/>
          <w:highlight w:val="none"/>
        </w:rPr>
        <w:fldChar w:fldCharType="begin"/>
      </w:r>
      <w:r>
        <w:rPr>
          <w:color w:val="auto"/>
          <w:highlight w:val="none"/>
        </w:rPr>
        <w:instrText xml:space="preserve"> HYPERLINK "https://baike.so.com/doc/5394983-5632135.html" \t "https://baike.so.com/doc/_blank" </w:instrText>
      </w:r>
      <w:r>
        <w:rPr>
          <w:color w:val="auto"/>
          <w:highlight w:val="none"/>
        </w:rPr>
        <w:fldChar w:fldCharType="separate"/>
      </w:r>
      <w:r>
        <w:rPr>
          <w:rFonts w:ascii="宋体" w:hAnsi="宋体"/>
          <w:color w:val="auto"/>
          <w:sz w:val="24"/>
          <w:highlight w:val="none"/>
        </w:rPr>
        <w:t>投标有效期</w:t>
      </w:r>
      <w:r>
        <w:rPr>
          <w:rFonts w:ascii="宋体" w:hAnsi="宋体"/>
          <w:color w:val="auto"/>
          <w:sz w:val="24"/>
          <w:highlight w:val="none"/>
        </w:rPr>
        <w:fldChar w:fldCharType="end"/>
      </w:r>
      <w:r>
        <w:rPr>
          <w:rFonts w:ascii="宋体" w:hAnsi="宋体"/>
          <w:color w:val="auto"/>
          <w:sz w:val="24"/>
          <w:highlight w:val="none"/>
        </w:rPr>
        <w:t>内</w:t>
      </w:r>
      <w:r>
        <w:rPr>
          <w:rFonts w:hint="eastAsia" w:ascii="宋体" w:hAnsi="宋体"/>
          <w:color w:val="auto"/>
          <w:sz w:val="24"/>
          <w:highlight w:val="none"/>
        </w:rPr>
        <w:t>，我单位不得要求退出竞标或者修改投标文件且</w:t>
      </w:r>
      <w:r>
        <w:rPr>
          <w:rFonts w:ascii="宋体" w:hAnsi="宋体"/>
          <w:color w:val="auto"/>
          <w:sz w:val="24"/>
          <w:highlight w:val="none"/>
        </w:rPr>
        <w:t>对递交的投标文件负责，受其约束。</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2、若我单位中标，在接到成交通知书后，除不可抗力因素外，及时按</w:t>
      </w:r>
      <w:r>
        <w:rPr>
          <w:rFonts w:ascii="宋体" w:hAnsi="宋体"/>
          <w:color w:val="auto"/>
          <w:sz w:val="24"/>
          <w:highlight w:val="none"/>
        </w:rPr>
        <w:t>规定</w:t>
      </w:r>
      <w:r>
        <w:rPr>
          <w:rFonts w:hint="eastAsia" w:ascii="宋体" w:hAnsi="宋体"/>
          <w:color w:val="auto"/>
          <w:sz w:val="24"/>
          <w:highlight w:val="none"/>
        </w:rPr>
        <w:t>与采购人</w:t>
      </w:r>
      <w:r>
        <w:rPr>
          <w:rFonts w:ascii="宋体" w:hAnsi="宋体"/>
          <w:color w:val="auto"/>
          <w:sz w:val="24"/>
          <w:highlight w:val="none"/>
        </w:rPr>
        <w:t>签订合同</w:t>
      </w:r>
      <w:r>
        <w:rPr>
          <w:rFonts w:hint="eastAsia" w:ascii="宋体" w:hAnsi="宋体"/>
          <w:color w:val="auto"/>
          <w:sz w:val="24"/>
          <w:highlight w:val="none"/>
        </w:rPr>
        <w:t>并认真履约。</w:t>
      </w:r>
    </w:p>
    <w:p>
      <w:pPr>
        <w:spacing w:line="600" w:lineRule="exact"/>
        <w:ind w:firstLine="480" w:firstLineChars="200"/>
        <w:rPr>
          <w:rFonts w:ascii="宋体" w:hAnsi="宋体"/>
          <w:color w:val="auto"/>
          <w:sz w:val="24"/>
          <w:highlight w:val="none"/>
        </w:rPr>
      </w:pPr>
      <w:r>
        <w:rPr>
          <w:rFonts w:hint="eastAsia" w:ascii="宋体" w:hAnsi="宋体"/>
          <w:color w:val="auto"/>
          <w:sz w:val="24"/>
          <w:highlight w:val="none"/>
        </w:rPr>
        <w:t>3、非因不可抗力因素放弃成交或未按规定期限与采购人签订合同，愿赔偿采购人由此造成的损失（损失费由采购人按相关规定计算），并愿接受采购金额千分之五以上千分之十以下罚款、列入不良行为记录名单、在1至3年内禁止参加政府采购活动、给予通报的处罚。</w:t>
      </w:r>
    </w:p>
    <w:p>
      <w:pPr>
        <w:spacing w:line="600" w:lineRule="exact"/>
        <w:ind w:firstLine="480" w:firstLineChars="200"/>
        <w:rPr>
          <w:rFonts w:ascii="宋体" w:hAnsi="宋体"/>
          <w:color w:val="auto"/>
          <w:sz w:val="24"/>
          <w:highlight w:val="none"/>
          <w:u w:val="single"/>
        </w:rPr>
      </w:pPr>
      <w:r>
        <w:rPr>
          <w:rFonts w:hint="eastAsia" w:ascii="宋体" w:hAnsi="宋体"/>
          <w:color w:val="auto"/>
          <w:sz w:val="24"/>
          <w:highlight w:val="none"/>
        </w:rPr>
        <w:t>4、不存在法律法规规定的其他违法违规行为。</w:t>
      </w:r>
      <w:r>
        <w:rPr>
          <w:rFonts w:hint="eastAsia" w:ascii="宋体" w:hAnsi="宋体"/>
          <w:color w:val="auto"/>
          <w:sz w:val="24"/>
          <w:highlight w:val="none"/>
        </w:rPr>
        <w:br w:type="textWrapping"/>
      </w:r>
      <w:r>
        <w:rPr>
          <w:rFonts w:hint="eastAsia" w:ascii="宋体" w:hAnsi="宋体"/>
          <w:color w:val="auto"/>
          <w:sz w:val="24"/>
          <w:highlight w:val="none"/>
        </w:rPr>
        <w:br w:type="textWrapping"/>
      </w:r>
      <w:r>
        <w:rPr>
          <w:rFonts w:hint="eastAsia" w:ascii="宋体" w:hAnsi="宋体"/>
          <w:color w:val="auto"/>
          <w:sz w:val="24"/>
          <w:highlight w:val="none"/>
        </w:rPr>
        <w:t xml:space="preserve">               投标供应商名称（盖章）：</w:t>
      </w:r>
    </w:p>
    <w:p>
      <w:pPr>
        <w:spacing w:line="600" w:lineRule="exact"/>
        <w:ind w:firstLine="435"/>
        <w:rPr>
          <w:rFonts w:ascii="宋体" w:hAnsi="宋体"/>
          <w:color w:val="auto"/>
          <w:sz w:val="24"/>
          <w:highlight w:val="none"/>
        </w:rPr>
      </w:pPr>
      <w:r>
        <w:rPr>
          <w:rFonts w:hint="eastAsia" w:ascii="宋体" w:hAnsi="宋体"/>
          <w:color w:val="auto"/>
          <w:sz w:val="24"/>
          <w:highlight w:val="none"/>
        </w:rPr>
        <w:t xml:space="preserve">          法人代表或授权委托人（签字或盖章）：</w:t>
      </w:r>
    </w:p>
    <w:p>
      <w:pPr>
        <w:widowControl/>
        <w:snapToGrid w:val="0"/>
        <w:spacing w:line="600" w:lineRule="exact"/>
        <w:ind w:firstLine="2400" w:firstLineChars="1000"/>
        <w:rPr>
          <w:rFonts w:ascii="宋体" w:hAnsi="宋体"/>
          <w:color w:val="auto"/>
          <w:sz w:val="24"/>
          <w:highlight w:val="none"/>
        </w:rPr>
      </w:pPr>
      <w:r>
        <w:rPr>
          <w:rFonts w:hint="eastAsia" w:ascii="宋体" w:hAnsi="宋体"/>
          <w:color w:val="auto"/>
          <w:sz w:val="24"/>
          <w:highlight w:val="none"/>
        </w:rPr>
        <w:t xml:space="preserve">                                         年    月    日   </w:t>
      </w: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2400" w:firstLineChars="1000"/>
        <w:rPr>
          <w:rFonts w:ascii="宋体" w:hAnsi="宋体"/>
          <w:color w:val="auto"/>
          <w:sz w:val="24"/>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p>
    <w:p>
      <w:pPr>
        <w:widowControl/>
        <w:snapToGrid w:val="0"/>
        <w:spacing w:line="600" w:lineRule="exact"/>
        <w:ind w:firstLine="3012" w:firstLineChars="1000"/>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12、无行贿犯罪记录承诺书</w:t>
      </w:r>
    </w:p>
    <w:p>
      <w:pPr>
        <w:spacing w:beforeLines="100" w:afterLines="100"/>
        <w:jc w:val="center"/>
        <w:rPr>
          <w:rFonts w:ascii="宋体"/>
          <w:color w:val="auto"/>
          <w:sz w:val="30"/>
          <w:szCs w:val="30"/>
          <w:highlight w:val="none"/>
        </w:rPr>
      </w:pPr>
      <w:r>
        <w:rPr>
          <w:rFonts w:hint="eastAsia" w:ascii="宋体" w:hAnsi="宋体"/>
          <w:color w:val="auto"/>
          <w:sz w:val="30"/>
          <w:szCs w:val="30"/>
          <w:highlight w:val="none"/>
        </w:rPr>
        <w:t>承诺书</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（采购人名称）：</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我方在此声明，我方在（项目名称）招投标过程中所涉及的包括企业法人、法定代表人、授权委托人、近三年内均无行贿犯罪记录。</w:t>
      </w: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我方保证上述信息的真实和准确，并愿意承担因我方就此弄虚作假所引起的一切法律后果。</w:t>
      </w:r>
    </w:p>
    <w:p>
      <w:pPr>
        <w:spacing w:line="600" w:lineRule="exact"/>
        <w:rPr>
          <w:rFonts w:ascii="宋体" w:cs="宋体"/>
          <w:color w:val="auto"/>
          <w:szCs w:val="21"/>
          <w:highlight w:val="none"/>
        </w:rPr>
      </w:pPr>
    </w:p>
    <w:p>
      <w:pPr>
        <w:spacing w:line="600" w:lineRule="exact"/>
        <w:ind w:firstLine="315" w:firstLineChars="150"/>
        <w:rPr>
          <w:rFonts w:ascii="宋体" w:cs="宋体"/>
          <w:color w:val="auto"/>
          <w:szCs w:val="21"/>
          <w:highlight w:val="none"/>
        </w:rPr>
      </w:pPr>
      <w:r>
        <w:rPr>
          <w:rFonts w:hint="eastAsia" w:ascii="宋体" w:hAnsi="宋体" w:cs="宋体"/>
          <w:color w:val="auto"/>
          <w:szCs w:val="21"/>
          <w:highlight w:val="none"/>
        </w:rPr>
        <w:t>特此承诺</w:t>
      </w:r>
    </w:p>
    <w:p>
      <w:pPr>
        <w:spacing w:line="600" w:lineRule="exact"/>
        <w:ind w:firstLine="315" w:firstLineChars="150"/>
        <w:rPr>
          <w:rFonts w:ascii="宋体" w:cs="宋体"/>
          <w:color w:val="auto"/>
          <w:szCs w:val="21"/>
          <w:highlight w:val="none"/>
        </w:rPr>
      </w:pPr>
    </w:p>
    <w:p>
      <w:pPr>
        <w:spacing w:line="600" w:lineRule="exact"/>
        <w:ind w:firstLine="315" w:firstLineChars="150"/>
        <w:jc w:val="center"/>
        <w:rPr>
          <w:rFonts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投标供应商名称 ：（盖单位章）</w:t>
      </w:r>
    </w:p>
    <w:p>
      <w:pPr>
        <w:spacing w:line="600" w:lineRule="exact"/>
        <w:ind w:firstLine="315" w:firstLineChars="150"/>
        <w:jc w:val="center"/>
        <w:rPr>
          <w:rFonts w:ascii="宋体" w:hAnsi="宋体" w:cs="宋体"/>
          <w:color w:val="auto"/>
          <w:szCs w:val="21"/>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法定代表人或授权委托人：（签字）</w:t>
      </w: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日</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13、中小企业声明函</w:t>
      </w:r>
    </w:p>
    <w:p>
      <w:pPr>
        <w:pStyle w:val="5"/>
        <w:rPr>
          <w:color w:val="auto"/>
          <w:highlight w:val="none"/>
        </w:rPr>
      </w:pPr>
    </w:p>
    <w:p>
      <w:pPr>
        <w:widowControl/>
        <w:snapToGrid w:val="0"/>
        <w:spacing w:line="4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中小企业声明函</w:t>
      </w:r>
    </w:p>
    <w:p>
      <w:pPr>
        <w:pStyle w:val="11"/>
        <w:shd w:val="clear" w:color="auto" w:fill="FFFFFF"/>
        <w:spacing w:beforeAutospacing="0" w:after="210" w:afterAutospacing="0" w:line="315" w:lineRule="atLeast"/>
        <w:ind w:firstLine="420"/>
        <w:rPr>
          <w:b/>
          <w:color w:val="auto"/>
          <w:kern w:val="2"/>
          <w:sz w:val="32"/>
          <w:szCs w:val="32"/>
          <w:highlight w:val="none"/>
        </w:rPr>
      </w:pPr>
      <w:r>
        <w:rPr>
          <w:b/>
          <w:color w:val="auto"/>
          <w:kern w:val="2"/>
          <w:sz w:val="32"/>
          <w:szCs w:val="32"/>
          <w:highlight w:val="none"/>
        </w:rPr>
        <w:t>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本公司郑重声明，根据《政府采购促进中小企业发展暂行办法》（财库[2011]181号）的规定，本公司为______（请填写：中型、小型、微型）企业。即，本公司同时满足以下条件：</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1.根据《工业和信息化部、国家统计局、国家发展和改革委员会、财政部关于印发中小企业划型标准规定的通知》（工信部联企业[2011]300号）规定的划分标准，本公司为______（请填写：中型、小型、微型）企业。</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本公司对上述声明的真实性负责。如有虚假，将依法承担相应责任。</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w:t>
      </w:r>
    </w:p>
    <w:p>
      <w:pPr>
        <w:spacing w:line="5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投标人：（单位盖章）</w:t>
      </w:r>
    </w:p>
    <w:p>
      <w:pPr>
        <w:pStyle w:val="5"/>
        <w:rPr>
          <w:color w:val="auto"/>
          <w:highlight w:val="none"/>
        </w:rPr>
      </w:pPr>
    </w:p>
    <w:p>
      <w:pPr>
        <w:pStyle w:val="2"/>
        <w:jc w:val="right"/>
        <w:rPr>
          <w:rFonts w:hAnsi="宋体"/>
          <w:color w:val="auto"/>
          <w:szCs w:val="21"/>
          <w:highlight w:val="none"/>
        </w:rPr>
      </w:pPr>
      <w:r>
        <w:rPr>
          <w:rFonts w:hint="eastAsia" w:hAnsi="宋体"/>
          <w:color w:val="auto"/>
          <w:kern w:val="2"/>
          <w:sz w:val="21"/>
          <w:szCs w:val="21"/>
          <w:highlight w:val="none"/>
        </w:rPr>
        <w:t xml:space="preserve"> 年    月     日</w:t>
      </w:r>
    </w:p>
    <w:p>
      <w:pPr>
        <w:pStyle w:val="2"/>
        <w:rPr>
          <w:b/>
          <w:bCs/>
          <w:color w:val="auto"/>
          <w:highlight w:val="none"/>
        </w:rPr>
      </w:pPr>
    </w:p>
    <w:p>
      <w:pPr>
        <w:pStyle w:val="2"/>
        <w:rPr>
          <w:b/>
          <w:bCs/>
          <w:color w:val="auto"/>
          <w:highlight w:val="none"/>
        </w:rPr>
      </w:pPr>
    </w:p>
    <w:p>
      <w:pPr>
        <w:pStyle w:val="2"/>
        <w:rPr>
          <w:b/>
          <w:bCs/>
          <w:color w:val="auto"/>
          <w:highlight w:val="none"/>
        </w:rPr>
      </w:pPr>
    </w:p>
    <w:p>
      <w:pPr>
        <w:pStyle w:val="2"/>
        <w:rPr>
          <w:b/>
          <w:bCs/>
          <w:color w:val="auto"/>
          <w:highlight w:val="none"/>
        </w:rPr>
      </w:pPr>
      <w:r>
        <w:rPr>
          <w:b/>
          <w:bCs/>
          <w:color w:val="auto"/>
          <w:highlight w:val="none"/>
        </w:rPr>
        <w:t xml:space="preserve">注： </w:t>
      </w:r>
    </w:p>
    <w:p>
      <w:pPr>
        <w:pStyle w:val="2"/>
        <w:rPr>
          <w:b/>
          <w:bCs/>
          <w:color w:val="auto"/>
          <w:highlight w:val="none"/>
        </w:rPr>
      </w:pPr>
      <w:r>
        <w:rPr>
          <w:b/>
          <w:bCs/>
          <w:color w:val="auto"/>
          <w:highlight w:val="none"/>
        </w:rPr>
        <w:t>1、该声明函是针对小微型企业的，非小型、微型企业投标时不用提供该声明；</w:t>
      </w:r>
    </w:p>
    <w:p>
      <w:pPr>
        <w:pStyle w:val="3"/>
        <w:jc w:val="left"/>
        <w:rPr>
          <w:rFonts w:ascii="宋体" w:hAnsi="Times New Roman" w:eastAsia="宋体" w:cs="宋体"/>
          <w:bCs/>
          <w:color w:val="auto"/>
          <w:sz w:val="24"/>
          <w:szCs w:val="24"/>
          <w:highlight w:val="none"/>
        </w:rPr>
      </w:pPr>
      <w:r>
        <w:rPr>
          <w:rFonts w:ascii="宋体" w:hAnsi="Times New Roman" w:eastAsia="宋体" w:cs="宋体"/>
          <w:bCs/>
          <w:color w:val="auto"/>
          <w:sz w:val="24"/>
          <w:szCs w:val="24"/>
          <w:highlight w:val="none"/>
        </w:rPr>
        <w:t>2、供应商应提供相应证明材料附后。</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14、资 格 证 明 文 件</w:t>
      </w:r>
    </w:p>
    <w:p>
      <w:pPr>
        <w:rPr>
          <w:rFonts w:ascii="宋体" w:hAnsi="宋体" w:cs="宋体"/>
          <w:color w:val="auto"/>
          <w:highlight w:val="none"/>
        </w:rPr>
      </w:pPr>
    </w:p>
    <w:p>
      <w:pPr>
        <w:widowControl/>
        <w:snapToGrid w:val="0"/>
        <w:spacing w:line="600" w:lineRule="exact"/>
        <w:ind w:firstLine="663" w:firstLineChars="300"/>
        <w:jc w:val="left"/>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营业执照（副本）、税务登记证（副本）、组织机构代码证（副本）或三证合一的营业执照，经营范围包含符合本项目招标要求、法定代表人（负责人）证明和身份证原件及身份证复印件（复印件须加盖公章）或授权委托人持法人授权委托书及本人身份证及身份证复印件（复印件须加盖公章）、 “信用中国”网站及中国政府采购网查询结果的网站截图（投标单位需提供网站查询截图，加盖企业公章）、投标承诺函、无行贿犯罪记录承诺书、依法缴纳的税收证明（近三个月的完税证明）、依法缴纳社会保障资金的证明（近三个月的社保缴纳证明）、财务状况报告（谈判会日前十二个月内任一个月的资产负债表或损益表或年度财务会计报表和会计事务所出具的2017年和2018年度财务审计报告）、参加政府采购活动前三年内，在经营活动中没有重大违法记录声明。注：开标日期前六个月内注册的投标人可不提供依法缴纳社会保障资金、完税证明、财务状况报告。（以上资料开标时提供原件，以备评委审查）</w:t>
      </w:r>
    </w:p>
    <w:p>
      <w:pPr>
        <w:widowControl/>
        <w:snapToGrid w:val="0"/>
        <w:spacing w:line="600" w:lineRule="exact"/>
        <w:ind w:firstLine="663" w:firstLineChars="300"/>
        <w:jc w:val="left"/>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以上复印件必须加盖单位公章</w:t>
      </w: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widowControl/>
        <w:snapToGrid w:val="0"/>
        <w:spacing w:line="600" w:lineRule="exact"/>
        <w:jc w:val="center"/>
        <w:rPr>
          <w:rFonts w:ascii="宋体" w:hAnsi="宋体" w:cs="宋体"/>
          <w:b/>
          <w:bCs/>
          <w:color w:val="auto"/>
          <w:kern w:val="0"/>
          <w:sz w:val="30"/>
          <w:szCs w:val="30"/>
          <w:highlight w:val="none"/>
        </w:rPr>
      </w:pPr>
    </w:p>
    <w:p>
      <w:pPr>
        <w:pStyle w:val="3"/>
        <w:spacing w:line="360" w:lineRule="exact"/>
        <w:rPr>
          <w:rFonts w:ascii="宋体" w:eastAsia="宋体"/>
          <w:color w:val="auto"/>
          <w:highlight w:val="none"/>
        </w:rPr>
      </w:pPr>
      <w:r>
        <w:rPr>
          <w:rFonts w:hint="eastAsia" w:ascii="宋体" w:eastAsia="宋体"/>
          <w:color w:val="auto"/>
          <w:highlight w:val="none"/>
        </w:rPr>
        <w:t>15、第二轮报价表（仅限于谈判现场填写）</w:t>
      </w:r>
    </w:p>
    <w:p>
      <w:pPr>
        <w:rPr>
          <w:color w:val="auto"/>
          <w:highlight w:val="none"/>
        </w:rPr>
      </w:pPr>
    </w:p>
    <w:p>
      <w:pPr>
        <w:pStyle w:val="3"/>
        <w:rPr>
          <w:rFonts w:ascii="宋体" w:eastAsia="宋体"/>
          <w:color w:val="auto"/>
          <w:sz w:val="28"/>
          <w:szCs w:val="28"/>
          <w:highlight w:val="none"/>
        </w:rPr>
      </w:pPr>
      <w:r>
        <w:rPr>
          <w:rFonts w:hint="eastAsia" w:ascii="宋体" w:eastAsia="宋体"/>
          <w:color w:val="auto"/>
          <w:sz w:val="28"/>
          <w:szCs w:val="28"/>
          <w:highlight w:val="none"/>
        </w:rPr>
        <w:t>开标一览表</w:t>
      </w:r>
    </w:p>
    <w:tbl>
      <w:tblPr>
        <w:tblStyle w:val="14"/>
        <w:tblpPr w:leftFromText="180" w:rightFromText="180" w:vertAnchor="text" w:horzAnchor="page" w:tblpX="1619" w:tblpY="272"/>
        <w:tblOverlap w:val="never"/>
        <w:tblW w:w="8838" w:type="dxa"/>
        <w:tblInd w:w="0" w:type="dxa"/>
        <w:tblLayout w:type="fixed"/>
        <w:tblCellMar>
          <w:top w:w="0" w:type="dxa"/>
          <w:left w:w="0" w:type="dxa"/>
          <w:bottom w:w="0" w:type="dxa"/>
          <w:right w:w="0" w:type="dxa"/>
        </w:tblCellMar>
      </w:tblPr>
      <w:tblGrid>
        <w:gridCol w:w="1283"/>
        <w:gridCol w:w="3950"/>
        <w:gridCol w:w="1322"/>
        <w:gridCol w:w="2283"/>
      </w:tblGrid>
      <w:tr>
        <w:tblPrEx>
          <w:tblLayout w:type="fixed"/>
          <w:tblCellMar>
            <w:top w:w="0" w:type="dxa"/>
            <w:left w:w="0" w:type="dxa"/>
            <w:bottom w:w="0" w:type="dxa"/>
            <w:right w:w="0" w:type="dxa"/>
          </w:tblCellMar>
        </w:tblPrEx>
        <w:trPr>
          <w:cantSplit/>
          <w:trHeight w:val="838"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项目名称</w:t>
            </w:r>
          </w:p>
        </w:tc>
        <w:tc>
          <w:tcPr>
            <w:tcW w:w="395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c>
          <w:tcPr>
            <w:tcW w:w="1322"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项目编号</w:t>
            </w:r>
          </w:p>
          <w:p>
            <w:pPr>
              <w:spacing w:line="360" w:lineRule="exact"/>
              <w:jc w:val="center"/>
              <w:rPr>
                <w:rFonts w:ascii="宋体" w:hAnsi="宋体"/>
                <w:color w:val="auto"/>
                <w:szCs w:val="21"/>
                <w:highlight w:val="none"/>
              </w:rPr>
            </w:pPr>
            <w:r>
              <w:rPr>
                <w:rFonts w:hint="eastAsia" w:ascii="宋体" w:hAnsi="宋体" w:cs="宋体"/>
                <w:color w:val="auto"/>
                <w:kern w:val="0"/>
                <w:szCs w:val="21"/>
                <w:highlight w:val="none"/>
                <w:shd w:val="clear" w:color="auto" w:fill="FFFFFF"/>
              </w:rPr>
              <w:t>采购编号</w:t>
            </w:r>
          </w:p>
        </w:tc>
        <w:tc>
          <w:tcPr>
            <w:tcW w:w="2283" w:type="dxa"/>
            <w:tcBorders>
              <w:top w:val="single" w:color="auto" w:sz="4" w:space="0"/>
              <w:left w:val="nil"/>
              <w:bottom w:val="single" w:color="auto" w:sz="4" w:space="0"/>
              <w:right w:val="single" w:color="auto" w:sz="4" w:space="0"/>
            </w:tcBorders>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1951"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olor w:val="auto"/>
                <w:szCs w:val="21"/>
                <w:highlight w:val="none"/>
              </w:rPr>
              <w:t>投标总报价</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p>
            <w:pPr>
              <w:spacing w:line="360" w:lineRule="exact"/>
              <w:ind w:firstLine="1575" w:firstLineChars="750"/>
              <w:rPr>
                <w:rFonts w:ascii="宋体" w:hAnsi="宋体"/>
                <w:color w:val="auto"/>
                <w:szCs w:val="21"/>
                <w:highlight w:val="none"/>
              </w:rPr>
            </w:pPr>
            <w:r>
              <w:rPr>
                <w:rFonts w:ascii="宋体" w:hAnsi="宋体"/>
                <w:color w:val="auto"/>
                <w:szCs w:val="21"/>
                <w:highlight w:val="none"/>
              </w:rPr>
              <mc:AlternateContent>
                <mc:Choice Requires="wps">
                  <w:drawing>
                    <wp:anchor distT="0" distB="0" distL="114300" distR="114300" simplePos="0" relativeHeight="251658240" behindDoc="0" locked="0" layoutInCell="1" allowOverlap="1">
                      <wp:simplePos x="0" y="0"/>
                      <wp:positionH relativeFrom="column">
                        <wp:posOffset>2155825</wp:posOffset>
                      </wp:positionH>
                      <wp:positionV relativeFrom="paragraph">
                        <wp:posOffset>227330</wp:posOffset>
                      </wp:positionV>
                      <wp:extent cx="106680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10668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9.75pt;margin-top:17.9pt;height:0pt;width:84pt;z-index:251658240;mso-width-relative:page;mso-height-relative:page;" filled="f" stroked="t" coordsize="21600,21600" o:gfxdata="UEsDBAoAAAAAAIdO4kAAAAAAAAAAAAAAAAAEAAAAZHJzL1BLAwQUAAAACACHTuJAh9T/ANYAAAAJ&#10;AQAADwAAAGRycy9kb3ducmV2LnhtbE2PS0/DMBCE70j8B2uRuFTUbqPwCHF6AHLjQgFx3cZLEhGv&#10;09h9wK9nEQe47c6OZr8pV0c/qD1NsQ9sYTE3oIib4HpuLbw81xfXoGJCdjgEJgufFGFVnZ6UWLhw&#10;4Cfar1OrJIRjgRa6lMZC69h05DHOw0gst/cweUyyTq12Ex4k3A96acyl9tizfOhwpLuOmo/1zluI&#10;9Stt669ZMzNvWRtoub1/fEBrz88W5hZUomP6M8MPvqBDJUybsGMX1WAhy25yscqQSwUx5OZKhM2v&#10;oKtS/29QfQNQSwMEFAAAAAgAh07iQCbg6B3fAQAApAMAAA4AAABkcnMvZTJvRG9jLnhtbK1TS44T&#10;MRDdI3EHy3vSnUgThVY6s5gwbBBEAg5Qsd3dlvyTy5NOLsEFkNjBiiV7bsNwDMpOJgwzG4TIwim7&#10;qp7rPb9eXu6tYTsVUXvX8umk5kw54aV2fcvfv7t+tuAMEzgJxjvV8oNCfrl6+mQ5hkbN/OCNVJER&#10;iMNmDC0fUgpNVaEYlAWc+KAcJTsfLSTaxr6SEUZCt6aa1fW8Gn2UIXqhEOl0fUzyVcHvOiXSm65D&#10;lZhpOc2WyhrLus1rtVpC00cIgxanMeAfprCgHV16hlpDAnYT9SMoq0X06Ls0Ed5Wvuu0UIUDsZnW&#10;D9i8HSCowoXEwXCWCf8frHi920SmZcvpoRxYeqLbj99+fPj88/snWm+/fmGLLNIYsKHaK7eJpx2G&#10;TcyM9120+Z+4sH0R9nAWVu0TE3Q4refzRU36i7tc9bsxREwvlbcsBy032mXO0MDuFSa6jErvSvKx&#10;cWxs+fOL2QXBAVmmM5AotIFIoOtLL3qj5bU2Jndg7LdXJrIdZBOUX6ZEuH+U5UvWgMOxrqSO9hgU&#10;yBdOsnQIJI8jH/M8glWSM6PI9jkiQGgSaPM3lXS1cblBFYueeGaNj6rmaOvlgZ7mJkTdD6TLtMyc&#10;M2SFMv3Jttlr9/cU3/+4V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9T/ANYAAAAJAQAADwAA&#10;AAAAAAABACAAAAAiAAAAZHJzL2Rvd25yZXYueG1sUEsBAhQAFAAAAAgAh07iQCbg6B3fAQAApAMA&#10;AA4AAAAAAAAAAQAgAAAAJQEAAGRycy9lMm9Eb2MueG1sUEsFBgAAAAAGAAYAWQEAAHYFAAAAAA==&#10;">
                      <v:fill on="f" focussize="0,0"/>
                      <v:stroke color="#000000" joinstyle="round"/>
                      <v:imagedata o:title=""/>
                      <o:lock v:ext="edit" aspectratio="f"/>
                    </v:line>
                  </w:pict>
                </mc:Fallback>
              </mc:AlternateContent>
            </w:r>
            <w:r>
              <w:rPr>
                <w:rFonts w:hint="eastAsia" w:ascii="宋体" w:hAnsi="宋体"/>
                <w:color w:val="auto"/>
                <w:szCs w:val="21"/>
                <w:highlight w:val="none"/>
              </w:rPr>
              <w:t>人民币大写：</w:t>
            </w:r>
          </w:p>
          <w:p>
            <w:pPr>
              <w:spacing w:line="360" w:lineRule="exact"/>
              <w:ind w:firstLine="1575" w:firstLineChars="750"/>
              <w:rPr>
                <w:rFonts w:ascii="宋体" w:hAnsi="宋体"/>
                <w:color w:val="auto"/>
                <w:szCs w:val="21"/>
                <w:highlight w:val="none"/>
              </w:rPr>
            </w:pPr>
            <w:r>
              <w:rPr>
                <w:rFonts w:ascii="宋体" w:hAnsi="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2157095</wp:posOffset>
                      </wp:positionH>
                      <wp:positionV relativeFrom="paragraph">
                        <wp:posOffset>242570</wp:posOffset>
                      </wp:positionV>
                      <wp:extent cx="1066800"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10668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69.85pt;margin-top:19.1pt;height:0pt;width:84pt;z-index:251659264;mso-width-relative:page;mso-height-relative:page;" filled="f" stroked="t" coordsize="21600,21600" o:gfxdata="UEsDBAoAAAAAAIdO4kAAAAAAAAAAAAAAAAAEAAAAZHJzL1BLAwQUAAAACACHTuJAg33G8dYAAAAJ&#10;AQAADwAAAGRycy9kb3ducmV2LnhtbE2PzU7DQAyE70i8w8pIXKp2t4mgJWTTA5AbFwqoVzcxSUTW&#10;m2a3P/D0GPUAN3tmNP6cr06uVwcaQ+fZwnxmQBFXvu64sfD2Wk6XoEJErrH3TBa+KMCquLzIMav9&#10;kV/osI6NkhIOGVpoYxwyrUPVksMw8wOxeB9+dBhlHRtdj3iUctfrxJhb7bBjudDiQA8tVZ/rvbMQ&#10;ynfald+TamI2aeMp2T0+P6G111dzcw8q0in+heEXX9ChEKat33MdVG8hTe8WEpVhmYCSwI1ZiLA9&#10;C7rI9f8Pih9QSwMEFAAAAAgAh07iQPnhrnDeAQAApAMAAA4AAABkcnMvZTJvRG9jLnhtbK1TzY7T&#10;MBC+I/EOlu80aaWNlqjpHrYsFwSVgAeY2k5iyX/yeJv2JXgBJG5w4sidt2F5DMZutyxwQYgcnLFn&#10;5vN8X74sr/bWsJ2KqL3r+HxWc6ac8FK7oeNv39w8ueQMEzgJxjvV8YNCfrV6/Gg5hVYt/OiNVJER&#10;iMN2Ch0fUwptVaEYlQWc+aAcJXsfLSTaxqGSESZCt6Za1HVTTT7KEL1QiHS6Pib5quD3vRLpVd+j&#10;Ssx0nGZLZY1l3ea1Wi2hHSKEUYvTGPAPU1jQji49Q60hAbuN+g8oq0X06Ps0E95Wvu+1UIUDsZnX&#10;v7F5PUJQhQuJg+EsE/4/WPFyt4lMy443nDmw9Inu3n/59u7j968faL37/Ik1WaQpYEu1124TTzsM&#10;m5gZ7/to85u4sH0R9nAWVu0TE3Q4r5vmsib9xX2u+tkYIqbnyluWg44b7TJnaGH3AhNdRqX3JfnY&#10;ODZ1/OnF4oLggCzTG0gU2kAk0A2lF73R8kYbkzswDttrE9kOsgnKkykR7i9l+ZI14HisK6mjPUYF&#10;8pmTLB0CyePIxzyPYJXkzCiyfY4IENoE2vxNJV1tXG5QxaInnlnjo6o52np5oE9zG6IeRtJlXmbO&#10;GbJCmf5k2+y1h3uKH/5cq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fcbx1gAAAAkBAAAPAAAA&#10;AAAAAAEAIAAAACIAAABkcnMvZG93bnJldi54bWxQSwECFAAUAAAACACHTuJA+eGucN4BAACkAwAA&#10;DgAAAAAAAAABACAAAAAlAQAAZHJzL2Uyb0RvYy54bWxQSwUGAAAAAAYABgBZAQAAdQUAAAAA&#10;">
                      <v:fill on="f" focussize="0,0"/>
                      <v:stroke color="#000000" joinstyle="round"/>
                      <v:imagedata o:title=""/>
                      <o:lock v:ext="edit" aspectratio="f"/>
                    </v:line>
                  </w:pict>
                </mc:Fallback>
              </mc:AlternateContent>
            </w:r>
            <w:r>
              <w:rPr>
                <w:rFonts w:hint="eastAsia" w:ascii="宋体" w:hAnsi="宋体"/>
                <w:color w:val="auto"/>
                <w:szCs w:val="21"/>
                <w:highlight w:val="none"/>
              </w:rPr>
              <w:t>人民币小写：</w:t>
            </w:r>
          </w:p>
          <w:p>
            <w:pPr>
              <w:spacing w:line="360" w:lineRule="exact"/>
              <w:jc w:val="center"/>
              <w:rPr>
                <w:rFonts w:ascii="宋体" w:hAnsi="宋体"/>
                <w:color w:val="auto"/>
                <w:szCs w:val="21"/>
                <w:highlight w:val="none"/>
                <w:u w:val="single"/>
              </w:rPr>
            </w:pPr>
          </w:p>
        </w:tc>
      </w:tr>
      <w:tr>
        <w:tblPrEx>
          <w:tblLayout w:type="fixed"/>
          <w:tblCellMar>
            <w:top w:w="0" w:type="dxa"/>
            <w:left w:w="0" w:type="dxa"/>
            <w:bottom w:w="0" w:type="dxa"/>
            <w:right w:w="0" w:type="dxa"/>
          </w:tblCellMar>
        </w:tblPrEx>
        <w:trPr>
          <w:cantSplit/>
          <w:trHeight w:val="852"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质 量</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835"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供货期</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835" w:hRule="atLeast"/>
        </w:trPr>
        <w:tc>
          <w:tcPr>
            <w:tcW w:w="1283" w:type="dxa"/>
            <w:tcBorders>
              <w:top w:val="nil"/>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7555" w:type="dxa"/>
            <w:gridSpan w:val="3"/>
            <w:tcBorders>
              <w:top w:val="nil"/>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938"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r>
              <w:rPr>
                <w:rFonts w:hint="eastAsia" w:ascii="宋体" w:hAnsi="宋体" w:cs="宋体"/>
                <w:color w:val="auto"/>
                <w:szCs w:val="21"/>
                <w:highlight w:val="none"/>
              </w:rPr>
              <w:t>优惠条件</w:t>
            </w:r>
          </w:p>
        </w:tc>
        <w:tc>
          <w:tcPr>
            <w:tcW w:w="7555"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olor w:val="auto"/>
                <w:szCs w:val="21"/>
                <w:highlight w:val="none"/>
              </w:rPr>
            </w:pPr>
          </w:p>
        </w:tc>
      </w:tr>
      <w:tr>
        <w:tblPrEx>
          <w:tblLayout w:type="fixed"/>
          <w:tblCellMar>
            <w:top w:w="0" w:type="dxa"/>
            <w:left w:w="0" w:type="dxa"/>
            <w:bottom w:w="0" w:type="dxa"/>
            <w:right w:w="0" w:type="dxa"/>
          </w:tblCellMar>
        </w:tblPrEx>
        <w:trPr>
          <w:cantSplit/>
          <w:trHeight w:val="1703" w:hRule="atLeast"/>
        </w:trPr>
        <w:tc>
          <w:tcPr>
            <w:tcW w:w="12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line="360" w:lineRule="exact"/>
              <w:jc w:val="center"/>
              <w:rPr>
                <w:rFonts w:ascii="宋体" w:hAnsi="宋体" w:cs="宋体"/>
                <w:color w:val="auto"/>
                <w:szCs w:val="21"/>
                <w:highlight w:val="none"/>
              </w:rPr>
            </w:pPr>
          </w:p>
        </w:tc>
        <w:tc>
          <w:tcPr>
            <w:tcW w:w="7555" w:type="dxa"/>
            <w:gridSpan w:val="3"/>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exact"/>
              <w:jc w:val="left"/>
              <w:rPr>
                <w:rFonts w:ascii="宋体" w:hAnsi="宋体"/>
                <w:b/>
                <w:color w:val="auto"/>
                <w:szCs w:val="21"/>
                <w:highlight w:val="none"/>
              </w:rPr>
            </w:pPr>
            <w:r>
              <w:rPr>
                <w:rFonts w:hint="eastAsia" w:ascii="宋体" w:hAnsi="宋体"/>
                <w:b/>
                <w:color w:val="auto"/>
                <w:szCs w:val="21"/>
                <w:highlight w:val="none"/>
              </w:rPr>
              <w:t>说明：</w:t>
            </w:r>
          </w:p>
          <w:p>
            <w:pPr>
              <w:spacing w:line="360" w:lineRule="exact"/>
              <w:jc w:val="left"/>
              <w:rPr>
                <w:rFonts w:ascii="宋体" w:hAnsi="宋体"/>
                <w:color w:val="auto"/>
                <w:szCs w:val="21"/>
                <w:highlight w:val="none"/>
              </w:rPr>
            </w:pPr>
            <w:r>
              <w:rPr>
                <w:rFonts w:hint="eastAsia" w:ascii="宋体" w:hAnsi="宋体"/>
                <w:color w:val="auto"/>
                <w:szCs w:val="21"/>
                <w:highlight w:val="none"/>
              </w:rPr>
              <w:t>1、投标总报价应包含成本、运输、税金、培训、安装调试等一切与之相关费用。</w:t>
            </w:r>
          </w:p>
        </w:tc>
      </w:tr>
    </w:tbl>
    <w:p>
      <w:pPr>
        <w:spacing w:line="360" w:lineRule="exact"/>
        <w:rPr>
          <w:rFonts w:ascii="宋体" w:hAnsi="宋体"/>
          <w:b/>
          <w:color w:val="auto"/>
          <w:szCs w:val="21"/>
          <w:highlight w:val="none"/>
        </w:rPr>
      </w:pPr>
    </w:p>
    <w:p>
      <w:pPr>
        <w:pStyle w:val="6"/>
        <w:spacing w:line="520" w:lineRule="exact"/>
        <w:ind w:left="0" w:leftChars="0" w:firstLine="210" w:firstLineChars="100"/>
        <w:rPr>
          <w:rFonts w:ascii="宋体" w:eastAsia="宋体"/>
          <w:b w:val="0"/>
          <w:color w:val="auto"/>
          <w:sz w:val="21"/>
          <w:szCs w:val="21"/>
          <w:highlight w:val="none"/>
        </w:rPr>
      </w:pPr>
      <w:r>
        <w:rPr>
          <w:rFonts w:hint="eastAsia" w:ascii="宋体" w:eastAsia="宋体"/>
          <w:b w:val="0"/>
          <w:color w:val="auto"/>
          <w:sz w:val="21"/>
          <w:szCs w:val="21"/>
          <w:highlight w:val="none"/>
        </w:rPr>
        <w:t xml:space="preserve"> 投标供应商名称（公章）：</w:t>
      </w:r>
    </w:p>
    <w:p>
      <w:pPr>
        <w:pStyle w:val="6"/>
        <w:spacing w:line="520" w:lineRule="exact"/>
        <w:ind w:left="0" w:leftChars="0" w:firstLine="210" w:firstLineChars="100"/>
        <w:rPr>
          <w:rFonts w:ascii="宋体" w:eastAsia="宋体"/>
          <w:b w:val="0"/>
          <w:color w:val="auto"/>
          <w:sz w:val="21"/>
          <w:szCs w:val="21"/>
          <w:highlight w:val="none"/>
        </w:rPr>
      </w:pPr>
      <w:r>
        <w:rPr>
          <w:rFonts w:hint="eastAsia" w:ascii="宋体" w:eastAsia="宋体"/>
          <w:b w:val="0"/>
          <w:color w:val="auto"/>
          <w:sz w:val="21"/>
          <w:szCs w:val="21"/>
          <w:highlight w:val="none"/>
        </w:rPr>
        <w:t>法定代表人或授权委托人签字：</w:t>
      </w:r>
    </w:p>
    <w:p>
      <w:pPr>
        <w:pStyle w:val="6"/>
        <w:spacing w:line="360" w:lineRule="exact"/>
        <w:rPr>
          <w:rFonts w:ascii="宋体"/>
          <w:color w:val="auto"/>
          <w:szCs w:val="21"/>
          <w:highlight w:val="none"/>
        </w:rPr>
      </w:pPr>
    </w:p>
    <w:p>
      <w:pPr>
        <w:spacing w:line="360" w:lineRule="exact"/>
        <w:jc w:val="right"/>
        <w:outlineLvl w:val="1"/>
        <w:rPr>
          <w:rFonts w:ascii="宋体" w:hAnsi="宋体"/>
          <w:color w:val="auto"/>
          <w:sz w:val="24"/>
          <w:highlight w:val="none"/>
        </w:rPr>
      </w:pPr>
      <w:r>
        <w:rPr>
          <w:rFonts w:hint="eastAsia" w:ascii="宋体" w:hAnsi="宋体"/>
          <w:color w:val="auto"/>
          <w:szCs w:val="21"/>
          <w:highlight w:val="none"/>
        </w:rPr>
        <w:t xml:space="preserve">                                                          年    月   日</w:t>
      </w:r>
    </w:p>
    <w:p>
      <w:pPr>
        <w:spacing w:line="580" w:lineRule="exact"/>
        <w:rPr>
          <w:rFonts w:hint="eastAsia"/>
          <w:color w:val="auto"/>
          <w:sz w:val="24"/>
          <w:highlight w:val="none"/>
        </w:rPr>
      </w:pPr>
      <w:r>
        <w:rPr>
          <w:rFonts w:hint="eastAsia"/>
          <w:color w:val="auto"/>
          <w:sz w:val="24"/>
          <w:highlight w:val="none"/>
        </w:rPr>
        <w:t>说明：第二轮报价表加盖公章后现场填写，然后交与谈判小组。</w:t>
      </w:r>
    </w:p>
    <w:bookmarkEnd w:id="57"/>
    <w:p/>
    <w:sectPr>
      <w:pgSz w:w="11850" w:h="16783"/>
      <w:pgMar w:top="1440" w:right="1083" w:bottom="1440" w:left="1083" w:header="567" w:footer="669" w:gutter="0"/>
      <w:pgNumType w:fmt="decimal"/>
      <w:cols w:space="0" w:num="1"/>
      <w:titlePg/>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ind w:right="360" w:firstLine="360" w:firstLineChars="20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3"/>
      </w:rPr>
    </w:pPr>
    <w:r>
      <w:fldChar w:fldCharType="begin"/>
    </w:r>
    <w:r>
      <w:rPr>
        <w:rStyle w:val="13"/>
      </w:rPr>
      <w:instrText xml:space="preserve">PAGE  </w:instrText>
    </w:r>
    <w:r>
      <w:fldChar w:fldCharType="separate"/>
    </w:r>
    <w:r>
      <w:rPr>
        <w:rStyle w:val="13"/>
      </w:rPr>
      <w:t>- 4 -</w:t>
    </w:r>
    <w:r>
      <w:fldChar w:fldCharType="end"/>
    </w:r>
  </w:p>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ZqODK4BAABLAwAADgAAAGRycy9lMm9Eb2MueG1srVPNThsxEL5X4h0s&#10;34mXCFX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Bmo4MrgEAAEsD&#10;AAAOAAAAAAAAAAEAIAAAAB4BAABkcnMvZTJvRG9jLnhtbFBLBQYAAAAABgAGAFkBAAA+BQ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auto" w:sz="4" w:space="1"/>
      </w:pBdr>
      <w:ind w:right="360" w:firstLine="360" w:firstLineChars="20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w5O64BAABLAwAADgAAAGRycy9lMm9Eb2MueG1srVPNThsxEL5X4h0s&#10;34mXSFTRKhsEQiCkCirRPoDjtbOW/Kexk928ALxBT7303ufKc3TsZAOUG+LiHc+Mv/m+mdn5xWAN&#10;2UiI2ruGnk0qSqQTvtVu1dCfP25OZ5TExF3LjXeyoVsZ6cXi5Mu8D7Wc+s6bVgJBEBfrPjS0SynU&#10;jEXRScvjxAfpMKg8WJ7wCivWAu8R3Ro2raqvrPfQBvBCxoje632QLgq+UlKkB6WiTMQ0FLmlckI5&#10;l/lkizmvV8BDp8WBBv8AC8u1w6JHqGueOFmDfgdltQAfvUoT4S3zSmkhiwZUc1b9p+ax40EWLdic&#10;GI5tip8HK+4334HotqHnlDhucUS7X8+73393f57IeW5PH2KNWY8B89Jw5Qcc8+iP6MyqBwU2f1EP&#10;wTg2entsrhwSEfnRbDqbVRgSGBsviM9engeI6VZ6S7LRUMDplabyzbeY9qljSq7m/I02pkzQuDcO&#10;xMwelrnvOWYrDcvhIGjp2y3q6XHwDXW4mZSYO4d9zTsyGjAay9FYB9CrrixRrhfD5TohicItV9jD&#10;HgrjxIq6w3bllXh9L1kv/8Di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x/Dk7rgEAAEsD&#10;AAAOAAAAAAAAAAEAIAAAAB4BAABkcnMvZTJvRG9jLnhtbFBLBQYAAAAABgAGAFkBAAA+BQ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FXVK4BAABLAwAADgAAAGRycy9lMm9Eb2MueG1srVPBThsxEL1X4h8s&#10;34mXHCBaZYNACISESiXaD3C8dtaS7bFsJ7v5gfIHPfXSe78r39Gxkw1QboiLdzwzfvPezOz8crCG&#10;bGSIGlxDzyYVJdIJaLVbNfTH99vTGSUxcddyA042dCsjvVycfJn3vpZT6MC0MhAEcbHufUO7lHzN&#10;WBSdtDxOwEuHQQXB8oTXsGJt4D2iW8OmVXXOegitDyBkjOi92QfpouArJUV6VCrKRExDkVsqZyjn&#10;Mp9sMef1KnDfaXGgwT/AwnLtsOgR6oYnTtZBv4OyWgSIoNJEgGWglBayaEA1Z9V/ap467mXRgs2J&#10;/tim+Hmw4uvmWyC6begFJY5bHNHu1/Pu99/dn5/kIren97HGrCePeWm4hgHHPPojOrPqQQWbv6iH&#10;YBwbvT02Vw6JiPxoNp3NKgwJjI0XxGcvz32I6U6CJdloaMDplabyzUNM+9QxJVdzcKuNKRM07o0D&#10;MbOHZe57jtlKw3I4CFpCu0U9PQ6+oQ43kxJz77CveUdGI4zGcjTWPuhVV5Yo14v+ap2QROGWK+xh&#10;D4VxYkXdYbvySry+l6yXf2D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RMVdUrgEAAEsD&#10;AAAOAAAAAAAAAAEAIAAAAB4BAABkcnMvZTJvRG9jLnhtbFBLBQYAAAAABgAGAFkBAAA+BQAAAAA=&#10;">
              <v:fill on="f" focussize="0,0"/>
              <v:stroke on="f"/>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041A7B"/>
    <w:multiLevelType w:val="singleLevel"/>
    <w:tmpl w:val="B0041A7B"/>
    <w:lvl w:ilvl="0" w:tentative="0">
      <w:start w:val="3"/>
      <w:numFmt w:val="chineseCounting"/>
      <w:suff w:val="nothing"/>
      <w:lvlText w:val="%1、"/>
      <w:lvlJc w:val="left"/>
      <w:rPr>
        <w:rFonts w:hint="eastAsia"/>
      </w:rPr>
    </w:lvl>
  </w:abstractNum>
  <w:abstractNum w:abstractNumId="1">
    <w:nsid w:val="1D9FE71C"/>
    <w:multiLevelType w:val="singleLevel"/>
    <w:tmpl w:val="1D9FE71C"/>
    <w:lvl w:ilvl="0" w:tentative="0">
      <w:start w:val="1"/>
      <w:numFmt w:val="decimal"/>
      <w:suff w:val="nothing"/>
      <w:lvlText w:val="%1、"/>
      <w:lvlJc w:val="left"/>
    </w:lvl>
  </w:abstractNum>
  <w:abstractNum w:abstractNumId="2">
    <w:nsid w:val="3931170C"/>
    <w:multiLevelType w:val="singleLevel"/>
    <w:tmpl w:val="3931170C"/>
    <w:lvl w:ilvl="0" w:tentative="0">
      <w:start w:val="1"/>
      <w:numFmt w:val="decimal"/>
      <w:suff w:val="nothing"/>
      <w:lvlText w:val="%1、"/>
      <w:lvlJc w:val="left"/>
    </w:lvl>
  </w:abstractNum>
  <w:abstractNum w:abstractNumId="3">
    <w:nsid w:val="5AD00E05"/>
    <w:multiLevelType w:val="singleLevel"/>
    <w:tmpl w:val="5AD00E05"/>
    <w:lvl w:ilvl="0" w:tentative="0">
      <w:start w:val="3"/>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EF2A38"/>
    <w:rsid w:val="02452E32"/>
    <w:rsid w:val="1CEF2A38"/>
    <w:rsid w:val="22E753D5"/>
    <w:rsid w:val="3C4718FB"/>
    <w:rsid w:val="565D09F8"/>
    <w:rsid w:val="599D51D5"/>
    <w:rsid w:val="616C7895"/>
    <w:rsid w:val="66710D43"/>
    <w:rsid w:val="6C932AFF"/>
    <w:rsid w:val="7C896666"/>
    <w:rsid w:val="7D163295"/>
    <w:rsid w:val="7F5B207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Book Antiqua" w:hAnsi="Book Antiqua" w:eastAsia="宋体" w:cs="Times New Roman"/>
      <w:kern w:val="2"/>
      <w:sz w:val="21"/>
      <w:szCs w:val="24"/>
      <w:lang w:val="en-US" w:eastAsia="zh-CN" w:bidi="ar-SA"/>
    </w:rPr>
  </w:style>
  <w:style w:type="paragraph" w:styleId="3">
    <w:name w:val="heading 2"/>
    <w:basedOn w:val="1"/>
    <w:next w:val="4"/>
    <w:qFormat/>
    <w:uiPriority w:val="0"/>
    <w:pPr>
      <w:spacing w:line="560" w:lineRule="exact"/>
      <w:jc w:val="center"/>
      <w:outlineLvl w:val="1"/>
    </w:pPr>
    <w:rPr>
      <w:rFonts w:ascii="方正小标宋简体" w:hAnsi="宋体" w:eastAsia="方正小标宋简体"/>
      <w:b/>
      <w:sz w:val="32"/>
      <w:szCs w:val="32"/>
    </w:rPr>
  </w:style>
  <w:style w:type="character" w:default="1" w:styleId="12">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4">
    <w:name w:val="Normal Indent"/>
    <w:basedOn w:val="1"/>
    <w:qFormat/>
    <w:uiPriority w:val="0"/>
    <w:pPr>
      <w:adjustRightInd w:val="0"/>
      <w:spacing w:line="360" w:lineRule="atLeast"/>
      <w:ind w:firstLine="420"/>
      <w:jc w:val="left"/>
      <w:textAlignment w:val="baseline"/>
    </w:pPr>
    <w:rPr>
      <w:kern w:val="0"/>
      <w:sz w:val="24"/>
    </w:rPr>
  </w:style>
  <w:style w:type="paragraph" w:styleId="5">
    <w:name w:val="Body Text"/>
    <w:basedOn w:val="1"/>
    <w:qFormat/>
    <w:uiPriority w:val="0"/>
    <w:pPr>
      <w:spacing w:after="120"/>
    </w:pPr>
  </w:style>
  <w:style w:type="paragraph" w:styleId="6">
    <w:name w:val="Body Text Indent"/>
    <w:basedOn w:val="1"/>
    <w:qFormat/>
    <w:uiPriority w:val="0"/>
    <w:pPr>
      <w:ind w:left="420" w:leftChars="200"/>
    </w:pPr>
    <w:rPr>
      <w:rFonts w:ascii="方正小标宋简体" w:hAnsi="宋体" w:eastAsia="方正小标宋简体"/>
      <w:b/>
      <w:sz w:val="32"/>
      <w:szCs w:val="32"/>
    </w:rPr>
  </w:style>
  <w:style w:type="paragraph" w:styleId="7">
    <w:name w:val="Plain Text"/>
    <w:basedOn w:val="1"/>
    <w:qFormat/>
    <w:uiPriority w:val="0"/>
    <w:rPr>
      <w:rFonts w:ascii="宋体" w:hAnsi="Courier New" w:cs="Courier New"/>
      <w:szCs w:val="21"/>
    </w:rPr>
  </w:style>
  <w:style w:type="paragraph" w:styleId="8">
    <w:name w:val="Date"/>
    <w:basedOn w:val="1"/>
    <w:next w:val="1"/>
    <w:qFormat/>
    <w:uiPriority w:val="0"/>
    <w:pPr>
      <w:ind w:left="100" w:leftChars="2500"/>
    </w:p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39"/>
  </w:style>
  <w:style w:type="paragraph" w:styleId="11">
    <w:name w:val="Normal (Web)"/>
    <w:basedOn w:val="1"/>
    <w:qFormat/>
    <w:uiPriority w:val="0"/>
    <w:pPr>
      <w:widowControl/>
      <w:spacing w:beforeAutospacing="1" w:afterAutospacing="1"/>
      <w:jc w:val="left"/>
    </w:pPr>
    <w:rPr>
      <w:rFonts w:ascii="宋体" w:hAnsi="宋体" w:cs="宋体"/>
      <w:kern w:val="0"/>
      <w:sz w:val="24"/>
    </w:rPr>
  </w:style>
  <w:style w:type="character" w:styleId="13">
    <w:name w:val="page number"/>
    <w:basedOn w:val="12"/>
    <w:qFormat/>
    <w:uiPriority w:val="0"/>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6">
    <w:name w:val="文档正文"/>
    <w:basedOn w:val="1"/>
    <w:qFormat/>
    <w:uiPriority w:val="0"/>
    <w:pPr>
      <w:adjustRightInd w:val="0"/>
      <w:spacing w:line="480" w:lineRule="atLeast"/>
      <w:ind w:firstLine="567"/>
    </w:pPr>
    <w:rPr>
      <w:rFonts w:ascii="仿宋_GB2312" w:hAnsi="Times New Roman" w:eastAsia="仿宋_GB2312"/>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2019-11-08T08:41:00Z</dcterms:created>
  <dc:creator>Administrator</dc:creator>
  <cp:lastModifiedBy>ss</cp:lastModifiedBy>
  <dcterms:modified xsi:type="dcterms:W3CDTF">2019-11-20T03:53:57Z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