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519" w:type="dxa"/>
        <w:jc w:val="center"/>
        <w:tblInd w:w="-298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869"/>
        <w:gridCol w:w="5737"/>
        <w:gridCol w:w="799"/>
        <w:gridCol w:w="956"/>
        <w:gridCol w:w="1070"/>
        <w:gridCol w:w="1091"/>
        <w:gridCol w:w="1102"/>
        <w:gridCol w:w="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1" w:hRule="atLeast"/>
          <w:jc w:val="center"/>
        </w:trPr>
        <w:tc>
          <w:tcPr>
            <w:tcW w:w="13519" w:type="dxa"/>
            <w:gridSpan w:val="9"/>
            <w:tcBorders>
              <w:left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ind w:left="12390" w:hanging="12390" w:hangingChars="5900"/>
              <w:rPr>
                <w:rFonts w:hint="eastAsia" w:ascii="宋体" w:hAnsi="宋体" w:cs="宋体"/>
                <w:color w:val="auto"/>
              </w:rPr>
            </w:pPr>
            <w:bookmarkStart w:id="0" w:name="_Toc388091826"/>
            <w:r>
              <w:rPr>
                <w:rFonts w:hint="eastAsia" w:ascii="宋体" w:hAnsi="宋体" w:cs="宋体"/>
                <w:color w:val="auto"/>
              </w:rPr>
              <w:t>项  目：</w:t>
            </w: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河南省焦作市温县2017年度农村一二三产业融合发展试点项目-河南鑫合实业发展有限公司十万亩方智慧农业项目（三标段）</w:t>
            </w:r>
            <w:r>
              <w:rPr>
                <w:rFonts w:hint="eastAsia" w:ascii="宋体" w:hAnsi="宋体" w:cs="宋体"/>
                <w:color w:val="auto"/>
              </w:rPr>
              <w:t xml:space="preserve"> </w:t>
            </w:r>
          </w:p>
          <w:p>
            <w:pPr>
              <w:ind w:left="12390" w:hanging="12390" w:hangingChars="5900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/>
                <w:color w:val="000000"/>
                <w:lang w:eastAsia="zh-CN"/>
              </w:rPr>
              <w:t>郑州保利环保科技有限公司</w:t>
            </w:r>
            <w:r>
              <w:rPr>
                <w:rFonts w:hint="eastAsia"/>
                <w:color w:val="000000"/>
                <w:lang w:val="en-US" w:eastAsia="zh-CN"/>
              </w:rPr>
              <w:t xml:space="preserve"> 技术参数</w:t>
            </w:r>
            <w:r>
              <w:rPr>
                <w:rFonts w:hint="eastAsia" w:ascii="宋体" w:hAnsi="宋体" w:cs="宋体"/>
                <w:color w:val="auto"/>
              </w:rPr>
              <w:t xml:space="preserve">                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auto"/>
              </w:rPr>
              <w:t>金额单位：  元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0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bookmarkStart w:id="1" w:name="_Toc388091827"/>
            <w:r>
              <w:rPr>
                <w:rFonts w:hint="eastAsia" w:ascii="宋体" w:hAnsi="宋体" w:cs="宋体"/>
                <w:color w:val="auto"/>
              </w:rPr>
              <w:t>序号</w:t>
            </w:r>
            <w:bookmarkEnd w:id="1"/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bookmarkStart w:id="2" w:name="_Toc388091828"/>
            <w:r>
              <w:rPr>
                <w:rFonts w:hint="eastAsia" w:ascii="宋体" w:hAnsi="宋体" w:cs="宋体"/>
                <w:color w:val="auto"/>
              </w:rPr>
              <w:t>设备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（项目）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名称</w:t>
            </w:r>
            <w:bookmarkEnd w:id="2"/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bookmarkStart w:id="3" w:name="_Toc388091829"/>
            <w:r>
              <w:rPr>
                <w:rFonts w:hint="eastAsia" w:ascii="宋体" w:hAnsi="宋体" w:cs="宋体"/>
                <w:color w:val="auto"/>
              </w:rPr>
              <w:t>品牌及规格型号参数</w:t>
            </w:r>
            <w:bookmarkEnd w:id="3"/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bookmarkStart w:id="4" w:name="_Toc388091830"/>
            <w:r>
              <w:rPr>
                <w:rFonts w:hint="eastAsia" w:ascii="宋体" w:hAnsi="宋体" w:cs="宋体"/>
                <w:color w:val="auto"/>
              </w:rPr>
              <w:t>单位</w:t>
            </w:r>
            <w:bookmarkEnd w:id="4"/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bookmarkStart w:id="5" w:name="_Toc388091831"/>
            <w:r>
              <w:rPr>
                <w:rFonts w:hint="eastAsia" w:ascii="宋体" w:hAnsi="宋体" w:cs="宋体"/>
                <w:color w:val="auto"/>
              </w:rPr>
              <w:t>数量</w:t>
            </w:r>
            <w:bookmarkEnd w:id="5"/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bookmarkStart w:id="6" w:name="_Toc388091832"/>
            <w:r>
              <w:rPr>
                <w:rFonts w:hint="eastAsia" w:ascii="宋体" w:hAnsi="宋体" w:cs="宋体"/>
                <w:color w:val="auto"/>
              </w:rPr>
              <w:t>单价</w:t>
            </w:r>
            <w:bookmarkEnd w:id="6"/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bookmarkStart w:id="7" w:name="_Toc388091833"/>
            <w:r>
              <w:rPr>
                <w:rFonts w:hint="eastAsia" w:ascii="宋体" w:hAnsi="宋体" w:cs="宋体"/>
                <w:color w:val="auto"/>
              </w:rPr>
              <w:t>合计</w:t>
            </w:r>
            <w:bookmarkEnd w:id="7"/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bookmarkStart w:id="8" w:name="_Toc388091834"/>
            <w:r>
              <w:rPr>
                <w:rFonts w:hint="eastAsia" w:ascii="宋体" w:hAnsi="宋体" w:cs="宋体"/>
                <w:color w:val="auto"/>
              </w:rPr>
              <w:t>备注</w:t>
            </w:r>
            <w:bookmarkEnd w:id="8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智慧生态农业监测可视化综合监管平台</w:t>
            </w:r>
          </w:p>
        </w:tc>
        <w:tc>
          <w:tcPr>
            <w:tcW w:w="5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品牌：海康威视</w:t>
            </w:r>
          </w:p>
          <w:p>
            <w:pPr>
              <w:jc w:val="left"/>
              <w:rPr>
                <w:rFonts w:hint="eastAsia" w:ascii="宋体" w:hAnsi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规格型号：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IVMS-8700</w:t>
            </w:r>
          </w:p>
          <w:p>
            <w:pPr>
              <w:jc w:val="left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参数：</w:t>
            </w:r>
            <w:r>
              <w:rPr>
                <w:rFonts w:hint="eastAsia" w:ascii="宋体" w:hAnsi="宋体" w:cs="宋体"/>
                <w:color w:val="auto"/>
              </w:rPr>
              <w:t>监控点管理容量：200路， 采用SOA软件架构体系设计，结合中间件等主流技术，支持海量接入和大并发量访问的能力，核心服务器均支持完善的双机热备机制，确保系统的稳定运行，平台各服务采用模块化设计，可以根据业务发展要求进行灵活扩充， 支持主流操作系统、Web中间件、数据库以及其他第三方标准中间件的开发和运行环境，支持GB/T 28181-2011、ONVIF、PSIA、E-home协议、国家电网协议、南方电网协议IP视频编码设备的接入及主流厂商IP视频编码设备SDK接入， 支持基于GB/T28181-2011、DB33/T 629-2011、国家电网协议、南方电网协议等标准互联协议实现平台间级联互联，支持IEC-61850协议、104规约、CDT协议等标准电力协议接入实现与电力生产系统互联， 平台拥有完善的运维管理工具，管理人员能够实时了解系统核心设</w:t>
            </w:r>
            <w:bookmarkStart w:id="9" w:name="_GoBack"/>
            <w:bookmarkEnd w:id="9"/>
            <w:r>
              <w:rPr>
                <w:rFonts w:hint="eastAsia" w:ascii="宋体" w:hAnsi="宋体" w:cs="宋体"/>
                <w:color w:val="auto"/>
              </w:rPr>
              <w:t>备的运行状况和前端视频图像的质量，及时发现设备故障信息，降低运维成本，提高运维效率，平台支持动环、报警、门禁、空调控制、灯光控制等系统无缝接入。支持添加、删除与管理设备资源，包括网络摄像机、编码器、服务器、解码设备、电视墙，网络键盘等，  支持角色功能访问权限、角色资源访问权限、角色组织划分，角色类型设置，对用户有效时间段进行管理，支持对有效时间段内的用户进行禁用或解禁， 回放支持1/4/9/16画面分割，画面支持4:3、16:9、自适应显示模式，  预览画面支持监控点信息、语音对讲、开关声音、音量控制、主/子码流切换、切换到第三码流、云台与镜头控制、抓图、多图抓拍、鱼眼、图像选取定位等平台安装于配置E5-2640 V4(10核2.4GHz)×2/16GB DDR4×2/2TB SATA×2/热插拔/SAS3008/DVD/1GbE×4/冗电/导轨/2U/Windows Server 2008 R2简体中文标准版激活码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套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53000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53000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来源地：杭州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智慧生态农业监测可视化综合监管流媒体服务器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品牌：海康威视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规格型号：DS-VR1104C-BAC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参数：E3-1230 V5(4核3.4GHz)×1/8GB DDR4×2/1TB SATA×1/热插拔/1GbE×2/导轨/1U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15800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15800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来源地：杭州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088" w:hRule="atLeast"/>
          <w:jc w:val="center"/>
        </w:trPr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集中存储管理主机</w:t>
            </w:r>
          </w:p>
        </w:tc>
        <w:tc>
          <w:tcPr>
            <w:tcW w:w="5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品牌：海康威视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规格型号：DS-A81016S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：经济高效型网络存储系统，控制器架构，模块无线缆设计，易于维护；采用64位嵌入式多核处理器，高速缓存，可支持最大320路2M码流的视频并发写入；兼容监控级硬盘和企业级硬盘，应用灵活，可提供大容量存储空间；1个64位多核处理器，标配4G高速缓存，可扩展至32GB；SAS2.0及PCI-E2.0高速传输通道。4个千兆网口，关键部件冗余设计，录像模式：视频（2Mbps）+图片：320路（录像+回放），流媒体模式：视频（2Mbps）,160路接入+160路录像+160路转发，录像方式：定时录像、手动录像、主子码流录像、报警录像等多种录像方式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台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12510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12510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来源地：杭州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存储硬盘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品牌：海康威视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规格型号：ST4000NM0035,4T,3.5",SATA,512N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4000G监控专用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16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1000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16000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来源地：杭州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358" w:hRule="atLeast"/>
          <w:jc w:val="center"/>
        </w:trPr>
        <w:tc>
          <w:tcPr>
            <w:tcW w:w="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土壤温湿度传感器</w:t>
            </w:r>
          </w:p>
        </w:tc>
        <w:tc>
          <w:tcPr>
            <w:tcW w:w="5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规格型号：PH-TWS</w:t>
            </w:r>
          </w:p>
          <w:p>
            <w:pPr>
              <w:jc w:val="both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参数：土壤水分测量范围：0-100%；土壤水分误差：±2%；土壤温度测量范围：-50℃～+100℃；壤温度测量误差：±0.5℃； 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个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ind w:firstLine="420" w:firstLineChars="200"/>
              <w:jc w:val="both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ind w:firstLine="210" w:firstLineChars="100"/>
              <w:jc w:val="both"/>
              <w:rPr>
                <w:rFonts w:hint="eastAsia" w:ascii="宋体" w:hAnsi="宋体" w:cs="宋体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1320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34320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空气温湿度传感器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规格型号：PH-QWS</w:t>
            </w:r>
          </w:p>
          <w:p>
            <w:pPr>
              <w:tabs>
                <w:tab w:val="left" w:pos="1048"/>
                <w:tab w:val="center" w:pos="3055"/>
              </w:tabs>
              <w:jc w:val="left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参数：空气温度测量范围：-50～100℃；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空气温度传感器误差：±0.3℃；空气湿度测量范围：0～100%RH；空气湿度分辨率：0.1%RH ；精度：±3%RH ；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个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1600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3200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日照时数传感器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规格型号：PH-RZSS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参数：灵敏度：7—14μV∕W.m∧-2；时间常数：≤15s(99%)；跟踪精度：＜168h±1°；年稳定性(灵敏度变化率)：±1% 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个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3380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6760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监控摄像头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品牌：海康威视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规格型号：DS-2DE7330IW-A</w:t>
            </w:r>
          </w:p>
          <w:p>
            <w:pPr>
              <w:jc w:val="both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参数：1/2.8＂Progressive Scan CMOS图像传感器，有效像素：300W；支持最大2048×1536@30fps高清画面输出；支持超低照度，0.05Lux/F1.6(彩色),0.01Lux/F1.6(黑白) ,0 Lux with IR；焦距：4.5-135mm；支持30倍光学变倍，16倍数字变倍；支持3D数字降噪；支持背光补偿；支持日夜模式：自动ICR彩转黑；支持360°水平旋转，垂直方向-15°-90°；支持300个预置位，8条巡航扫描；控制端口：RS485；室外吊装球机。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3100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80600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来源地：杭州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NVR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品牌：海康威视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规格型号：DS-8616N-I8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网络视频输入：16路；网络视频接入带宽：256 Mbps；录像分辨率：同步回放：16路；预览分割：1/4/6/8/9/16画面；硬盘驱动器类型：8个SATA接口，1个eSATA接口；硬盘存储：8T。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4200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4200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来源地：杭州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交换机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品牌：海康威视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规格型号：DS-3E3728F-H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交换容量：256Gbps/2.56Tbps；包转发率：216Mpps；管理端口：1个Console口；固定端口：24个10/100/1000Base-TX以太网端口；其中8个combo口；4个10GBase-X SFP+万兆端口：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11000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11000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来源地：杭州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光电转换器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品牌：海康威视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规格型号：DS-3D01T-A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光口：100Mbps；网口：10/100Mbps自适应,Full/Half双工模式；支持MDI/MDI-X；工作温度：-30～70℃；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305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7930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来源地：杭州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串口转换器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规格型号：PH-YTW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</w:p>
          <w:p>
            <w:pPr>
              <w:jc w:val="left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LAN 以太网：10/100 M，RJ45；串行接口 界面：RS-232；串口数量：1；端口类型：DB9 (针式)；波特率：50-921.6 Kbps；电源输入：12～48V DC；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810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21060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环境数据采集器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规格型号：PH-CJ01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稳定性电源，嵌入式处理器，大容量数据存储器，高精度时钟电路，高精度模数转换电路，以及多路数字及模拟传感器接口，通讯接口，指示灯电路等多种电路模块构成；采集器具备机箱门状态监视、温度监视、电压监视、通道防雷保护、电源反接保护等功能；采集器具有扩展功能，具备4个电压、2个电流、2个差分信号等模拟通道口；具备4个数字通道借口；具备2个RS-232扩展接口、1个RS-485接口。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3060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6120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土壤温湿度数据采集器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规格型号：PH-CJ02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土壤温湿度采集器上有8路模拟量、4路数字通道输入接口，可连接环境温湿度、风速、风向、光照辐射模拟量传感器；环境采集卡上有8路开关量输入接口，可采集雨量传感器；环境采集卡上有4路RS485接口，可采集RS485通信型传感器，可实现与移动监测装置通讯；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2780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66720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供电系统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规格型号：PH-DY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</w:p>
          <w:p>
            <w:pPr>
              <w:jc w:val="left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输入：电压范围：180～264VAC； 频率范围：47～63Hz；输出：12V；含漏电保护和浪涌保护系统。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115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2990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服务器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品牌：戴尔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规格型号：PowerEdge R430  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处理器: E5；硬盘：1T；内存：8G；网卡： 5720千兆网卡（双口）；DVD刻录：支持；显示器：23英寸：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18800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18800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来源地：厦门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立杆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规格型号：定制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高度4.5m；选用耐老化材料、抗腐蚀材料、良好的电气绝缘材料等。零件表面涂、敷、镀层色泽均匀，无起泡，涂层无脱落，覆盖面达100 %。立柱外涂层厚度＞120μm，色彩是乳白色。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700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18200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机箱(含漏电保护、防雷模块)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规格型号：定制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400*300*180mm，不锈钢材质。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220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5720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预埋件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规格型号：定制</w:t>
            </w:r>
          </w:p>
          <w:p>
            <w:pPr>
              <w:jc w:val="left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参数：50*50*60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/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85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2210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48芯地埋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品牌：泉水牌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规格型号：GYXTW-48BI</w:t>
            </w:r>
          </w:p>
          <w:p>
            <w:pPr>
              <w:jc w:val="left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参数：48芯室外单模光纤线(地埋）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1400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11.2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15680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来源地：焦作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12芯地埋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品牌：泉水牌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规格型号：GYXTW-12BI</w:t>
            </w:r>
          </w:p>
          <w:p>
            <w:pPr>
              <w:jc w:val="left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参数：12芯室外单模光纤线（地埋）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4.5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13500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来源地：焦作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8芯地埋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品牌：泉水牌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规格型号：GYXTW-8BI</w:t>
            </w:r>
          </w:p>
          <w:p>
            <w:pPr>
              <w:jc w:val="left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参数：8芯室外单模光纤线(地埋)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3.6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9000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来源地：焦作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6芯地埋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品牌：泉水牌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规格型号：GYXTW-6BI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参数：6芯室外单模光纤线(地埋)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6300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3.2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20160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来源地：焦作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10平方铝线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品牌：泉水牌</w:t>
            </w:r>
          </w:p>
          <w:p>
            <w:pPr>
              <w:pStyle w:val="2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规格型号：NLVV-1*10²</w:t>
            </w:r>
          </w:p>
          <w:p>
            <w:pPr>
              <w:pStyle w:val="2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参数：农网专用地埋线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11000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22000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来源地：焦作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2进2出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规格型号：定制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参数：续接包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22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198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终端盒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规格型号：定制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参数：终端盒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460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光纤熔接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品牌：新普惠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规格型号：定制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参数：光纤熔接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点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22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8360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来源地：武汉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尾纤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品牌：新科凯邦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规格型号：KB-WQZN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参数：尾纤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16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1680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来源地：山东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48口、4U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科凯邦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规格型号：KB-GQ48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口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ODF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机架式光纤盒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1285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1285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来源地：山东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钢管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品牌：新兴铸管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规格型号：DN30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参数：直径30公分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50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6000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来源地：河北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45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施工项目</w:t>
            </w:r>
          </w:p>
        </w:tc>
        <w:tc>
          <w:tcPr>
            <w:tcW w:w="5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机械打沟、人力挖沟、沟土回填、破除路面、恢复路面、挖坑预制水泥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/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/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35000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35000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来源地：郑州</w:t>
            </w:r>
          </w:p>
        </w:tc>
      </w:tr>
    </w:tbl>
    <w:p/>
    <w:sectPr>
      <w:pgSz w:w="16783" w:h="23757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@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@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Hiragino Sans G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微软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AgilentCenturyITC-Book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FZZDX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INMAB J+ Univers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长城仿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长城楷体">
    <w:altName w:val="黑体"/>
    <w:panose1 w:val="00000000000000000000"/>
    <w:charset w:val="86"/>
    <w:family w:val="modern"/>
    <w:pitch w:val="default"/>
    <w:sig w:usb0="00000000" w:usb1="00000000" w:usb2="00000010" w:usb3="00000000" w:csb0="00040008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Microsoft Yahei 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昆仑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font-weight : 400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01"/>
    <w:family w:val="auto"/>
    <w:pitch w:val="default"/>
    <w:sig w:usb0="E00002FF" w:usb1="4000ACFF" w:usb2="00000001" w:usb3="00000000" w:csb0="2000019F" w:csb1="00000000"/>
  </w:font>
  <w:font w:name="font349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一、">
    <w:altName w:val="宋体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roman"/>
    <w:pitch w:val="default"/>
    <w:sig w:usb0="E00002FF" w:usb1="6AC7FDFB" w:usb2="00000012" w:usb3="00000000" w:csb0="4002009F" w:csb1="DFD70000"/>
  </w:font>
  <w:font w:name="EU-F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大宋简">
    <w:altName w:val="宋体"/>
    <w:panose1 w:val="00000000000000000000"/>
    <w:charset w:val="86"/>
    <w:family w:val="decorative"/>
    <w:pitch w:val="default"/>
    <w:sig w:usb0="00000000" w:usb1="00000000" w:usb2="00000012" w:usb3="00000000" w:csb0="00040000" w:csb1="00000000"/>
  </w:font>
  <w:font w:name="Plotter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Harrington">
    <w:panose1 w:val="04040505050A02020702"/>
    <w:charset w:val="00"/>
    <w:family w:val="auto"/>
    <w:pitch w:val="default"/>
    <w:sig w:usb0="00000003" w:usb1="00000000" w:usb2="00000000" w:usb3="00000000" w:csb0="2000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wlroute-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msg-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b-toolbar-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C60788"/>
    <w:rsid w:val="58F7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  <w:pPr>
      <w:autoSpaceDE/>
      <w:autoSpaceDN/>
      <w:adjustRightInd/>
      <w:jc w:val="center"/>
    </w:pPr>
    <w:rPr>
      <w:rFonts w:ascii="Times New Roman"/>
      <w:kern w:val="2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乔力</cp:lastModifiedBy>
  <dcterms:modified xsi:type="dcterms:W3CDTF">2018-02-08T12:39:45Z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