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420" w:firstLineChars="200"/>
        <w:rPr>
          <w:rFonts w:ascii="宋体" w:hAnsi="宋体"/>
          <w:szCs w:val="21"/>
        </w:rPr>
      </w:pPr>
    </w:p>
    <w:p>
      <w:pPr>
        <w:spacing w:line="360" w:lineRule="auto"/>
        <w:jc w:val="center"/>
        <w:rPr>
          <w:rFonts w:ascii="宋体" w:hAnsi="宋体"/>
          <w:b/>
          <w:sz w:val="24"/>
        </w:rPr>
      </w:pPr>
      <w:r>
        <w:rPr>
          <w:rFonts w:hint="eastAsia" w:ascii="宋体" w:hAnsi="宋体"/>
          <w:b/>
          <w:sz w:val="30"/>
          <w:szCs w:val="30"/>
        </w:rPr>
        <w:t>温县妇幼保健院（迁建项目）暖通中央空调系统采购工程</w:t>
      </w:r>
    </w:p>
    <w:p>
      <w:pPr>
        <w:spacing w:line="360" w:lineRule="auto"/>
        <w:jc w:val="center"/>
        <w:rPr>
          <w:rFonts w:ascii="宋体" w:hAnsi="宋体"/>
          <w:b/>
          <w:sz w:val="48"/>
          <w:szCs w:val="48"/>
        </w:rPr>
      </w:pPr>
    </w:p>
    <w:p>
      <w:pPr>
        <w:spacing w:line="360" w:lineRule="auto"/>
        <w:jc w:val="center"/>
        <w:rPr>
          <w:rFonts w:ascii="宋体" w:hAnsi="宋体"/>
          <w:szCs w:val="21"/>
        </w:rPr>
      </w:pPr>
      <w:r>
        <w:rPr>
          <w:rFonts w:hint="eastAsia" w:ascii="宋体" w:hAnsi="宋体"/>
          <w:b/>
          <w:sz w:val="48"/>
          <w:szCs w:val="48"/>
        </w:rPr>
        <w:t>招标文件</w:t>
      </w:r>
    </w:p>
    <w:p>
      <w:pPr>
        <w:spacing w:line="360" w:lineRule="auto"/>
        <w:jc w:val="center"/>
        <w:rPr>
          <w:rFonts w:ascii="宋体" w:hAnsi="宋体"/>
          <w:b/>
          <w:szCs w:val="21"/>
        </w:rPr>
      </w:pPr>
    </w:p>
    <w:p>
      <w:pPr>
        <w:spacing w:line="360" w:lineRule="auto"/>
        <w:ind w:firstLine="420" w:firstLineChars="200"/>
        <w:rPr>
          <w:rFonts w:ascii="宋体" w:hAnsi="宋体"/>
          <w:szCs w:val="21"/>
        </w:rPr>
      </w:pPr>
    </w:p>
    <w:p>
      <w:pPr>
        <w:spacing w:line="360" w:lineRule="auto"/>
        <w:ind w:firstLine="420" w:firstLineChars="200"/>
        <w:rPr>
          <w:rFonts w:ascii="宋体" w:hAnsi="宋体"/>
          <w:szCs w:val="21"/>
        </w:rPr>
      </w:pPr>
    </w:p>
    <w:p>
      <w:pPr>
        <w:spacing w:line="360" w:lineRule="auto"/>
        <w:ind w:firstLine="420" w:firstLineChars="200"/>
        <w:rPr>
          <w:rFonts w:ascii="宋体" w:hAnsi="宋体"/>
          <w:szCs w:val="21"/>
        </w:rPr>
      </w:pPr>
    </w:p>
    <w:p>
      <w:pPr>
        <w:spacing w:line="360" w:lineRule="auto"/>
        <w:ind w:firstLine="420" w:firstLineChars="200"/>
        <w:rPr>
          <w:rFonts w:ascii="宋体" w:hAnsi="宋体"/>
          <w:szCs w:val="21"/>
        </w:rPr>
      </w:pPr>
    </w:p>
    <w:p>
      <w:pPr>
        <w:spacing w:line="360" w:lineRule="auto"/>
        <w:jc w:val="center"/>
        <w:rPr>
          <w:rFonts w:ascii="宋体" w:hAnsi="宋体"/>
          <w:b/>
          <w:sz w:val="28"/>
          <w:szCs w:val="28"/>
        </w:rPr>
      </w:pPr>
      <w:r>
        <w:rPr>
          <w:rFonts w:hint="eastAsia" w:ascii="宋体" w:hAnsi="宋体"/>
          <w:b/>
          <w:sz w:val="28"/>
          <w:szCs w:val="28"/>
        </w:rPr>
        <w:t>项目编号：温交易【2016】245号</w:t>
      </w:r>
    </w:p>
    <w:p>
      <w:pPr>
        <w:spacing w:line="360" w:lineRule="auto"/>
        <w:ind w:firstLine="420" w:firstLineChars="200"/>
        <w:rPr>
          <w:rFonts w:ascii="宋体" w:hAnsi="宋体"/>
          <w:szCs w:val="21"/>
        </w:rPr>
      </w:pPr>
    </w:p>
    <w:p>
      <w:pPr>
        <w:spacing w:line="360" w:lineRule="auto"/>
        <w:ind w:firstLine="420" w:firstLineChars="200"/>
        <w:rPr>
          <w:rFonts w:ascii="宋体" w:hAnsi="宋体"/>
          <w:szCs w:val="21"/>
        </w:rPr>
      </w:pPr>
    </w:p>
    <w:p>
      <w:pPr>
        <w:spacing w:line="360" w:lineRule="auto"/>
        <w:ind w:firstLine="420" w:firstLineChars="200"/>
        <w:rPr>
          <w:rFonts w:ascii="宋体" w:hAnsi="宋体"/>
          <w:szCs w:val="21"/>
        </w:rPr>
      </w:pPr>
    </w:p>
    <w:p>
      <w:pPr>
        <w:spacing w:line="360" w:lineRule="auto"/>
        <w:ind w:firstLine="420" w:firstLineChars="200"/>
        <w:rPr>
          <w:rFonts w:ascii="宋体" w:hAnsi="宋体"/>
          <w:szCs w:val="21"/>
        </w:rPr>
      </w:pPr>
    </w:p>
    <w:p>
      <w:pPr>
        <w:spacing w:line="360" w:lineRule="auto"/>
        <w:ind w:firstLine="420" w:firstLineChars="200"/>
        <w:rPr>
          <w:rFonts w:ascii="宋体" w:hAnsi="宋体"/>
          <w:szCs w:val="21"/>
        </w:rPr>
      </w:pPr>
    </w:p>
    <w:p>
      <w:pPr>
        <w:spacing w:line="360" w:lineRule="auto"/>
        <w:ind w:firstLine="562" w:firstLineChars="200"/>
        <w:rPr>
          <w:rFonts w:ascii="宋体" w:hAnsi="宋体"/>
          <w:b/>
          <w:sz w:val="28"/>
          <w:szCs w:val="28"/>
        </w:rPr>
      </w:pPr>
      <w:r>
        <w:rPr>
          <w:rFonts w:hint="eastAsia" w:ascii="宋体" w:hAnsi="宋体"/>
          <w:b/>
          <w:sz w:val="28"/>
          <w:szCs w:val="28"/>
        </w:rPr>
        <w:t xml:space="preserve">   招   标   人：温县妇幼保健院（盖单位章）</w:t>
      </w:r>
    </w:p>
    <w:p>
      <w:pPr>
        <w:spacing w:line="360" w:lineRule="auto"/>
        <w:ind w:firstLine="562" w:firstLineChars="200"/>
        <w:jc w:val="center"/>
        <w:rPr>
          <w:rFonts w:ascii="宋体" w:hAnsi="宋体"/>
          <w:b/>
          <w:sz w:val="28"/>
          <w:szCs w:val="28"/>
        </w:rPr>
      </w:pPr>
      <w:r>
        <w:rPr>
          <w:rFonts w:hint="eastAsia" w:ascii="宋体" w:hAnsi="宋体"/>
          <w:b/>
          <w:sz w:val="28"/>
          <w:szCs w:val="28"/>
        </w:rPr>
        <w:t>招标代理机构：河南宏业建设管理股份有限公司（盖单位章）</w:t>
      </w:r>
    </w:p>
    <w:p>
      <w:pPr>
        <w:spacing w:line="360" w:lineRule="auto"/>
        <w:ind w:firstLine="562" w:firstLineChars="200"/>
        <w:jc w:val="center"/>
        <w:rPr>
          <w:rFonts w:ascii="宋体" w:hAnsi="宋体"/>
          <w:b/>
          <w:sz w:val="28"/>
          <w:szCs w:val="28"/>
        </w:rPr>
      </w:pPr>
      <w:r>
        <w:rPr>
          <w:rFonts w:hint="eastAsia" w:ascii="宋体" w:hAnsi="宋体"/>
          <w:b/>
          <w:sz w:val="28"/>
          <w:szCs w:val="28"/>
        </w:rPr>
        <w:t>二零一六年十二月</w:t>
      </w:r>
    </w:p>
    <w:p>
      <w:pPr>
        <w:spacing w:line="440" w:lineRule="exact"/>
      </w:pPr>
    </w:p>
    <w:p>
      <w:pPr>
        <w:spacing w:line="440" w:lineRule="exact"/>
      </w:pPr>
    </w:p>
    <w:p>
      <w:pPr>
        <w:spacing w:line="440" w:lineRule="exact"/>
      </w:pPr>
    </w:p>
    <w:p>
      <w:pPr>
        <w:spacing w:line="440" w:lineRule="exact"/>
      </w:pPr>
    </w:p>
    <w:p>
      <w:pPr>
        <w:spacing w:line="440" w:lineRule="exact"/>
      </w:pPr>
    </w:p>
    <w:p>
      <w:pPr>
        <w:spacing w:line="440" w:lineRule="exact"/>
      </w:pPr>
    </w:p>
    <w:p>
      <w:pPr>
        <w:spacing w:line="440" w:lineRule="exact"/>
      </w:pPr>
    </w:p>
    <w:p>
      <w:pPr>
        <w:pStyle w:val="2"/>
        <w:jc w:val="center"/>
      </w:pPr>
      <w:bookmarkStart w:id="0" w:name="_Toc246996898"/>
      <w:bookmarkStart w:id="1" w:name="_Toc247085669"/>
      <w:bookmarkStart w:id="2" w:name="_Toc296602400"/>
      <w:bookmarkStart w:id="3" w:name="_Toc12975"/>
      <w:r>
        <w:rPr>
          <w:rFonts w:hint="eastAsia"/>
        </w:rPr>
        <w:t>目   录</w:t>
      </w:r>
      <w:bookmarkEnd w:id="0"/>
      <w:bookmarkEnd w:id="1"/>
      <w:bookmarkEnd w:id="2"/>
      <w:bookmarkEnd w:id="3"/>
    </w:p>
    <w:p>
      <w:pPr>
        <w:pStyle w:val="26"/>
        <w:tabs>
          <w:tab w:val="right" w:leader="dot" w:pos="8306"/>
        </w:tabs>
      </w:pPr>
      <w:bookmarkStart w:id="4" w:name="_Toc144974479"/>
      <w:bookmarkStart w:id="5" w:name="_Toc179632527"/>
      <w:bookmarkStart w:id="6" w:name="_Toc152042287"/>
      <w:bookmarkStart w:id="7" w:name="_Toc152045511"/>
      <w:r>
        <w:rPr>
          <w:rFonts w:ascii="宋体" w:hAnsi="宋体"/>
          <w:b w:val="0"/>
          <w:bCs w:val="0"/>
          <w:iCs/>
        </w:rPr>
        <w:fldChar w:fldCharType="begin"/>
      </w:r>
      <w:r>
        <w:rPr>
          <w:rFonts w:ascii="宋体" w:hAnsi="宋体"/>
          <w:b w:val="0"/>
          <w:bCs w:val="0"/>
          <w:iCs/>
        </w:rPr>
        <w:instrText xml:space="preserve"> TOC \o "1-3" \h \z \u </w:instrText>
      </w:r>
      <w:r>
        <w:rPr>
          <w:rFonts w:ascii="宋体" w:hAnsi="宋体"/>
          <w:b w:val="0"/>
          <w:bCs w:val="0"/>
          <w:iCs/>
        </w:rPr>
        <w:fldChar w:fldCharType="separate"/>
      </w:r>
      <w:r>
        <w:fldChar w:fldCharType="begin"/>
      </w:r>
      <w:r>
        <w:instrText xml:space="preserve">HYPERLINK  \l "_Toc12975" </w:instrText>
      </w:r>
      <w:r>
        <w:fldChar w:fldCharType="separate"/>
      </w:r>
      <w:r>
        <w:rPr>
          <w:rFonts w:hint="eastAsia"/>
        </w:rPr>
        <w:t>目   录</w:t>
      </w:r>
      <w:r>
        <w:tab/>
      </w:r>
      <w:r>
        <w:fldChar w:fldCharType="begin"/>
      </w:r>
      <w:r>
        <w:instrText xml:space="preserve"> PAGEREF _Toc12975 </w:instrText>
      </w:r>
      <w:r>
        <w:fldChar w:fldCharType="separate"/>
      </w:r>
      <w:r>
        <w:t>II</w:t>
      </w:r>
      <w:r>
        <w:fldChar w:fldCharType="end"/>
      </w:r>
      <w:r>
        <w:fldChar w:fldCharType="end"/>
      </w:r>
    </w:p>
    <w:p>
      <w:pPr>
        <w:pStyle w:val="26"/>
        <w:tabs>
          <w:tab w:val="right" w:leader="dot" w:pos="8306"/>
        </w:tabs>
      </w:pPr>
      <w:r>
        <w:fldChar w:fldCharType="begin"/>
      </w:r>
      <w:r>
        <w:instrText xml:space="preserve">HYPERLINK  \l "_Toc32642" </w:instrText>
      </w:r>
      <w:r>
        <w:fldChar w:fldCharType="separate"/>
      </w:r>
      <w:r>
        <w:rPr>
          <w:rFonts w:hint="eastAsia"/>
        </w:rPr>
        <w:t>第一章 招标公告</w:t>
      </w:r>
      <w:r>
        <w:tab/>
      </w:r>
      <w:r>
        <w:fldChar w:fldCharType="begin"/>
      </w:r>
      <w:r>
        <w:instrText xml:space="preserve"> PAGEREF _Toc32642 </w:instrText>
      </w:r>
      <w:r>
        <w:fldChar w:fldCharType="separate"/>
      </w:r>
      <w:r>
        <w:t>1</w:t>
      </w:r>
      <w:r>
        <w:fldChar w:fldCharType="end"/>
      </w:r>
      <w:r>
        <w:fldChar w:fldCharType="end"/>
      </w:r>
    </w:p>
    <w:p>
      <w:pPr>
        <w:pStyle w:val="26"/>
        <w:tabs>
          <w:tab w:val="right" w:leader="dot" w:pos="8306"/>
        </w:tabs>
      </w:pPr>
      <w:r>
        <w:fldChar w:fldCharType="begin"/>
      </w:r>
      <w:r>
        <w:instrText xml:space="preserve">HYPERLINK  \l "_Toc6473" </w:instrText>
      </w:r>
      <w:r>
        <w:fldChar w:fldCharType="separate"/>
      </w:r>
      <w:r>
        <w:rPr>
          <w:rFonts w:hint="eastAsia"/>
        </w:rPr>
        <w:t>第二章 投标人须知</w:t>
      </w:r>
      <w:r>
        <w:tab/>
      </w:r>
      <w:r>
        <w:fldChar w:fldCharType="begin"/>
      </w:r>
      <w:r>
        <w:instrText xml:space="preserve"> PAGEREF _Toc6473 </w:instrText>
      </w:r>
      <w:r>
        <w:fldChar w:fldCharType="separate"/>
      </w:r>
      <w:r>
        <w:t>4</w:t>
      </w:r>
      <w:r>
        <w:fldChar w:fldCharType="end"/>
      </w:r>
      <w:r>
        <w:fldChar w:fldCharType="end"/>
      </w:r>
    </w:p>
    <w:p>
      <w:pPr>
        <w:pStyle w:val="32"/>
        <w:tabs>
          <w:tab w:val="right" w:leader="dot" w:pos="8306"/>
        </w:tabs>
      </w:pPr>
      <w:r>
        <w:fldChar w:fldCharType="begin"/>
      </w:r>
      <w:r>
        <w:instrText xml:space="preserve">HYPERLINK  \l "_Toc30626" </w:instrText>
      </w:r>
      <w:r>
        <w:fldChar w:fldCharType="separate"/>
      </w:r>
      <w:r>
        <w:rPr>
          <w:rFonts w:hint="eastAsia"/>
        </w:rPr>
        <w:t>投标人须知前附表</w:t>
      </w:r>
      <w:r>
        <w:tab/>
      </w:r>
      <w:r>
        <w:fldChar w:fldCharType="begin"/>
      </w:r>
      <w:r>
        <w:instrText xml:space="preserve"> PAGEREF _Toc30626 </w:instrText>
      </w:r>
      <w:r>
        <w:fldChar w:fldCharType="separate"/>
      </w:r>
      <w:r>
        <w:t>4</w:t>
      </w:r>
      <w:r>
        <w:fldChar w:fldCharType="end"/>
      </w:r>
      <w:r>
        <w:fldChar w:fldCharType="end"/>
      </w:r>
    </w:p>
    <w:p>
      <w:pPr>
        <w:pStyle w:val="32"/>
        <w:tabs>
          <w:tab w:val="right" w:leader="dot" w:pos="8306"/>
        </w:tabs>
      </w:pPr>
      <w:r>
        <w:fldChar w:fldCharType="begin"/>
      </w:r>
      <w:r>
        <w:instrText xml:space="preserve">HYPERLINK  \l "_Toc5179" </w:instrText>
      </w:r>
      <w:r>
        <w:fldChar w:fldCharType="separate"/>
      </w:r>
      <w:r>
        <w:rPr>
          <w:rFonts w:hint="eastAsia"/>
        </w:rPr>
        <w:t>1. 总则</w:t>
      </w:r>
      <w:r>
        <w:tab/>
      </w:r>
      <w:r>
        <w:fldChar w:fldCharType="begin"/>
      </w:r>
      <w:r>
        <w:instrText xml:space="preserve"> PAGEREF _Toc5179 </w:instrText>
      </w:r>
      <w:r>
        <w:fldChar w:fldCharType="separate"/>
      </w:r>
      <w:r>
        <w:t>12</w:t>
      </w:r>
      <w:r>
        <w:fldChar w:fldCharType="end"/>
      </w:r>
      <w:r>
        <w:fldChar w:fldCharType="end"/>
      </w:r>
    </w:p>
    <w:p>
      <w:pPr>
        <w:pStyle w:val="19"/>
        <w:tabs>
          <w:tab w:val="right" w:leader="dot" w:pos="8306"/>
        </w:tabs>
      </w:pPr>
      <w:r>
        <w:fldChar w:fldCharType="begin"/>
      </w:r>
      <w:r>
        <w:instrText xml:space="preserve">HYPERLINK  \l "_Toc10102" </w:instrText>
      </w:r>
      <w:r>
        <w:fldChar w:fldCharType="separate"/>
      </w:r>
      <w:r>
        <w:rPr>
          <w:rFonts w:hint="eastAsia"/>
        </w:rPr>
        <w:t>1.1 项目概况</w:t>
      </w:r>
      <w:r>
        <w:tab/>
      </w:r>
      <w:r>
        <w:fldChar w:fldCharType="begin"/>
      </w:r>
      <w:r>
        <w:instrText xml:space="preserve"> PAGEREF _Toc10102 </w:instrText>
      </w:r>
      <w:r>
        <w:fldChar w:fldCharType="separate"/>
      </w:r>
      <w:r>
        <w:t>12</w:t>
      </w:r>
      <w:r>
        <w:fldChar w:fldCharType="end"/>
      </w:r>
      <w:r>
        <w:fldChar w:fldCharType="end"/>
      </w:r>
    </w:p>
    <w:p>
      <w:pPr>
        <w:pStyle w:val="19"/>
        <w:tabs>
          <w:tab w:val="right" w:leader="dot" w:pos="8306"/>
        </w:tabs>
      </w:pPr>
      <w:r>
        <w:fldChar w:fldCharType="begin"/>
      </w:r>
      <w:r>
        <w:instrText xml:space="preserve">HYPERLINK  \l "_Toc17122" </w:instrText>
      </w:r>
      <w:r>
        <w:fldChar w:fldCharType="separate"/>
      </w:r>
      <w:r>
        <w:rPr>
          <w:rFonts w:hint="eastAsia"/>
        </w:rPr>
        <w:t>1.2 资金来源和落实情况</w:t>
      </w:r>
      <w:r>
        <w:tab/>
      </w:r>
      <w:r>
        <w:fldChar w:fldCharType="begin"/>
      </w:r>
      <w:r>
        <w:instrText xml:space="preserve"> PAGEREF _Toc17122 </w:instrText>
      </w:r>
      <w:r>
        <w:fldChar w:fldCharType="separate"/>
      </w:r>
      <w:r>
        <w:t>12</w:t>
      </w:r>
      <w:r>
        <w:fldChar w:fldCharType="end"/>
      </w:r>
      <w:r>
        <w:fldChar w:fldCharType="end"/>
      </w:r>
    </w:p>
    <w:p>
      <w:pPr>
        <w:pStyle w:val="19"/>
        <w:tabs>
          <w:tab w:val="right" w:leader="dot" w:pos="8306"/>
        </w:tabs>
      </w:pPr>
      <w:r>
        <w:fldChar w:fldCharType="begin"/>
      </w:r>
      <w:r>
        <w:instrText xml:space="preserve">HYPERLINK  \l "_Toc183" </w:instrText>
      </w:r>
      <w:r>
        <w:fldChar w:fldCharType="separate"/>
      </w:r>
      <w:r>
        <w:rPr>
          <w:rFonts w:hint="eastAsia"/>
        </w:rPr>
        <w:t>1.3 招标范围、计划工期、质量要求</w:t>
      </w:r>
      <w:r>
        <w:tab/>
      </w:r>
      <w:r>
        <w:fldChar w:fldCharType="begin"/>
      </w:r>
      <w:r>
        <w:instrText xml:space="preserve"> PAGEREF _Toc183 </w:instrText>
      </w:r>
      <w:r>
        <w:fldChar w:fldCharType="separate"/>
      </w:r>
      <w:r>
        <w:t>12</w:t>
      </w:r>
      <w:r>
        <w:fldChar w:fldCharType="end"/>
      </w:r>
      <w:r>
        <w:fldChar w:fldCharType="end"/>
      </w:r>
    </w:p>
    <w:p>
      <w:pPr>
        <w:pStyle w:val="19"/>
        <w:tabs>
          <w:tab w:val="right" w:leader="dot" w:pos="8306"/>
        </w:tabs>
      </w:pPr>
      <w:r>
        <w:fldChar w:fldCharType="begin"/>
      </w:r>
      <w:r>
        <w:instrText xml:space="preserve">HYPERLINK  \l "_Toc10398" </w:instrText>
      </w:r>
      <w:r>
        <w:fldChar w:fldCharType="separate"/>
      </w:r>
      <w:r>
        <w:rPr>
          <w:rFonts w:hint="eastAsia"/>
        </w:rPr>
        <w:t>1.4 投标人资格要求</w:t>
      </w:r>
      <w:r>
        <w:tab/>
      </w:r>
      <w:r>
        <w:fldChar w:fldCharType="begin"/>
      </w:r>
      <w:r>
        <w:instrText xml:space="preserve"> PAGEREF _Toc10398 </w:instrText>
      </w:r>
      <w:r>
        <w:fldChar w:fldCharType="separate"/>
      </w:r>
      <w:r>
        <w:t>12</w:t>
      </w:r>
      <w:r>
        <w:fldChar w:fldCharType="end"/>
      </w:r>
      <w:r>
        <w:fldChar w:fldCharType="end"/>
      </w:r>
    </w:p>
    <w:p>
      <w:pPr>
        <w:pStyle w:val="19"/>
        <w:tabs>
          <w:tab w:val="right" w:leader="dot" w:pos="8306"/>
        </w:tabs>
      </w:pPr>
      <w:r>
        <w:fldChar w:fldCharType="begin"/>
      </w:r>
      <w:r>
        <w:instrText xml:space="preserve">HYPERLINK  \l "_Toc6053" </w:instrText>
      </w:r>
      <w:r>
        <w:fldChar w:fldCharType="separate"/>
      </w:r>
      <w:r>
        <w:rPr>
          <w:rFonts w:hint="eastAsia"/>
        </w:rPr>
        <w:t>1.5 费用承担</w:t>
      </w:r>
      <w:r>
        <w:tab/>
      </w:r>
      <w:r>
        <w:fldChar w:fldCharType="begin"/>
      </w:r>
      <w:r>
        <w:instrText xml:space="preserve"> PAGEREF _Toc6053 </w:instrText>
      </w:r>
      <w:r>
        <w:fldChar w:fldCharType="separate"/>
      </w:r>
      <w:r>
        <w:t>13</w:t>
      </w:r>
      <w:r>
        <w:fldChar w:fldCharType="end"/>
      </w:r>
      <w:r>
        <w:fldChar w:fldCharType="end"/>
      </w:r>
    </w:p>
    <w:p>
      <w:pPr>
        <w:pStyle w:val="19"/>
        <w:tabs>
          <w:tab w:val="right" w:leader="dot" w:pos="8306"/>
        </w:tabs>
      </w:pPr>
      <w:r>
        <w:fldChar w:fldCharType="begin"/>
      </w:r>
      <w:r>
        <w:instrText xml:space="preserve">HYPERLINK  \l "_Toc13702" </w:instrText>
      </w:r>
      <w:r>
        <w:fldChar w:fldCharType="separate"/>
      </w:r>
      <w:r>
        <w:rPr>
          <w:rFonts w:hint="eastAsia"/>
        </w:rPr>
        <w:t>1.6 保密</w:t>
      </w:r>
      <w:r>
        <w:tab/>
      </w:r>
      <w:r>
        <w:fldChar w:fldCharType="begin"/>
      </w:r>
      <w:r>
        <w:instrText xml:space="preserve"> PAGEREF _Toc13702 </w:instrText>
      </w:r>
      <w:r>
        <w:fldChar w:fldCharType="separate"/>
      </w:r>
      <w:r>
        <w:t>13</w:t>
      </w:r>
      <w:r>
        <w:fldChar w:fldCharType="end"/>
      </w:r>
      <w:r>
        <w:fldChar w:fldCharType="end"/>
      </w:r>
    </w:p>
    <w:p>
      <w:pPr>
        <w:pStyle w:val="19"/>
        <w:tabs>
          <w:tab w:val="right" w:leader="dot" w:pos="8306"/>
        </w:tabs>
      </w:pPr>
      <w:r>
        <w:fldChar w:fldCharType="begin"/>
      </w:r>
      <w:r>
        <w:instrText xml:space="preserve">HYPERLINK  \l "_Toc32115" </w:instrText>
      </w:r>
      <w:r>
        <w:fldChar w:fldCharType="separate"/>
      </w:r>
      <w:r>
        <w:rPr>
          <w:rFonts w:hint="eastAsia"/>
        </w:rPr>
        <w:t>1.7 语言文字</w:t>
      </w:r>
      <w:r>
        <w:tab/>
      </w:r>
      <w:r>
        <w:fldChar w:fldCharType="begin"/>
      </w:r>
      <w:r>
        <w:instrText xml:space="preserve"> PAGEREF _Toc32115 </w:instrText>
      </w:r>
      <w:r>
        <w:fldChar w:fldCharType="separate"/>
      </w:r>
      <w:r>
        <w:t>13</w:t>
      </w:r>
      <w:r>
        <w:fldChar w:fldCharType="end"/>
      </w:r>
      <w:r>
        <w:fldChar w:fldCharType="end"/>
      </w:r>
    </w:p>
    <w:p>
      <w:pPr>
        <w:pStyle w:val="19"/>
        <w:tabs>
          <w:tab w:val="right" w:leader="dot" w:pos="8306"/>
        </w:tabs>
      </w:pPr>
      <w:r>
        <w:fldChar w:fldCharType="begin"/>
      </w:r>
      <w:r>
        <w:instrText xml:space="preserve">HYPERLINK  \l "_Toc22960" </w:instrText>
      </w:r>
      <w:r>
        <w:fldChar w:fldCharType="separate"/>
      </w:r>
      <w:r>
        <w:rPr>
          <w:rFonts w:hint="eastAsia"/>
        </w:rPr>
        <w:t>1.8 计量单位</w:t>
      </w:r>
      <w:r>
        <w:tab/>
      </w:r>
      <w:r>
        <w:fldChar w:fldCharType="begin"/>
      </w:r>
      <w:r>
        <w:instrText xml:space="preserve"> PAGEREF _Toc22960 </w:instrText>
      </w:r>
      <w:r>
        <w:fldChar w:fldCharType="separate"/>
      </w:r>
      <w:r>
        <w:t>13</w:t>
      </w:r>
      <w:r>
        <w:fldChar w:fldCharType="end"/>
      </w:r>
      <w:r>
        <w:fldChar w:fldCharType="end"/>
      </w:r>
    </w:p>
    <w:p>
      <w:pPr>
        <w:pStyle w:val="19"/>
        <w:tabs>
          <w:tab w:val="right" w:leader="dot" w:pos="8306"/>
        </w:tabs>
      </w:pPr>
      <w:r>
        <w:fldChar w:fldCharType="begin"/>
      </w:r>
      <w:r>
        <w:instrText xml:space="preserve">HYPERLINK  \l "_Toc7900" </w:instrText>
      </w:r>
      <w:r>
        <w:fldChar w:fldCharType="separate"/>
      </w:r>
      <w:r>
        <w:rPr>
          <w:rFonts w:hint="eastAsia"/>
        </w:rPr>
        <w:t>1.9 踏勘现场</w:t>
      </w:r>
      <w:r>
        <w:tab/>
      </w:r>
      <w:r>
        <w:fldChar w:fldCharType="begin"/>
      </w:r>
      <w:r>
        <w:instrText xml:space="preserve"> PAGEREF _Toc7900 </w:instrText>
      </w:r>
      <w:r>
        <w:fldChar w:fldCharType="separate"/>
      </w:r>
      <w:r>
        <w:t>13</w:t>
      </w:r>
      <w:r>
        <w:fldChar w:fldCharType="end"/>
      </w:r>
      <w:r>
        <w:fldChar w:fldCharType="end"/>
      </w:r>
    </w:p>
    <w:p>
      <w:pPr>
        <w:pStyle w:val="19"/>
        <w:tabs>
          <w:tab w:val="right" w:leader="dot" w:pos="8306"/>
        </w:tabs>
      </w:pPr>
      <w:r>
        <w:fldChar w:fldCharType="begin"/>
      </w:r>
      <w:r>
        <w:instrText xml:space="preserve">HYPERLINK  \l "_Toc8162" </w:instrText>
      </w:r>
      <w:r>
        <w:fldChar w:fldCharType="separate"/>
      </w:r>
      <w:r>
        <w:rPr>
          <w:rFonts w:hint="eastAsia"/>
        </w:rPr>
        <w:t>1.10 投标预备会</w:t>
      </w:r>
      <w:r>
        <w:tab/>
      </w:r>
      <w:r>
        <w:fldChar w:fldCharType="begin"/>
      </w:r>
      <w:r>
        <w:instrText xml:space="preserve"> PAGEREF _Toc8162 </w:instrText>
      </w:r>
      <w:r>
        <w:fldChar w:fldCharType="separate"/>
      </w:r>
      <w:r>
        <w:t>14</w:t>
      </w:r>
      <w:r>
        <w:fldChar w:fldCharType="end"/>
      </w:r>
      <w:r>
        <w:fldChar w:fldCharType="end"/>
      </w:r>
    </w:p>
    <w:p>
      <w:pPr>
        <w:pStyle w:val="19"/>
        <w:tabs>
          <w:tab w:val="right" w:leader="dot" w:pos="8306"/>
        </w:tabs>
      </w:pPr>
      <w:r>
        <w:fldChar w:fldCharType="begin"/>
      </w:r>
      <w:r>
        <w:instrText xml:space="preserve">HYPERLINK  \l "_Toc20639" </w:instrText>
      </w:r>
      <w:r>
        <w:fldChar w:fldCharType="separate"/>
      </w:r>
      <w:r>
        <w:rPr>
          <w:rFonts w:hint="eastAsia"/>
        </w:rPr>
        <w:t>1.11 偏离</w:t>
      </w:r>
      <w:r>
        <w:tab/>
      </w:r>
      <w:r>
        <w:fldChar w:fldCharType="begin"/>
      </w:r>
      <w:r>
        <w:instrText xml:space="preserve"> PAGEREF _Toc20639 </w:instrText>
      </w:r>
      <w:r>
        <w:fldChar w:fldCharType="separate"/>
      </w:r>
      <w:r>
        <w:t>14</w:t>
      </w:r>
      <w:r>
        <w:fldChar w:fldCharType="end"/>
      </w:r>
      <w:r>
        <w:fldChar w:fldCharType="end"/>
      </w:r>
    </w:p>
    <w:p>
      <w:pPr>
        <w:pStyle w:val="32"/>
        <w:tabs>
          <w:tab w:val="right" w:leader="dot" w:pos="8306"/>
        </w:tabs>
      </w:pPr>
      <w:r>
        <w:fldChar w:fldCharType="begin"/>
      </w:r>
      <w:r>
        <w:instrText xml:space="preserve">HYPERLINK  \l "_Toc29352" </w:instrText>
      </w:r>
      <w:r>
        <w:fldChar w:fldCharType="separate"/>
      </w:r>
      <w:r>
        <w:rPr>
          <w:rFonts w:hint="eastAsia"/>
        </w:rPr>
        <w:t>2. 招标文件</w:t>
      </w:r>
      <w:r>
        <w:tab/>
      </w:r>
      <w:r>
        <w:fldChar w:fldCharType="begin"/>
      </w:r>
      <w:r>
        <w:instrText xml:space="preserve"> PAGEREF _Toc29352 </w:instrText>
      </w:r>
      <w:r>
        <w:fldChar w:fldCharType="separate"/>
      </w:r>
      <w:r>
        <w:t>14</w:t>
      </w:r>
      <w:r>
        <w:fldChar w:fldCharType="end"/>
      </w:r>
      <w:r>
        <w:fldChar w:fldCharType="end"/>
      </w:r>
    </w:p>
    <w:p>
      <w:pPr>
        <w:pStyle w:val="19"/>
        <w:tabs>
          <w:tab w:val="right" w:leader="dot" w:pos="8306"/>
        </w:tabs>
      </w:pPr>
      <w:r>
        <w:fldChar w:fldCharType="begin"/>
      </w:r>
      <w:r>
        <w:instrText xml:space="preserve">HYPERLINK  \l "_Toc16574" </w:instrText>
      </w:r>
      <w:r>
        <w:fldChar w:fldCharType="separate"/>
      </w:r>
      <w:r>
        <w:rPr>
          <w:rFonts w:hint="eastAsia"/>
        </w:rPr>
        <w:t>2.1 招标文件的组成</w:t>
      </w:r>
      <w:r>
        <w:tab/>
      </w:r>
      <w:r>
        <w:fldChar w:fldCharType="begin"/>
      </w:r>
      <w:r>
        <w:instrText xml:space="preserve"> PAGEREF _Toc16574 </w:instrText>
      </w:r>
      <w:r>
        <w:fldChar w:fldCharType="separate"/>
      </w:r>
      <w:r>
        <w:t>14</w:t>
      </w:r>
      <w:r>
        <w:fldChar w:fldCharType="end"/>
      </w:r>
      <w:r>
        <w:fldChar w:fldCharType="end"/>
      </w:r>
    </w:p>
    <w:p>
      <w:pPr>
        <w:pStyle w:val="19"/>
        <w:tabs>
          <w:tab w:val="right" w:leader="dot" w:pos="8306"/>
        </w:tabs>
      </w:pPr>
      <w:r>
        <w:fldChar w:fldCharType="begin"/>
      </w:r>
      <w:r>
        <w:instrText xml:space="preserve">HYPERLINK  \l "_Toc1817" </w:instrText>
      </w:r>
      <w:r>
        <w:fldChar w:fldCharType="separate"/>
      </w:r>
      <w:r>
        <w:rPr>
          <w:rFonts w:hint="eastAsia"/>
        </w:rPr>
        <w:t>2.2 招标文件的澄清</w:t>
      </w:r>
      <w:r>
        <w:tab/>
      </w:r>
      <w:r>
        <w:fldChar w:fldCharType="begin"/>
      </w:r>
      <w:r>
        <w:instrText xml:space="preserve"> PAGEREF _Toc1817 </w:instrText>
      </w:r>
      <w:r>
        <w:fldChar w:fldCharType="separate"/>
      </w:r>
      <w:r>
        <w:t>15</w:t>
      </w:r>
      <w:r>
        <w:fldChar w:fldCharType="end"/>
      </w:r>
      <w:r>
        <w:fldChar w:fldCharType="end"/>
      </w:r>
    </w:p>
    <w:p>
      <w:pPr>
        <w:pStyle w:val="19"/>
        <w:tabs>
          <w:tab w:val="right" w:leader="dot" w:pos="8306"/>
        </w:tabs>
      </w:pPr>
      <w:r>
        <w:fldChar w:fldCharType="begin"/>
      </w:r>
      <w:r>
        <w:instrText xml:space="preserve">HYPERLINK  \l "_Toc31397" </w:instrText>
      </w:r>
      <w:r>
        <w:fldChar w:fldCharType="separate"/>
      </w:r>
      <w:r>
        <w:rPr>
          <w:rFonts w:hint="eastAsia"/>
        </w:rPr>
        <w:t>2.3 招标文件的修改</w:t>
      </w:r>
      <w:r>
        <w:tab/>
      </w:r>
      <w:r>
        <w:fldChar w:fldCharType="begin"/>
      </w:r>
      <w:r>
        <w:instrText xml:space="preserve"> PAGEREF _Toc31397 </w:instrText>
      </w:r>
      <w:r>
        <w:fldChar w:fldCharType="separate"/>
      </w:r>
      <w:r>
        <w:t>15</w:t>
      </w:r>
      <w:r>
        <w:fldChar w:fldCharType="end"/>
      </w:r>
      <w:r>
        <w:fldChar w:fldCharType="end"/>
      </w:r>
    </w:p>
    <w:p>
      <w:pPr>
        <w:pStyle w:val="32"/>
        <w:tabs>
          <w:tab w:val="right" w:leader="dot" w:pos="8306"/>
        </w:tabs>
      </w:pPr>
      <w:r>
        <w:fldChar w:fldCharType="begin"/>
      </w:r>
      <w:r>
        <w:instrText xml:space="preserve">HYPERLINK  \l "_Toc728" </w:instrText>
      </w:r>
      <w:r>
        <w:fldChar w:fldCharType="separate"/>
      </w:r>
      <w:r>
        <w:rPr>
          <w:rFonts w:hint="eastAsia"/>
        </w:rPr>
        <w:t>3. 投标文件</w:t>
      </w:r>
      <w:r>
        <w:tab/>
      </w:r>
      <w:r>
        <w:fldChar w:fldCharType="begin"/>
      </w:r>
      <w:r>
        <w:instrText xml:space="preserve"> PAGEREF _Toc728 </w:instrText>
      </w:r>
      <w:r>
        <w:fldChar w:fldCharType="separate"/>
      </w:r>
      <w:r>
        <w:t>15</w:t>
      </w:r>
      <w:r>
        <w:fldChar w:fldCharType="end"/>
      </w:r>
      <w:r>
        <w:fldChar w:fldCharType="end"/>
      </w:r>
    </w:p>
    <w:p>
      <w:pPr>
        <w:pStyle w:val="19"/>
        <w:tabs>
          <w:tab w:val="right" w:leader="dot" w:pos="8306"/>
        </w:tabs>
      </w:pPr>
      <w:r>
        <w:fldChar w:fldCharType="begin"/>
      </w:r>
      <w:r>
        <w:instrText xml:space="preserve">HYPERLINK  \l "_Toc23981" </w:instrText>
      </w:r>
      <w:r>
        <w:fldChar w:fldCharType="separate"/>
      </w:r>
      <w:r>
        <w:rPr>
          <w:rFonts w:hint="eastAsia"/>
        </w:rPr>
        <w:t>3.1 投标文件的组成</w:t>
      </w:r>
      <w:r>
        <w:tab/>
      </w:r>
      <w:r>
        <w:fldChar w:fldCharType="begin"/>
      </w:r>
      <w:r>
        <w:instrText xml:space="preserve"> PAGEREF _Toc23981 </w:instrText>
      </w:r>
      <w:r>
        <w:fldChar w:fldCharType="separate"/>
      </w:r>
      <w:r>
        <w:t>15</w:t>
      </w:r>
      <w:r>
        <w:fldChar w:fldCharType="end"/>
      </w:r>
      <w:r>
        <w:fldChar w:fldCharType="end"/>
      </w:r>
    </w:p>
    <w:p>
      <w:pPr>
        <w:pStyle w:val="19"/>
        <w:tabs>
          <w:tab w:val="right" w:leader="dot" w:pos="8306"/>
        </w:tabs>
      </w:pPr>
      <w:r>
        <w:fldChar w:fldCharType="begin"/>
      </w:r>
      <w:r>
        <w:instrText xml:space="preserve">HYPERLINK  \l "_Toc24340" </w:instrText>
      </w:r>
      <w:r>
        <w:fldChar w:fldCharType="separate"/>
      </w:r>
      <w:r>
        <w:rPr>
          <w:rFonts w:hint="eastAsia"/>
        </w:rPr>
        <w:t>3.2 投标报价</w:t>
      </w:r>
      <w:r>
        <w:tab/>
      </w:r>
      <w:r>
        <w:fldChar w:fldCharType="begin"/>
      </w:r>
      <w:r>
        <w:instrText xml:space="preserve"> PAGEREF _Toc24340 </w:instrText>
      </w:r>
      <w:r>
        <w:fldChar w:fldCharType="separate"/>
      </w:r>
      <w:r>
        <w:t>16</w:t>
      </w:r>
      <w:r>
        <w:fldChar w:fldCharType="end"/>
      </w:r>
      <w:r>
        <w:fldChar w:fldCharType="end"/>
      </w:r>
    </w:p>
    <w:p>
      <w:pPr>
        <w:pStyle w:val="19"/>
        <w:tabs>
          <w:tab w:val="right" w:leader="dot" w:pos="8306"/>
        </w:tabs>
      </w:pPr>
      <w:r>
        <w:fldChar w:fldCharType="begin"/>
      </w:r>
      <w:r>
        <w:instrText xml:space="preserve">HYPERLINK  \l "_Toc8343" </w:instrText>
      </w:r>
      <w:r>
        <w:fldChar w:fldCharType="separate"/>
      </w:r>
      <w:r>
        <w:rPr>
          <w:rFonts w:hint="eastAsia"/>
        </w:rPr>
        <w:t>3.3 投标有效期</w:t>
      </w:r>
      <w:r>
        <w:tab/>
      </w:r>
      <w:r>
        <w:fldChar w:fldCharType="begin"/>
      </w:r>
      <w:r>
        <w:instrText xml:space="preserve"> PAGEREF _Toc8343 </w:instrText>
      </w:r>
      <w:r>
        <w:fldChar w:fldCharType="separate"/>
      </w:r>
      <w:r>
        <w:t>16</w:t>
      </w:r>
      <w:r>
        <w:fldChar w:fldCharType="end"/>
      </w:r>
      <w:r>
        <w:fldChar w:fldCharType="end"/>
      </w:r>
    </w:p>
    <w:p>
      <w:pPr>
        <w:pStyle w:val="19"/>
        <w:tabs>
          <w:tab w:val="right" w:leader="dot" w:pos="8306"/>
        </w:tabs>
      </w:pPr>
      <w:r>
        <w:fldChar w:fldCharType="begin"/>
      </w:r>
      <w:r>
        <w:instrText xml:space="preserve">HYPERLINK  \l "_Toc22679" </w:instrText>
      </w:r>
      <w:r>
        <w:fldChar w:fldCharType="separate"/>
      </w:r>
      <w:r>
        <w:rPr>
          <w:rFonts w:hint="eastAsia"/>
        </w:rPr>
        <w:t>3.4 投标保证金</w:t>
      </w:r>
      <w:r>
        <w:tab/>
      </w:r>
      <w:r>
        <w:fldChar w:fldCharType="begin"/>
      </w:r>
      <w:r>
        <w:instrText xml:space="preserve"> PAGEREF _Toc22679 </w:instrText>
      </w:r>
      <w:r>
        <w:fldChar w:fldCharType="separate"/>
      </w:r>
      <w:r>
        <w:t>16</w:t>
      </w:r>
      <w:r>
        <w:fldChar w:fldCharType="end"/>
      </w:r>
      <w:r>
        <w:fldChar w:fldCharType="end"/>
      </w:r>
    </w:p>
    <w:p>
      <w:pPr>
        <w:pStyle w:val="19"/>
        <w:tabs>
          <w:tab w:val="right" w:leader="dot" w:pos="8306"/>
        </w:tabs>
      </w:pPr>
      <w:r>
        <w:fldChar w:fldCharType="begin"/>
      </w:r>
      <w:r>
        <w:instrText xml:space="preserve">HYPERLINK  \l "_Toc4590" </w:instrText>
      </w:r>
      <w:r>
        <w:fldChar w:fldCharType="separate"/>
      </w:r>
      <w:r>
        <w:rPr>
          <w:rFonts w:hint="eastAsia"/>
        </w:rPr>
        <w:t>3.5 资格审查资料</w:t>
      </w:r>
      <w:r>
        <w:tab/>
      </w:r>
      <w:r>
        <w:fldChar w:fldCharType="begin"/>
      </w:r>
      <w:r>
        <w:instrText xml:space="preserve"> PAGEREF _Toc4590 </w:instrText>
      </w:r>
      <w:r>
        <w:fldChar w:fldCharType="separate"/>
      </w:r>
      <w:r>
        <w:t>16</w:t>
      </w:r>
      <w:r>
        <w:fldChar w:fldCharType="end"/>
      </w:r>
      <w:r>
        <w:fldChar w:fldCharType="end"/>
      </w:r>
    </w:p>
    <w:p>
      <w:pPr>
        <w:pStyle w:val="19"/>
        <w:tabs>
          <w:tab w:val="right" w:leader="dot" w:pos="8306"/>
        </w:tabs>
      </w:pPr>
      <w:r>
        <w:fldChar w:fldCharType="begin"/>
      </w:r>
      <w:r>
        <w:instrText xml:space="preserve">HYPERLINK  \l "_Toc32026" </w:instrText>
      </w:r>
      <w:r>
        <w:fldChar w:fldCharType="separate"/>
      </w:r>
      <w:r>
        <w:rPr>
          <w:rFonts w:hint="eastAsia"/>
        </w:rPr>
        <w:t>3.6投标文件的编制</w:t>
      </w:r>
      <w:r>
        <w:tab/>
      </w:r>
      <w:r>
        <w:fldChar w:fldCharType="begin"/>
      </w:r>
      <w:r>
        <w:instrText xml:space="preserve"> PAGEREF _Toc32026 </w:instrText>
      </w:r>
      <w:r>
        <w:fldChar w:fldCharType="separate"/>
      </w:r>
      <w:r>
        <w:t>17</w:t>
      </w:r>
      <w:r>
        <w:fldChar w:fldCharType="end"/>
      </w:r>
      <w:r>
        <w:fldChar w:fldCharType="end"/>
      </w:r>
    </w:p>
    <w:p>
      <w:pPr>
        <w:pStyle w:val="32"/>
        <w:tabs>
          <w:tab w:val="right" w:leader="dot" w:pos="8306"/>
        </w:tabs>
      </w:pPr>
      <w:r>
        <w:fldChar w:fldCharType="begin"/>
      </w:r>
      <w:r>
        <w:instrText xml:space="preserve">HYPERLINK  \l "_Toc1139" </w:instrText>
      </w:r>
      <w:r>
        <w:fldChar w:fldCharType="separate"/>
      </w:r>
      <w:r>
        <w:rPr>
          <w:rFonts w:hint="eastAsia"/>
        </w:rPr>
        <w:t>4. 投标</w:t>
      </w:r>
      <w:r>
        <w:tab/>
      </w:r>
      <w:r>
        <w:fldChar w:fldCharType="begin"/>
      </w:r>
      <w:r>
        <w:instrText xml:space="preserve"> PAGEREF _Toc1139 </w:instrText>
      </w:r>
      <w:r>
        <w:fldChar w:fldCharType="separate"/>
      </w:r>
      <w:r>
        <w:t>17</w:t>
      </w:r>
      <w:r>
        <w:fldChar w:fldCharType="end"/>
      </w:r>
      <w:r>
        <w:fldChar w:fldCharType="end"/>
      </w:r>
    </w:p>
    <w:p>
      <w:pPr>
        <w:pStyle w:val="19"/>
        <w:tabs>
          <w:tab w:val="right" w:leader="dot" w:pos="8306"/>
        </w:tabs>
      </w:pPr>
      <w:r>
        <w:fldChar w:fldCharType="begin"/>
      </w:r>
      <w:r>
        <w:instrText xml:space="preserve">HYPERLINK  \l "_Toc10366" </w:instrText>
      </w:r>
      <w:r>
        <w:fldChar w:fldCharType="separate"/>
      </w:r>
      <w:r>
        <w:rPr>
          <w:rFonts w:hint="eastAsia"/>
        </w:rPr>
        <w:t>4.1 投标文件的密封和标记</w:t>
      </w:r>
      <w:r>
        <w:tab/>
      </w:r>
      <w:r>
        <w:fldChar w:fldCharType="begin"/>
      </w:r>
      <w:r>
        <w:instrText xml:space="preserve"> PAGEREF _Toc10366 </w:instrText>
      </w:r>
      <w:r>
        <w:fldChar w:fldCharType="separate"/>
      </w:r>
      <w:r>
        <w:t>17</w:t>
      </w:r>
      <w:r>
        <w:fldChar w:fldCharType="end"/>
      </w:r>
      <w:r>
        <w:fldChar w:fldCharType="end"/>
      </w:r>
    </w:p>
    <w:p>
      <w:pPr>
        <w:pStyle w:val="19"/>
        <w:tabs>
          <w:tab w:val="right" w:leader="dot" w:pos="8306"/>
        </w:tabs>
      </w:pPr>
      <w:r>
        <w:fldChar w:fldCharType="begin"/>
      </w:r>
      <w:r>
        <w:instrText xml:space="preserve">HYPERLINK  \l "_Toc4103" </w:instrText>
      </w:r>
      <w:r>
        <w:fldChar w:fldCharType="separate"/>
      </w:r>
      <w:r>
        <w:rPr>
          <w:rFonts w:hint="eastAsia"/>
        </w:rPr>
        <w:t>4.2 投标文件的递交</w:t>
      </w:r>
      <w:r>
        <w:tab/>
      </w:r>
      <w:r>
        <w:fldChar w:fldCharType="begin"/>
      </w:r>
      <w:r>
        <w:instrText xml:space="preserve"> PAGEREF _Toc4103 </w:instrText>
      </w:r>
      <w:r>
        <w:fldChar w:fldCharType="separate"/>
      </w:r>
      <w:r>
        <w:t>18</w:t>
      </w:r>
      <w:r>
        <w:fldChar w:fldCharType="end"/>
      </w:r>
      <w:r>
        <w:fldChar w:fldCharType="end"/>
      </w:r>
    </w:p>
    <w:p>
      <w:pPr>
        <w:pStyle w:val="19"/>
        <w:tabs>
          <w:tab w:val="right" w:leader="dot" w:pos="8306"/>
        </w:tabs>
      </w:pPr>
      <w:r>
        <w:fldChar w:fldCharType="begin"/>
      </w:r>
      <w:r>
        <w:instrText xml:space="preserve">HYPERLINK  \l "_Toc6304" </w:instrText>
      </w:r>
      <w:r>
        <w:fldChar w:fldCharType="separate"/>
      </w:r>
      <w:r>
        <w:rPr>
          <w:rFonts w:hint="eastAsia"/>
        </w:rPr>
        <w:t>4.3 投标文件的修改与撤回</w:t>
      </w:r>
      <w:r>
        <w:tab/>
      </w:r>
      <w:r>
        <w:fldChar w:fldCharType="begin"/>
      </w:r>
      <w:r>
        <w:instrText xml:space="preserve"> PAGEREF _Toc6304 </w:instrText>
      </w:r>
      <w:r>
        <w:fldChar w:fldCharType="separate"/>
      </w:r>
      <w:r>
        <w:t>18</w:t>
      </w:r>
      <w:r>
        <w:fldChar w:fldCharType="end"/>
      </w:r>
      <w:r>
        <w:fldChar w:fldCharType="end"/>
      </w:r>
    </w:p>
    <w:p>
      <w:pPr>
        <w:pStyle w:val="32"/>
        <w:tabs>
          <w:tab w:val="right" w:leader="dot" w:pos="8306"/>
        </w:tabs>
      </w:pPr>
      <w:r>
        <w:fldChar w:fldCharType="begin"/>
      </w:r>
      <w:r>
        <w:instrText xml:space="preserve">HYPERLINK  \l "_Toc21158" </w:instrText>
      </w:r>
      <w:r>
        <w:fldChar w:fldCharType="separate"/>
      </w:r>
      <w:r>
        <w:rPr>
          <w:rFonts w:hint="eastAsia"/>
        </w:rPr>
        <w:t>5. 开标</w:t>
      </w:r>
      <w:r>
        <w:tab/>
      </w:r>
      <w:r>
        <w:fldChar w:fldCharType="begin"/>
      </w:r>
      <w:r>
        <w:instrText xml:space="preserve"> PAGEREF _Toc21158 </w:instrText>
      </w:r>
      <w:r>
        <w:fldChar w:fldCharType="separate"/>
      </w:r>
      <w:r>
        <w:t>18</w:t>
      </w:r>
      <w:r>
        <w:fldChar w:fldCharType="end"/>
      </w:r>
      <w:r>
        <w:fldChar w:fldCharType="end"/>
      </w:r>
    </w:p>
    <w:p>
      <w:pPr>
        <w:pStyle w:val="19"/>
        <w:tabs>
          <w:tab w:val="right" w:leader="dot" w:pos="8306"/>
        </w:tabs>
      </w:pPr>
      <w:r>
        <w:fldChar w:fldCharType="begin"/>
      </w:r>
      <w:r>
        <w:instrText xml:space="preserve">HYPERLINK  \l "_Toc13527" </w:instrText>
      </w:r>
      <w:r>
        <w:fldChar w:fldCharType="separate"/>
      </w:r>
      <w:r>
        <w:rPr>
          <w:rFonts w:hint="eastAsia"/>
        </w:rPr>
        <w:t>5.1 开标时间和地点</w:t>
      </w:r>
      <w:r>
        <w:tab/>
      </w:r>
      <w:r>
        <w:fldChar w:fldCharType="begin"/>
      </w:r>
      <w:r>
        <w:instrText xml:space="preserve"> PAGEREF _Toc13527 </w:instrText>
      </w:r>
      <w:r>
        <w:fldChar w:fldCharType="separate"/>
      </w:r>
      <w:r>
        <w:t>18</w:t>
      </w:r>
      <w:r>
        <w:fldChar w:fldCharType="end"/>
      </w:r>
      <w:r>
        <w:fldChar w:fldCharType="end"/>
      </w:r>
    </w:p>
    <w:p>
      <w:pPr>
        <w:pStyle w:val="19"/>
        <w:tabs>
          <w:tab w:val="right" w:leader="dot" w:pos="8306"/>
        </w:tabs>
      </w:pPr>
      <w:r>
        <w:fldChar w:fldCharType="begin"/>
      </w:r>
      <w:r>
        <w:instrText xml:space="preserve">HYPERLINK  \l "_Toc31340" </w:instrText>
      </w:r>
      <w:r>
        <w:fldChar w:fldCharType="separate"/>
      </w:r>
      <w:r>
        <w:rPr>
          <w:rFonts w:hint="eastAsia"/>
        </w:rPr>
        <w:t>5.2 开标程序</w:t>
      </w:r>
      <w:r>
        <w:tab/>
      </w:r>
      <w:r>
        <w:fldChar w:fldCharType="begin"/>
      </w:r>
      <w:r>
        <w:instrText xml:space="preserve"> PAGEREF _Toc31340 </w:instrText>
      </w:r>
      <w:r>
        <w:fldChar w:fldCharType="separate"/>
      </w:r>
      <w:r>
        <w:t>18</w:t>
      </w:r>
      <w:r>
        <w:fldChar w:fldCharType="end"/>
      </w:r>
      <w:r>
        <w:fldChar w:fldCharType="end"/>
      </w:r>
    </w:p>
    <w:p>
      <w:pPr>
        <w:pStyle w:val="19"/>
        <w:tabs>
          <w:tab w:val="right" w:leader="dot" w:pos="8306"/>
        </w:tabs>
      </w:pPr>
      <w:r>
        <w:fldChar w:fldCharType="begin"/>
      </w:r>
      <w:r>
        <w:instrText xml:space="preserve">HYPERLINK  \l "_Toc20066" </w:instrText>
      </w:r>
      <w:r>
        <w:fldChar w:fldCharType="separate"/>
      </w:r>
      <w:r>
        <w:rPr>
          <w:rFonts w:hint="eastAsia"/>
        </w:rPr>
        <w:t>5.3 开标异议</w:t>
      </w:r>
      <w:r>
        <w:tab/>
      </w:r>
      <w:r>
        <w:fldChar w:fldCharType="begin"/>
      </w:r>
      <w:r>
        <w:instrText xml:space="preserve"> PAGEREF _Toc20066 </w:instrText>
      </w:r>
      <w:r>
        <w:fldChar w:fldCharType="separate"/>
      </w:r>
      <w:r>
        <w:t>19</w:t>
      </w:r>
      <w:r>
        <w:fldChar w:fldCharType="end"/>
      </w:r>
      <w:r>
        <w:fldChar w:fldCharType="end"/>
      </w:r>
    </w:p>
    <w:p>
      <w:pPr>
        <w:pStyle w:val="32"/>
        <w:tabs>
          <w:tab w:val="right" w:leader="dot" w:pos="8306"/>
        </w:tabs>
      </w:pPr>
      <w:r>
        <w:fldChar w:fldCharType="begin"/>
      </w:r>
      <w:r>
        <w:instrText xml:space="preserve">HYPERLINK  \l "_Toc26830" </w:instrText>
      </w:r>
      <w:r>
        <w:fldChar w:fldCharType="separate"/>
      </w:r>
      <w:r>
        <w:rPr>
          <w:rFonts w:hint="eastAsia"/>
        </w:rPr>
        <w:t>6. 评标</w:t>
      </w:r>
      <w:r>
        <w:tab/>
      </w:r>
      <w:r>
        <w:fldChar w:fldCharType="begin"/>
      </w:r>
      <w:r>
        <w:instrText xml:space="preserve"> PAGEREF _Toc26830 </w:instrText>
      </w:r>
      <w:r>
        <w:fldChar w:fldCharType="separate"/>
      </w:r>
      <w:r>
        <w:t>19</w:t>
      </w:r>
      <w:r>
        <w:fldChar w:fldCharType="end"/>
      </w:r>
      <w:r>
        <w:fldChar w:fldCharType="end"/>
      </w:r>
    </w:p>
    <w:p>
      <w:pPr>
        <w:pStyle w:val="19"/>
        <w:tabs>
          <w:tab w:val="right" w:leader="dot" w:pos="8306"/>
        </w:tabs>
      </w:pPr>
      <w:r>
        <w:fldChar w:fldCharType="begin"/>
      </w:r>
      <w:r>
        <w:instrText xml:space="preserve">HYPERLINK  \l "_Toc2386" </w:instrText>
      </w:r>
      <w:r>
        <w:fldChar w:fldCharType="separate"/>
      </w:r>
      <w:r>
        <w:rPr>
          <w:rFonts w:hint="eastAsia"/>
        </w:rPr>
        <w:t>6.1 评标委员会</w:t>
      </w:r>
      <w:r>
        <w:tab/>
      </w:r>
      <w:r>
        <w:fldChar w:fldCharType="begin"/>
      </w:r>
      <w:r>
        <w:instrText xml:space="preserve"> PAGEREF _Toc2386 </w:instrText>
      </w:r>
      <w:r>
        <w:fldChar w:fldCharType="separate"/>
      </w:r>
      <w:r>
        <w:t>19</w:t>
      </w:r>
      <w:r>
        <w:fldChar w:fldCharType="end"/>
      </w:r>
      <w:r>
        <w:fldChar w:fldCharType="end"/>
      </w:r>
    </w:p>
    <w:p>
      <w:pPr>
        <w:pStyle w:val="19"/>
        <w:tabs>
          <w:tab w:val="right" w:leader="dot" w:pos="8306"/>
        </w:tabs>
      </w:pPr>
      <w:r>
        <w:fldChar w:fldCharType="begin"/>
      </w:r>
      <w:r>
        <w:instrText xml:space="preserve">HYPERLINK  \l "_Toc91" </w:instrText>
      </w:r>
      <w:r>
        <w:fldChar w:fldCharType="separate"/>
      </w:r>
      <w:r>
        <w:rPr>
          <w:rFonts w:hint="eastAsia"/>
        </w:rPr>
        <w:t>6.2 评标原则</w:t>
      </w:r>
      <w:r>
        <w:tab/>
      </w:r>
      <w:r>
        <w:fldChar w:fldCharType="begin"/>
      </w:r>
      <w:r>
        <w:instrText xml:space="preserve"> PAGEREF _Toc91 </w:instrText>
      </w:r>
      <w:r>
        <w:fldChar w:fldCharType="separate"/>
      </w:r>
      <w:r>
        <w:t>19</w:t>
      </w:r>
      <w:r>
        <w:fldChar w:fldCharType="end"/>
      </w:r>
      <w:r>
        <w:fldChar w:fldCharType="end"/>
      </w:r>
    </w:p>
    <w:p>
      <w:pPr>
        <w:pStyle w:val="19"/>
        <w:tabs>
          <w:tab w:val="right" w:leader="dot" w:pos="8306"/>
        </w:tabs>
      </w:pPr>
      <w:r>
        <w:fldChar w:fldCharType="begin"/>
      </w:r>
      <w:r>
        <w:instrText xml:space="preserve">HYPERLINK  \l "_Toc22962" </w:instrText>
      </w:r>
      <w:r>
        <w:fldChar w:fldCharType="separate"/>
      </w:r>
      <w:r>
        <w:rPr>
          <w:rFonts w:hint="eastAsia"/>
        </w:rPr>
        <w:t>6.3 评标</w:t>
      </w:r>
      <w:r>
        <w:tab/>
      </w:r>
      <w:r>
        <w:fldChar w:fldCharType="begin"/>
      </w:r>
      <w:r>
        <w:instrText xml:space="preserve"> PAGEREF _Toc22962 </w:instrText>
      </w:r>
      <w:r>
        <w:fldChar w:fldCharType="separate"/>
      </w:r>
      <w:r>
        <w:t>19</w:t>
      </w:r>
      <w:r>
        <w:fldChar w:fldCharType="end"/>
      </w:r>
      <w:r>
        <w:fldChar w:fldCharType="end"/>
      </w:r>
    </w:p>
    <w:p>
      <w:pPr>
        <w:pStyle w:val="32"/>
        <w:tabs>
          <w:tab w:val="right" w:leader="dot" w:pos="8306"/>
        </w:tabs>
      </w:pPr>
      <w:r>
        <w:fldChar w:fldCharType="begin"/>
      </w:r>
      <w:r>
        <w:instrText xml:space="preserve">HYPERLINK  \l "_Toc31172" </w:instrText>
      </w:r>
      <w:r>
        <w:fldChar w:fldCharType="separate"/>
      </w:r>
      <w:r>
        <w:rPr>
          <w:rFonts w:hint="eastAsia"/>
        </w:rPr>
        <w:t>7. 合同授予</w:t>
      </w:r>
      <w:r>
        <w:tab/>
      </w:r>
      <w:r>
        <w:fldChar w:fldCharType="begin"/>
      </w:r>
      <w:r>
        <w:instrText xml:space="preserve"> PAGEREF _Toc31172 </w:instrText>
      </w:r>
      <w:r>
        <w:fldChar w:fldCharType="separate"/>
      </w:r>
      <w:r>
        <w:t>20</w:t>
      </w:r>
      <w:r>
        <w:fldChar w:fldCharType="end"/>
      </w:r>
      <w:r>
        <w:fldChar w:fldCharType="end"/>
      </w:r>
    </w:p>
    <w:p>
      <w:pPr>
        <w:pStyle w:val="19"/>
        <w:tabs>
          <w:tab w:val="right" w:leader="dot" w:pos="8306"/>
        </w:tabs>
      </w:pPr>
      <w:r>
        <w:fldChar w:fldCharType="begin"/>
      </w:r>
      <w:r>
        <w:instrText xml:space="preserve">HYPERLINK  \l "_Toc7930" </w:instrText>
      </w:r>
      <w:r>
        <w:fldChar w:fldCharType="separate"/>
      </w:r>
      <w:r>
        <w:rPr>
          <w:rFonts w:hint="eastAsia"/>
        </w:rPr>
        <w:t>7.1 定标方式</w:t>
      </w:r>
      <w:r>
        <w:tab/>
      </w:r>
      <w:r>
        <w:fldChar w:fldCharType="begin"/>
      </w:r>
      <w:r>
        <w:instrText xml:space="preserve"> PAGEREF _Toc7930 </w:instrText>
      </w:r>
      <w:r>
        <w:fldChar w:fldCharType="separate"/>
      </w:r>
      <w:r>
        <w:t>20</w:t>
      </w:r>
      <w:r>
        <w:fldChar w:fldCharType="end"/>
      </w:r>
      <w:r>
        <w:fldChar w:fldCharType="end"/>
      </w:r>
    </w:p>
    <w:p>
      <w:pPr>
        <w:pStyle w:val="19"/>
        <w:tabs>
          <w:tab w:val="right" w:leader="dot" w:pos="8306"/>
        </w:tabs>
      </w:pPr>
      <w:r>
        <w:fldChar w:fldCharType="begin"/>
      </w:r>
      <w:r>
        <w:instrText xml:space="preserve">HYPERLINK  \l "_Toc16901" </w:instrText>
      </w:r>
      <w:r>
        <w:fldChar w:fldCharType="separate"/>
      </w:r>
      <w:r>
        <w:rPr>
          <w:rFonts w:hint="eastAsia"/>
        </w:rPr>
        <w:t>7.2 中标候选人公示</w:t>
      </w:r>
      <w:r>
        <w:tab/>
      </w:r>
      <w:r>
        <w:fldChar w:fldCharType="begin"/>
      </w:r>
      <w:r>
        <w:instrText xml:space="preserve"> PAGEREF _Toc16901 </w:instrText>
      </w:r>
      <w:r>
        <w:fldChar w:fldCharType="separate"/>
      </w:r>
      <w:r>
        <w:t>20</w:t>
      </w:r>
      <w:r>
        <w:fldChar w:fldCharType="end"/>
      </w:r>
      <w:r>
        <w:fldChar w:fldCharType="end"/>
      </w:r>
    </w:p>
    <w:p>
      <w:pPr>
        <w:pStyle w:val="19"/>
        <w:tabs>
          <w:tab w:val="right" w:leader="dot" w:pos="8306"/>
        </w:tabs>
      </w:pPr>
      <w:r>
        <w:fldChar w:fldCharType="begin"/>
      </w:r>
      <w:r>
        <w:instrText xml:space="preserve">HYPERLINK  \l "_Toc30736" </w:instrText>
      </w:r>
      <w:r>
        <w:fldChar w:fldCharType="separate"/>
      </w:r>
      <w:r>
        <w:rPr>
          <w:rFonts w:hint="eastAsia"/>
        </w:rPr>
        <w:t>7.3 中标通知</w:t>
      </w:r>
      <w:r>
        <w:tab/>
      </w:r>
      <w:r>
        <w:fldChar w:fldCharType="begin"/>
      </w:r>
      <w:r>
        <w:instrText xml:space="preserve"> PAGEREF _Toc30736 </w:instrText>
      </w:r>
      <w:r>
        <w:fldChar w:fldCharType="separate"/>
      </w:r>
      <w:r>
        <w:t>20</w:t>
      </w:r>
      <w:r>
        <w:fldChar w:fldCharType="end"/>
      </w:r>
      <w:r>
        <w:fldChar w:fldCharType="end"/>
      </w:r>
    </w:p>
    <w:p>
      <w:pPr>
        <w:pStyle w:val="19"/>
        <w:tabs>
          <w:tab w:val="right" w:leader="dot" w:pos="8306"/>
        </w:tabs>
      </w:pPr>
      <w:r>
        <w:fldChar w:fldCharType="begin"/>
      </w:r>
      <w:r>
        <w:instrText xml:space="preserve">HYPERLINK  \l "_Toc13018" </w:instrText>
      </w:r>
      <w:r>
        <w:fldChar w:fldCharType="separate"/>
      </w:r>
      <w:r>
        <w:rPr>
          <w:rFonts w:hint="eastAsia"/>
        </w:rPr>
        <w:t>7.4 履约担保</w:t>
      </w:r>
      <w:r>
        <w:tab/>
      </w:r>
      <w:r>
        <w:fldChar w:fldCharType="begin"/>
      </w:r>
      <w:r>
        <w:instrText xml:space="preserve"> PAGEREF _Toc13018 </w:instrText>
      </w:r>
      <w:r>
        <w:fldChar w:fldCharType="separate"/>
      </w:r>
      <w:r>
        <w:t>20</w:t>
      </w:r>
      <w:r>
        <w:fldChar w:fldCharType="end"/>
      </w:r>
      <w:r>
        <w:fldChar w:fldCharType="end"/>
      </w:r>
    </w:p>
    <w:p>
      <w:pPr>
        <w:pStyle w:val="19"/>
        <w:tabs>
          <w:tab w:val="right" w:leader="dot" w:pos="8306"/>
        </w:tabs>
      </w:pPr>
      <w:r>
        <w:fldChar w:fldCharType="begin"/>
      </w:r>
      <w:r>
        <w:instrText xml:space="preserve">HYPERLINK  \l "_Toc31848" </w:instrText>
      </w:r>
      <w:r>
        <w:fldChar w:fldCharType="separate"/>
      </w:r>
      <w:r>
        <w:rPr>
          <w:rFonts w:hint="eastAsia"/>
        </w:rPr>
        <w:t>7.5 签订合同</w:t>
      </w:r>
      <w:r>
        <w:tab/>
      </w:r>
      <w:r>
        <w:fldChar w:fldCharType="begin"/>
      </w:r>
      <w:r>
        <w:instrText xml:space="preserve"> PAGEREF _Toc31848 </w:instrText>
      </w:r>
      <w:r>
        <w:fldChar w:fldCharType="separate"/>
      </w:r>
      <w:r>
        <w:t>20</w:t>
      </w:r>
      <w:r>
        <w:fldChar w:fldCharType="end"/>
      </w:r>
      <w:r>
        <w:fldChar w:fldCharType="end"/>
      </w:r>
    </w:p>
    <w:p>
      <w:pPr>
        <w:pStyle w:val="32"/>
        <w:tabs>
          <w:tab w:val="right" w:leader="dot" w:pos="8306"/>
        </w:tabs>
      </w:pPr>
      <w:r>
        <w:fldChar w:fldCharType="begin"/>
      </w:r>
      <w:r>
        <w:instrText xml:space="preserve">HYPERLINK  \l "_Toc16366" </w:instrText>
      </w:r>
      <w:r>
        <w:fldChar w:fldCharType="separate"/>
      </w:r>
      <w:r>
        <w:rPr>
          <w:rFonts w:hint="eastAsia"/>
        </w:rPr>
        <w:t>8. 纪律和监督</w:t>
      </w:r>
      <w:r>
        <w:tab/>
      </w:r>
      <w:r>
        <w:fldChar w:fldCharType="begin"/>
      </w:r>
      <w:r>
        <w:instrText xml:space="preserve"> PAGEREF _Toc16366 </w:instrText>
      </w:r>
      <w:r>
        <w:fldChar w:fldCharType="separate"/>
      </w:r>
      <w:r>
        <w:t>21</w:t>
      </w:r>
      <w:r>
        <w:fldChar w:fldCharType="end"/>
      </w:r>
      <w:r>
        <w:fldChar w:fldCharType="end"/>
      </w:r>
    </w:p>
    <w:p>
      <w:pPr>
        <w:pStyle w:val="19"/>
        <w:tabs>
          <w:tab w:val="right" w:leader="dot" w:pos="8306"/>
        </w:tabs>
      </w:pPr>
      <w:r>
        <w:fldChar w:fldCharType="begin"/>
      </w:r>
      <w:r>
        <w:instrText xml:space="preserve">HYPERLINK  \l "_Toc11004" </w:instrText>
      </w:r>
      <w:r>
        <w:fldChar w:fldCharType="separate"/>
      </w:r>
      <w:r>
        <w:rPr>
          <w:rFonts w:hint="eastAsia"/>
        </w:rPr>
        <w:t>8.1 对招标人的纪律要求</w:t>
      </w:r>
      <w:r>
        <w:tab/>
      </w:r>
      <w:r>
        <w:fldChar w:fldCharType="begin"/>
      </w:r>
      <w:r>
        <w:instrText xml:space="preserve"> PAGEREF _Toc11004 </w:instrText>
      </w:r>
      <w:r>
        <w:fldChar w:fldCharType="separate"/>
      </w:r>
      <w:r>
        <w:t>21</w:t>
      </w:r>
      <w:r>
        <w:fldChar w:fldCharType="end"/>
      </w:r>
      <w:r>
        <w:fldChar w:fldCharType="end"/>
      </w:r>
    </w:p>
    <w:p>
      <w:pPr>
        <w:pStyle w:val="19"/>
        <w:tabs>
          <w:tab w:val="right" w:leader="dot" w:pos="8306"/>
        </w:tabs>
      </w:pPr>
      <w:r>
        <w:fldChar w:fldCharType="begin"/>
      </w:r>
      <w:r>
        <w:instrText xml:space="preserve">HYPERLINK  \l "_Toc18017" </w:instrText>
      </w:r>
      <w:r>
        <w:fldChar w:fldCharType="separate"/>
      </w:r>
      <w:r>
        <w:rPr>
          <w:rFonts w:hint="eastAsia"/>
        </w:rPr>
        <w:t>8.2 对投标人的纪律要求</w:t>
      </w:r>
      <w:r>
        <w:tab/>
      </w:r>
      <w:r>
        <w:fldChar w:fldCharType="begin"/>
      </w:r>
      <w:r>
        <w:instrText xml:space="preserve"> PAGEREF _Toc18017 </w:instrText>
      </w:r>
      <w:r>
        <w:fldChar w:fldCharType="separate"/>
      </w:r>
      <w:r>
        <w:t>21</w:t>
      </w:r>
      <w:r>
        <w:fldChar w:fldCharType="end"/>
      </w:r>
      <w:r>
        <w:fldChar w:fldCharType="end"/>
      </w:r>
    </w:p>
    <w:p>
      <w:pPr>
        <w:pStyle w:val="19"/>
        <w:tabs>
          <w:tab w:val="right" w:leader="dot" w:pos="8306"/>
        </w:tabs>
      </w:pPr>
      <w:r>
        <w:fldChar w:fldCharType="begin"/>
      </w:r>
      <w:r>
        <w:instrText xml:space="preserve">HYPERLINK  \l "_Toc9782" </w:instrText>
      </w:r>
      <w:r>
        <w:fldChar w:fldCharType="separate"/>
      </w:r>
      <w:r>
        <w:rPr>
          <w:rFonts w:hint="eastAsia"/>
        </w:rPr>
        <w:t>8.3 对评标委员会成员的纪律要求</w:t>
      </w:r>
      <w:r>
        <w:tab/>
      </w:r>
      <w:r>
        <w:fldChar w:fldCharType="begin"/>
      </w:r>
      <w:r>
        <w:instrText xml:space="preserve"> PAGEREF _Toc9782 </w:instrText>
      </w:r>
      <w:r>
        <w:fldChar w:fldCharType="separate"/>
      </w:r>
      <w:r>
        <w:t>21</w:t>
      </w:r>
      <w:r>
        <w:fldChar w:fldCharType="end"/>
      </w:r>
      <w:r>
        <w:fldChar w:fldCharType="end"/>
      </w:r>
    </w:p>
    <w:p>
      <w:pPr>
        <w:pStyle w:val="19"/>
        <w:tabs>
          <w:tab w:val="right" w:leader="dot" w:pos="8306"/>
        </w:tabs>
      </w:pPr>
      <w:r>
        <w:fldChar w:fldCharType="begin"/>
      </w:r>
      <w:r>
        <w:instrText xml:space="preserve">HYPERLINK  \l "_Toc22934" </w:instrText>
      </w:r>
      <w:r>
        <w:fldChar w:fldCharType="separate"/>
      </w:r>
      <w:r>
        <w:rPr>
          <w:rFonts w:hint="eastAsia"/>
        </w:rPr>
        <w:t>8.4 对与评标活动有关的工作人员的纪律要求</w:t>
      </w:r>
      <w:r>
        <w:tab/>
      </w:r>
      <w:r>
        <w:fldChar w:fldCharType="begin"/>
      </w:r>
      <w:r>
        <w:instrText xml:space="preserve"> PAGEREF _Toc22934 </w:instrText>
      </w:r>
      <w:r>
        <w:fldChar w:fldCharType="separate"/>
      </w:r>
      <w:r>
        <w:t>21</w:t>
      </w:r>
      <w:r>
        <w:fldChar w:fldCharType="end"/>
      </w:r>
      <w:r>
        <w:fldChar w:fldCharType="end"/>
      </w:r>
    </w:p>
    <w:p>
      <w:pPr>
        <w:pStyle w:val="19"/>
        <w:tabs>
          <w:tab w:val="right" w:leader="dot" w:pos="8306"/>
        </w:tabs>
      </w:pPr>
      <w:r>
        <w:fldChar w:fldCharType="begin"/>
      </w:r>
      <w:r>
        <w:instrText xml:space="preserve">HYPERLINK  \l "_Toc19464" </w:instrText>
      </w:r>
      <w:r>
        <w:fldChar w:fldCharType="separate"/>
      </w:r>
      <w:r>
        <w:rPr>
          <w:rFonts w:hint="eastAsia"/>
        </w:rPr>
        <w:t>8.5 投诉</w:t>
      </w:r>
      <w:r>
        <w:tab/>
      </w:r>
      <w:r>
        <w:fldChar w:fldCharType="begin"/>
      </w:r>
      <w:r>
        <w:instrText xml:space="preserve"> PAGEREF _Toc19464 </w:instrText>
      </w:r>
      <w:r>
        <w:fldChar w:fldCharType="separate"/>
      </w:r>
      <w:r>
        <w:t>21</w:t>
      </w:r>
      <w:r>
        <w:fldChar w:fldCharType="end"/>
      </w:r>
      <w:r>
        <w:fldChar w:fldCharType="end"/>
      </w:r>
    </w:p>
    <w:p>
      <w:pPr>
        <w:pStyle w:val="32"/>
        <w:tabs>
          <w:tab w:val="right" w:leader="dot" w:pos="8306"/>
        </w:tabs>
      </w:pPr>
      <w:r>
        <w:fldChar w:fldCharType="begin"/>
      </w:r>
      <w:r>
        <w:instrText xml:space="preserve">HYPERLINK  \l "_Toc32623" </w:instrText>
      </w:r>
      <w:r>
        <w:fldChar w:fldCharType="separate"/>
      </w:r>
      <w:r>
        <w:rPr>
          <w:rFonts w:hint="eastAsia"/>
        </w:rPr>
        <w:t>9. 需要补充的其他内容</w:t>
      </w:r>
      <w:r>
        <w:tab/>
      </w:r>
      <w:r>
        <w:fldChar w:fldCharType="begin"/>
      </w:r>
      <w:r>
        <w:instrText xml:space="preserve"> PAGEREF _Toc32623 </w:instrText>
      </w:r>
      <w:r>
        <w:fldChar w:fldCharType="separate"/>
      </w:r>
      <w:r>
        <w:t>21</w:t>
      </w:r>
      <w:r>
        <w:fldChar w:fldCharType="end"/>
      </w:r>
      <w:r>
        <w:fldChar w:fldCharType="end"/>
      </w:r>
    </w:p>
    <w:p>
      <w:pPr>
        <w:pStyle w:val="32"/>
        <w:tabs>
          <w:tab w:val="right" w:leader="dot" w:pos="8306"/>
        </w:tabs>
      </w:pPr>
      <w:r>
        <w:fldChar w:fldCharType="begin"/>
      </w:r>
      <w:r>
        <w:instrText xml:space="preserve">HYPERLINK  \l "_Toc29623" </w:instrText>
      </w:r>
      <w:r>
        <w:fldChar w:fldCharType="separate"/>
      </w:r>
      <w:r>
        <w:rPr>
          <w:rFonts w:hint="eastAsia"/>
        </w:rPr>
        <w:t>附件一：开标记录表</w:t>
      </w:r>
      <w:r>
        <w:tab/>
      </w:r>
      <w:r>
        <w:fldChar w:fldCharType="begin"/>
      </w:r>
      <w:r>
        <w:instrText xml:space="preserve"> PAGEREF _Toc29623 </w:instrText>
      </w:r>
      <w:r>
        <w:fldChar w:fldCharType="separate"/>
      </w:r>
      <w:r>
        <w:t>22</w:t>
      </w:r>
      <w:r>
        <w:fldChar w:fldCharType="end"/>
      </w:r>
      <w:r>
        <w:fldChar w:fldCharType="end"/>
      </w:r>
    </w:p>
    <w:p>
      <w:pPr>
        <w:pStyle w:val="32"/>
        <w:tabs>
          <w:tab w:val="right" w:leader="dot" w:pos="8306"/>
        </w:tabs>
      </w:pPr>
      <w:r>
        <w:fldChar w:fldCharType="begin"/>
      </w:r>
      <w:r>
        <w:instrText xml:space="preserve">HYPERLINK  \l "_Toc8025" </w:instrText>
      </w:r>
      <w:r>
        <w:fldChar w:fldCharType="separate"/>
      </w:r>
      <w:r>
        <w:t>附</w:t>
      </w:r>
      <w:r>
        <w:rPr>
          <w:rFonts w:hint="eastAsia"/>
        </w:rPr>
        <w:t>件</w:t>
      </w:r>
      <w:r>
        <w:t>二：问题澄清通知</w:t>
      </w:r>
      <w:r>
        <w:tab/>
      </w:r>
      <w:r>
        <w:fldChar w:fldCharType="begin"/>
      </w:r>
      <w:r>
        <w:instrText xml:space="preserve"> PAGEREF _Toc8025 </w:instrText>
      </w:r>
      <w:r>
        <w:fldChar w:fldCharType="separate"/>
      </w:r>
      <w:r>
        <w:t>23</w:t>
      </w:r>
      <w:r>
        <w:fldChar w:fldCharType="end"/>
      </w:r>
      <w:r>
        <w:fldChar w:fldCharType="end"/>
      </w:r>
    </w:p>
    <w:p>
      <w:pPr>
        <w:pStyle w:val="32"/>
        <w:tabs>
          <w:tab w:val="right" w:leader="dot" w:pos="8306"/>
        </w:tabs>
      </w:pPr>
      <w:r>
        <w:fldChar w:fldCharType="begin"/>
      </w:r>
      <w:r>
        <w:instrText xml:space="preserve">HYPERLINK  \l "_Toc10033" </w:instrText>
      </w:r>
      <w:r>
        <w:fldChar w:fldCharType="separate"/>
      </w:r>
      <w:r>
        <w:rPr>
          <w:rFonts w:hint="eastAsia"/>
        </w:rPr>
        <w:t>附件三：问题的澄清</w:t>
      </w:r>
      <w:r>
        <w:tab/>
      </w:r>
      <w:r>
        <w:fldChar w:fldCharType="begin"/>
      </w:r>
      <w:r>
        <w:instrText xml:space="preserve"> PAGEREF _Toc10033 </w:instrText>
      </w:r>
      <w:r>
        <w:fldChar w:fldCharType="separate"/>
      </w:r>
      <w:r>
        <w:t>24</w:t>
      </w:r>
      <w:r>
        <w:fldChar w:fldCharType="end"/>
      </w:r>
      <w:r>
        <w:fldChar w:fldCharType="end"/>
      </w:r>
    </w:p>
    <w:p>
      <w:pPr>
        <w:pStyle w:val="32"/>
        <w:tabs>
          <w:tab w:val="right" w:leader="dot" w:pos="8306"/>
        </w:tabs>
      </w:pPr>
      <w:r>
        <w:fldChar w:fldCharType="begin"/>
      </w:r>
      <w:r>
        <w:instrText xml:space="preserve">HYPERLINK  \l "_Toc17119" </w:instrText>
      </w:r>
      <w:r>
        <w:fldChar w:fldCharType="separate"/>
      </w:r>
      <w:r>
        <w:rPr>
          <w:rFonts w:hint="eastAsia"/>
        </w:rPr>
        <w:t>附件四：中标通知书</w:t>
      </w:r>
      <w:r>
        <w:tab/>
      </w:r>
      <w:r>
        <w:fldChar w:fldCharType="begin"/>
      </w:r>
      <w:r>
        <w:instrText xml:space="preserve"> PAGEREF _Toc17119 </w:instrText>
      </w:r>
      <w:r>
        <w:fldChar w:fldCharType="separate"/>
      </w:r>
      <w:r>
        <w:t>24</w:t>
      </w:r>
      <w:r>
        <w:fldChar w:fldCharType="end"/>
      </w:r>
      <w:r>
        <w:fldChar w:fldCharType="end"/>
      </w:r>
    </w:p>
    <w:p>
      <w:pPr>
        <w:pStyle w:val="32"/>
        <w:tabs>
          <w:tab w:val="right" w:leader="dot" w:pos="8306"/>
        </w:tabs>
      </w:pPr>
      <w:r>
        <w:fldChar w:fldCharType="begin"/>
      </w:r>
      <w:r>
        <w:instrText xml:space="preserve">HYPERLINK  \l "_Toc7141" </w:instrText>
      </w:r>
      <w:r>
        <w:fldChar w:fldCharType="separate"/>
      </w:r>
      <w:r>
        <w:rPr>
          <w:rFonts w:hint="eastAsia"/>
        </w:rPr>
        <w:t>附件五：确认通知</w:t>
      </w:r>
      <w:r>
        <w:tab/>
      </w:r>
      <w:r>
        <w:fldChar w:fldCharType="begin"/>
      </w:r>
      <w:r>
        <w:instrText xml:space="preserve"> PAGEREF _Toc7141 </w:instrText>
      </w:r>
      <w:r>
        <w:fldChar w:fldCharType="separate"/>
      </w:r>
      <w:r>
        <w:t>26</w:t>
      </w:r>
      <w:r>
        <w:fldChar w:fldCharType="end"/>
      </w:r>
      <w:r>
        <w:fldChar w:fldCharType="end"/>
      </w:r>
    </w:p>
    <w:p>
      <w:pPr>
        <w:pStyle w:val="26"/>
        <w:tabs>
          <w:tab w:val="right" w:leader="dot" w:pos="8306"/>
        </w:tabs>
      </w:pPr>
      <w:r>
        <w:fldChar w:fldCharType="begin"/>
      </w:r>
      <w:r>
        <w:instrText xml:space="preserve">HYPERLINK  \l "_Toc31636" </w:instrText>
      </w:r>
      <w:r>
        <w:fldChar w:fldCharType="separate"/>
      </w:r>
      <w:r>
        <w:rPr>
          <w:rFonts w:hint="eastAsia"/>
        </w:rPr>
        <w:t>第三章 评标办法</w:t>
      </w:r>
      <w:r>
        <w:tab/>
      </w:r>
      <w:r>
        <w:fldChar w:fldCharType="begin"/>
      </w:r>
      <w:r>
        <w:instrText xml:space="preserve"> PAGEREF _Toc31636 </w:instrText>
      </w:r>
      <w:r>
        <w:fldChar w:fldCharType="separate"/>
      </w:r>
      <w:r>
        <w:t>27</w:t>
      </w:r>
      <w:r>
        <w:fldChar w:fldCharType="end"/>
      </w:r>
      <w:r>
        <w:fldChar w:fldCharType="end"/>
      </w:r>
    </w:p>
    <w:p>
      <w:pPr>
        <w:pStyle w:val="32"/>
        <w:tabs>
          <w:tab w:val="right" w:leader="dot" w:pos="8306"/>
        </w:tabs>
      </w:pPr>
      <w:r>
        <w:fldChar w:fldCharType="begin"/>
      </w:r>
      <w:r>
        <w:instrText xml:space="preserve">HYPERLINK  \l "_Toc3951" </w:instrText>
      </w:r>
      <w:r>
        <w:fldChar w:fldCharType="separate"/>
      </w:r>
      <w:r>
        <w:rPr>
          <w:rFonts w:hint="eastAsia" w:ascii="宋体" w:hAnsi="宋体"/>
          <w:b/>
          <w:kern w:val="0"/>
          <w:szCs w:val="32"/>
        </w:rPr>
        <w:t>一、</w:t>
      </w:r>
      <w:r>
        <w:rPr>
          <w:rFonts w:hint="eastAsia" w:ascii="宋体" w:hAnsi="宋体"/>
          <w:b/>
          <w:kern w:val="0"/>
          <w:szCs w:val="30"/>
        </w:rPr>
        <w:t>综合评分法</w:t>
      </w:r>
      <w:r>
        <w:tab/>
      </w:r>
      <w:r>
        <w:fldChar w:fldCharType="begin"/>
      </w:r>
      <w:r>
        <w:instrText xml:space="preserve"> PAGEREF _Toc3951 </w:instrText>
      </w:r>
      <w:r>
        <w:fldChar w:fldCharType="separate"/>
      </w:r>
      <w:r>
        <w:t>27</w:t>
      </w:r>
      <w:r>
        <w:fldChar w:fldCharType="end"/>
      </w:r>
      <w:r>
        <w:fldChar w:fldCharType="end"/>
      </w:r>
    </w:p>
    <w:p>
      <w:pPr>
        <w:pStyle w:val="26"/>
        <w:tabs>
          <w:tab w:val="right" w:leader="dot" w:pos="8306"/>
        </w:tabs>
      </w:pPr>
      <w:r>
        <w:fldChar w:fldCharType="begin"/>
      </w:r>
      <w:r>
        <w:instrText xml:space="preserve">HYPERLINK  \l "_Toc8600" </w:instrText>
      </w:r>
      <w:r>
        <w:fldChar w:fldCharType="separate"/>
      </w:r>
      <w:r>
        <w:rPr>
          <w:rFonts w:hint="eastAsia"/>
        </w:rPr>
        <w:t>第四章 合同条款及格式</w:t>
      </w:r>
      <w:r>
        <w:tab/>
      </w:r>
      <w:r>
        <w:fldChar w:fldCharType="begin"/>
      </w:r>
      <w:r>
        <w:instrText xml:space="preserve"> PAGEREF _Toc8600 </w:instrText>
      </w:r>
      <w:r>
        <w:fldChar w:fldCharType="separate"/>
      </w:r>
      <w:r>
        <w:t>34</w:t>
      </w:r>
      <w:r>
        <w:fldChar w:fldCharType="end"/>
      </w:r>
      <w:r>
        <w:fldChar w:fldCharType="end"/>
      </w:r>
    </w:p>
    <w:p>
      <w:pPr>
        <w:pStyle w:val="26"/>
        <w:tabs>
          <w:tab w:val="right" w:leader="dot" w:pos="8306"/>
        </w:tabs>
      </w:pPr>
      <w:r>
        <w:fldChar w:fldCharType="begin"/>
      </w:r>
      <w:r>
        <w:instrText xml:space="preserve">HYPERLINK  \l "_Toc3739" </w:instrText>
      </w:r>
      <w:r>
        <w:fldChar w:fldCharType="separate"/>
      </w:r>
      <w:r>
        <w:rPr>
          <w:rFonts w:hint="eastAsia" w:ascii="宋体" w:hAnsi="宋体" w:cs="宋体"/>
          <w:kern w:val="0"/>
        </w:rPr>
        <w:t>第一部分 合同协议书</w:t>
      </w:r>
      <w:r>
        <w:tab/>
      </w:r>
      <w:r>
        <w:fldChar w:fldCharType="begin"/>
      </w:r>
      <w:r>
        <w:instrText xml:space="preserve"> PAGEREF _Toc3739 </w:instrText>
      </w:r>
      <w:r>
        <w:fldChar w:fldCharType="separate"/>
      </w:r>
      <w:r>
        <w:t>34</w:t>
      </w:r>
      <w:r>
        <w:fldChar w:fldCharType="end"/>
      </w:r>
      <w:r>
        <w:fldChar w:fldCharType="end"/>
      </w:r>
    </w:p>
    <w:p>
      <w:pPr>
        <w:pStyle w:val="26"/>
        <w:tabs>
          <w:tab w:val="right" w:leader="dot" w:pos="8306"/>
        </w:tabs>
      </w:pPr>
      <w:r>
        <w:fldChar w:fldCharType="begin"/>
      </w:r>
      <w:r>
        <w:instrText xml:space="preserve">HYPERLINK  \l "_Toc30473" </w:instrText>
      </w:r>
      <w:r>
        <w:fldChar w:fldCharType="separate"/>
      </w:r>
      <w:r>
        <w:rPr>
          <w:rFonts w:hint="eastAsia" w:ascii="宋体" w:hAnsi="宋体" w:cs="宋体"/>
          <w:kern w:val="0"/>
        </w:rPr>
        <w:t>第二部分 通用合同条款</w:t>
      </w:r>
      <w:r>
        <w:tab/>
      </w:r>
      <w:r>
        <w:fldChar w:fldCharType="begin"/>
      </w:r>
      <w:r>
        <w:instrText xml:space="preserve"> PAGEREF _Toc30473 </w:instrText>
      </w:r>
      <w:r>
        <w:fldChar w:fldCharType="separate"/>
      </w:r>
      <w:r>
        <w:t>37</w:t>
      </w:r>
      <w:r>
        <w:fldChar w:fldCharType="end"/>
      </w:r>
      <w:r>
        <w:fldChar w:fldCharType="end"/>
      </w:r>
    </w:p>
    <w:p>
      <w:pPr>
        <w:pStyle w:val="26"/>
        <w:tabs>
          <w:tab w:val="right" w:leader="dot" w:pos="8306"/>
        </w:tabs>
      </w:pPr>
      <w:r>
        <w:fldChar w:fldCharType="begin"/>
      </w:r>
      <w:r>
        <w:instrText xml:space="preserve">HYPERLINK  \l "_Toc8587" </w:instrText>
      </w:r>
      <w:r>
        <w:fldChar w:fldCharType="separate"/>
      </w:r>
      <w:r>
        <w:rPr>
          <w:rFonts w:hint="eastAsia" w:ascii="宋体" w:hAnsi="宋体" w:cs="宋体"/>
          <w:kern w:val="0"/>
        </w:rPr>
        <w:t>第三部分 专用合同条款</w:t>
      </w:r>
      <w:r>
        <w:tab/>
      </w:r>
      <w:r>
        <w:fldChar w:fldCharType="begin"/>
      </w:r>
      <w:r>
        <w:instrText xml:space="preserve"> PAGEREF _Toc8587 </w:instrText>
      </w:r>
      <w:r>
        <w:fldChar w:fldCharType="separate"/>
      </w:r>
      <w:r>
        <w:t>37</w:t>
      </w:r>
      <w:r>
        <w:fldChar w:fldCharType="end"/>
      </w:r>
      <w:r>
        <w:fldChar w:fldCharType="end"/>
      </w:r>
    </w:p>
    <w:p>
      <w:pPr>
        <w:pStyle w:val="26"/>
        <w:tabs>
          <w:tab w:val="right" w:leader="dot" w:pos="8306"/>
        </w:tabs>
      </w:pPr>
      <w:r>
        <w:fldChar w:fldCharType="begin"/>
      </w:r>
      <w:r>
        <w:instrText xml:space="preserve">HYPERLINK  \l "_Toc24595" </w:instrText>
      </w:r>
      <w:r>
        <w:fldChar w:fldCharType="separate"/>
      </w:r>
      <w:r>
        <w:rPr>
          <w:rFonts w:hint="eastAsia"/>
          <w:kern w:val="44"/>
          <w:szCs w:val="44"/>
        </w:rPr>
        <w:t>第五章 工程量清单</w:t>
      </w:r>
      <w:r>
        <w:tab/>
      </w:r>
      <w:r>
        <w:fldChar w:fldCharType="begin"/>
      </w:r>
      <w:r>
        <w:instrText xml:space="preserve"> PAGEREF _Toc24595 </w:instrText>
      </w:r>
      <w:r>
        <w:fldChar w:fldCharType="separate"/>
      </w:r>
      <w:r>
        <w:t>53</w:t>
      </w:r>
      <w:r>
        <w:fldChar w:fldCharType="end"/>
      </w:r>
      <w:r>
        <w:fldChar w:fldCharType="end"/>
      </w:r>
    </w:p>
    <w:p>
      <w:pPr>
        <w:pStyle w:val="32"/>
        <w:tabs>
          <w:tab w:val="right" w:leader="dot" w:pos="8306"/>
        </w:tabs>
      </w:pPr>
      <w:r>
        <w:fldChar w:fldCharType="begin"/>
      </w:r>
      <w:r>
        <w:instrText xml:space="preserve">HYPERLINK  \l "_Toc28165" </w:instrText>
      </w:r>
      <w:r>
        <w:fldChar w:fldCharType="separate"/>
      </w:r>
      <w:r>
        <w:rPr>
          <w:rFonts w:hint="eastAsia"/>
        </w:rPr>
        <w:t>1. 工程量清单说明</w:t>
      </w:r>
      <w:r>
        <w:tab/>
      </w:r>
      <w:r>
        <w:fldChar w:fldCharType="begin"/>
      </w:r>
      <w:r>
        <w:instrText xml:space="preserve"> PAGEREF _Toc28165 </w:instrText>
      </w:r>
      <w:r>
        <w:fldChar w:fldCharType="separate"/>
      </w:r>
      <w:r>
        <w:t>53</w:t>
      </w:r>
      <w:r>
        <w:fldChar w:fldCharType="end"/>
      </w:r>
      <w:r>
        <w:fldChar w:fldCharType="end"/>
      </w:r>
    </w:p>
    <w:p>
      <w:pPr>
        <w:pStyle w:val="32"/>
        <w:tabs>
          <w:tab w:val="right" w:leader="dot" w:pos="8306"/>
        </w:tabs>
      </w:pPr>
      <w:r>
        <w:fldChar w:fldCharType="begin"/>
      </w:r>
      <w:r>
        <w:instrText xml:space="preserve">HYPERLINK  \l "_Toc7301" </w:instrText>
      </w:r>
      <w:r>
        <w:fldChar w:fldCharType="separate"/>
      </w:r>
      <w:r>
        <w:rPr>
          <w:rFonts w:hint="eastAsia"/>
        </w:rPr>
        <w:t>2. 投标报价说明</w:t>
      </w:r>
      <w:r>
        <w:tab/>
      </w:r>
      <w:r>
        <w:fldChar w:fldCharType="begin"/>
      </w:r>
      <w:r>
        <w:instrText xml:space="preserve"> PAGEREF _Toc7301 </w:instrText>
      </w:r>
      <w:r>
        <w:fldChar w:fldCharType="separate"/>
      </w:r>
      <w:r>
        <w:t>53</w:t>
      </w:r>
      <w:r>
        <w:fldChar w:fldCharType="end"/>
      </w:r>
      <w:r>
        <w:fldChar w:fldCharType="end"/>
      </w:r>
    </w:p>
    <w:p>
      <w:pPr>
        <w:pStyle w:val="32"/>
        <w:tabs>
          <w:tab w:val="right" w:leader="dot" w:pos="8306"/>
        </w:tabs>
      </w:pPr>
      <w:r>
        <w:fldChar w:fldCharType="begin"/>
      </w:r>
      <w:r>
        <w:instrText xml:space="preserve">HYPERLINK  \l "_Toc10545" </w:instrText>
      </w:r>
      <w:r>
        <w:fldChar w:fldCharType="separate"/>
      </w:r>
      <w:r>
        <w:rPr>
          <w:rFonts w:hint="eastAsia"/>
        </w:rPr>
        <w:t>3. 其他说明</w:t>
      </w:r>
      <w:r>
        <w:tab/>
      </w:r>
      <w:r>
        <w:fldChar w:fldCharType="begin"/>
      </w:r>
      <w:r>
        <w:instrText xml:space="preserve"> PAGEREF _Toc10545 </w:instrText>
      </w:r>
      <w:r>
        <w:fldChar w:fldCharType="separate"/>
      </w:r>
      <w:r>
        <w:t>53</w:t>
      </w:r>
      <w:r>
        <w:fldChar w:fldCharType="end"/>
      </w:r>
      <w:r>
        <w:fldChar w:fldCharType="end"/>
      </w:r>
    </w:p>
    <w:p>
      <w:pPr>
        <w:pStyle w:val="26"/>
        <w:tabs>
          <w:tab w:val="right" w:leader="dot" w:pos="8306"/>
        </w:tabs>
      </w:pPr>
      <w:r>
        <w:fldChar w:fldCharType="begin"/>
      </w:r>
      <w:r>
        <w:instrText xml:space="preserve">HYPERLINK  \l "_Toc5911" </w:instrText>
      </w:r>
      <w:r>
        <w:fldChar w:fldCharType="separate"/>
      </w:r>
      <w:r>
        <w:rPr>
          <w:rFonts w:hint="eastAsia"/>
          <w:kern w:val="44"/>
          <w:szCs w:val="44"/>
        </w:rPr>
        <w:t xml:space="preserve">第六章 </w:t>
      </w:r>
      <w:r>
        <w:rPr>
          <w:rFonts w:hint="eastAsia" w:ascii="方正黑体简体" w:hAnsi="宋体" w:eastAsia="方正黑体简体"/>
          <w:kern w:val="0"/>
          <w:szCs w:val="40"/>
          <w:lang w:val="zh-CN"/>
        </w:rPr>
        <w:t>技术标准与要求</w:t>
      </w:r>
      <w:r>
        <w:tab/>
      </w:r>
      <w:r>
        <w:fldChar w:fldCharType="begin"/>
      </w:r>
      <w:r>
        <w:instrText xml:space="preserve"> PAGEREF _Toc5911 </w:instrText>
      </w:r>
      <w:r>
        <w:fldChar w:fldCharType="separate"/>
      </w:r>
      <w:r>
        <w:t>54</w:t>
      </w:r>
      <w:r>
        <w:fldChar w:fldCharType="end"/>
      </w:r>
      <w:r>
        <w:fldChar w:fldCharType="end"/>
      </w:r>
    </w:p>
    <w:p>
      <w:pPr>
        <w:pStyle w:val="32"/>
        <w:tabs>
          <w:tab w:val="right" w:leader="dot" w:pos="8306"/>
        </w:tabs>
      </w:pPr>
      <w:r>
        <w:fldChar w:fldCharType="begin"/>
      </w:r>
      <w:r>
        <w:instrText xml:space="preserve">HYPERLINK  \l "_Toc15444" </w:instrText>
      </w:r>
      <w:r>
        <w:fldChar w:fldCharType="separate"/>
      </w:r>
      <w:r>
        <w:rPr>
          <w:rFonts w:hint="eastAsia"/>
          <w:szCs w:val="24"/>
        </w:rPr>
        <w:t>二、招标项目中央空调系统工程量清单</w:t>
      </w:r>
      <w:r>
        <w:tab/>
      </w:r>
      <w:r>
        <w:fldChar w:fldCharType="begin"/>
      </w:r>
      <w:r>
        <w:instrText xml:space="preserve"> PAGEREF _Toc15444 </w:instrText>
      </w:r>
      <w:r>
        <w:fldChar w:fldCharType="separate"/>
      </w:r>
      <w:r>
        <w:t>54</w:t>
      </w:r>
      <w:r>
        <w:fldChar w:fldCharType="end"/>
      </w:r>
      <w:r>
        <w:fldChar w:fldCharType="end"/>
      </w:r>
    </w:p>
    <w:p>
      <w:pPr>
        <w:pStyle w:val="32"/>
        <w:tabs>
          <w:tab w:val="right" w:leader="dot" w:pos="8306"/>
        </w:tabs>
      </w:pPr>
      <w:r>
        <w:fldChar w:fldCharType="begin"/>
      </w:r>
      <w:r>
        <w:instrText xml:space="preserve">HYPERLINK  \l "_Toc16320" </w:instrText>
      </w:r>
      <w:r>
        <w:fldChar w:fldCharType="separate"/>
      </w:r>
      <w:r>
        <w:rPr>
          <w:rFonts w:hint="eastAsia"/>
          <w:szCs w:val="24"/>
        </w:rPr>
        <w:t>三、招标项目直燃机房要求</w:t>
      </w:r>
      <w:r>
        <w:tab/>
      </w:r>
      <w:r>
        <w:fldChar w:fldCharType="begin"/>
      </w:r>
      <w:r>
        <w:instrText xml:space="preserve"> PAGEREF _Toc16320 </w:instrText>
      </w:r>
      <w:r>
        <w:fldChar w:fldCharType="separate"/>
      </w:r>
      <w:r>
        <w:t>54</w:t>
      </w:r>
      <w:r>
        <w:fldChar w:fldCharType="end"/>
      </w:r>
      <w:r>
        <w:fldChar w:fldCharType="end"/>
      </w:r>
    </w:p>
    <w:p>
      <w:pPr>
        <w:pStyle w:val="32"/>
        <w:tabs>
          <w:tab w:val="right" w:leader="dot" w:pos="8306"/>
        </w:tabs>
      </w:pPr>
      <w:r>
        <w:fldChar w:fldCharType="begin"/>
      </w:r>
      <w:r>
        <w:instrText xml:space="preserve">HYPERLINK  \l "_Toc23622" </w:instrText>
      </w:r>
      <w:r>
        <w:fldChar w:fldCharType="separate"/>
      </w:r>
      <w:r>
        <w:rPr>
          <w:szCs w:val="24"/>
        </w:rPr>
        <w:t>四</w:t>
      </w:r>
      <w:r>
        <w:rPr>
          <w:rFonts w:hint="eastAsia"/>
          <w:szCs w:val="24"/>
        </w:rPr>
        <w:t>、招标项目中央空调系统主要设备技术参数及性能要求</w:t>
      </w:r>
      <w:r>
        <w:tab/>
      </w:r>
      <w:r>
        <w:fldChar w:fldCharType="begin"/>
      </w:r>
      <w:r>
        <w:instrText xml:space="preserve"> PAGEREF _Toc23622 </w:instrText>
      </w:r>
      <w:r>
        <w:fldChar w:fldCharType="separate"/>
      </w:r>
      <w:r>
        <w:t>54</w:t>
      </w:r>
      <w:r>
        <w:fldChar w:fldCharType="end"/>
      </w:r>
      <w:r>
        <w:fldChar w:fldCharType="end"/>
      </w:r>
    </w:p>
    <w:p>
      <w:pPr>
        <w:pStyle w:val="26"/>
        <w:tabs>
          <w:tab w:val="right" w:leader="dot" w:pos="8306"/>
        </w:tabs>
      </w:pPr>
      <w:r>
        <w:fldChar w:fldCharType="begin"/>
      </w:r>
      <w:r>
        <w:instrText xml:space="preserve">HYPERLINK  \l "_Toc20935" </w:instrText>
      </w:r>
      <w:r>
        <w:fldChar w:fldCharType="separate"/>
      </w:r>
      <w:r>
        <w:rPr>
          <w:rFonts w:hint="eastAsia"/>
        </w:rPr>
        <w:t>第七章  图  纸</w:t>
      </w:r>
      <w:r>
        <w:tab/>
      </w:r>
      <w:r>
        <w:fldChar w:fldCharType="begin"/>
      </w:r>
      <w:r>
        <w:instrText xml:space="preserve"> PAGEREF _Toc20935 </w:instrText>
      </w:r>
      <w:r>
        <w:fldChar w:fldCharType="separate"/>
      </w:r>
      <w:r>
        <w:t>64</w:t>
      </w:r>
      <w:r>
        <w:fldChar w:fldCharType="end"/>
      </w:r>
      <w:r>
        <w:fldChar w:fldCharType="end"/>
      </w:r>
    </w:p>
    <w:p>
      <w:pPr>
        <w:pStyle w:val="26"/>
        <w:tabs>
          <w:tab w:val="right" w:leader="dot" w:pos="8306"/>
        </w:tabs>
      </w:pPr>
      <w:r>
        <w:fldChar w:fldCharType="begin"/>
      </w:r>
      <w:r>
        <w:instrText xml:space="preserve">HYPERLINK  \l "_Toc4534" </w:instrText>
      </w:r>
      <w:r>
        <w:fldChar w:fldCharType="separate"/>
      </w:r>
      <w:r>
        <w:rPr>
          <w:rFonts w:hint="eastAsia"/>
        </w:rPr>
        <w:t>第八章  投标文件格式</w:t>
      </w:r>
      <w:r>
        <w:tab/>
      </w:r>
      <w:r>
        <w:fldChar w:fldCharType="begin"/>
      </w:r>
      <w:r>
        <w:instrText xml:space="preserve"> PAGEREF _Toc4534 </w:instrText>
      </w:r>
      <w:r>
        <w:fldChar w:fldCharType="separate"/>
      </w:r>
      <w:r>
        <w:t>65</w:t>
      </w:r>
      <w:r>
        <w:fldChar w:fldCharType="end"/>
      </w:r>
      <w:r>
        <w:fldChar w:fldCharType="end"/>
      </w:r>
    </w:p>
    <w:p>
      <w:pPr>
        <w:pStyle w:val="32"/>
        <w:tabs>
          <w:tab w:val="right" w:leader="dot" w:pos="8306"/>
        </w:tabs>
      </w:pPr>
      <w:r>
        <w:fldChar w:fldCharType="begin"/>
      </w:r>
      <w:r>
        <w:instrText xml:space="preserve">HYPERLINK  \l "_Toc11140" </w:instrText>
      </w:r>
      <w:r>
        <w:fldChar w:fldCharType="separate"/>
      </w:r>
      <w:r>
        <w:rPr>
          <w:rFonts w:hint="eastAsia"/>
        </w:rPr>
        <w:t>目    录</w:t>
      </w:r>
      <w:r>
        <w:tab/>
      </w:r>
      <w:r>
        <w:fldChar w:fldCharType="begin"/>
      </w:r>
      <w:r>
        <w:instrText xml:space="preserve"> PAGEREF _Toc11140 </w:instrText>
      </w:r>
      <w:r>
        <w:fldChar w:fldCharType="separate"/>
      </w:r>
      <w:r>
        <w:t>66</w:t>
      </w:r>
      <w:r>
        <w:fldChar w:fldCharType="end"/>
      </w:r>
      <w:r>
        <w:fldChar w:fldCharType="end"/>
      </w:r>
    </w:p>
    <w:p>
      <w:pPr>
        <w:pStyle w:val="32"/>
        <w:tabs>
          <w:tab w:val="right" w:leader="dot" w:pos="8306"/>
        </w:tabs>
      </w:pPr>
      <w:r>
        <w:fldChar w:fldCharType="begin"/>
      </w:r>
      <w:r>
        <w:instrText xml:space="preserve">HYPERLINK  \l "_Toc24699" </w:instrText>
      </w:r>
      <w:r>
        <w:fldChar w:fldCharType="separate"/>
      </w:r>
      <w:r>
        <w:t>一、投标函及投标函附录</w:t>
      </w:r>
      <w:r>
        <w:tab/>
      </w:r>
      <w:r>
        <w:fldChar w:fldCharType="begin"/>
      </w:r>
      <w:r>
        <w:instrText xml:space="preserve"> PAGEREF _Toc24699 </w:instrText>
      </w:r>
      <w:r>
        <w:fldChar w:fldCharType="separate"/>
      </w:r>
      <w:r>
        <w:t>67</w:t>
      </w:r>
      <w:r>
        <w:fldChar w:fldCharType="end"/>
      </w:r>
      <w:r>
        <w:fldChar w:fldCharType="end"/>
      </w:r>
    </w:p>
    <w:p>
      <w:pPr>
        <w:pStyle w:val="19"/>
        <w:tabs>
          <w:tab w:val="right" w:leader="dot" w:pos="8306"/>
        </w:tabs>
      </w:pPr>
      <w:r>
        <w:fldChar w:fldCharType="begin"/>
      </w:r>
      <w:r>
        <w:instrText xml:space="preserve">HYPERLINK  \l "_Toc19679" </w:instrText>
      </w:r>
      <w:r>
        <w:fldChar w:fldCharType="separate"/>
      </w:r>
      <w:r>
        <w:t>（一）投标函</w:t>
      </w:r>
      <w:r>
        <w:tab/>
      </w:r>
      <w:r>
        <w:fldChar w:fldCharType="begin"/>
      </w:r>
      <w:r>
        <w:instrText xml:space="preserve"> PAGEREF _Toc19679 </w:instrText>
      </w:r>
      <w:r>
        <w:fldChar w:fldCharType="separate"/>
      </w:r>
      <w:r>
        <w:t>67</w:t>
      </w:r>
      <w:r>
        <w:fldChar w:fldCharType="end"/>
      </w:r>
      <w:r>
        <w:fldChar w:fldCharType="end"/>
      </w:r>
    </w:p>
    <w:p>
      <w:pPr>
        <w:pStyle w:val="19"/>
        <w:tabs>
          <w:tab w:val="right" w:leader="dot" w:pos="8306"/>
        </w:tabs>
      </w:pPr>
      <w:r>
        <w:fldChar w:fldCharType="begin"/>
      </w:r>
      <w:r>
        <w:instrText xml:space="preserve">HYPERLINK  \l "_Toc28293" </w:instrText>
      </w:r>
      <w:r>
        <w:fldChar w:fldCharType="separate"/>
      </w:r>
      <w:r>
        <w:t>（二）投标函附录</w:t>
      </w:r>
      <w:r>
        <w:tab/>
      </w:r>
      <w:r>
        <w:fldChar w:fldCharType="begin"/>
      </w:r>
      <w:r>
        <w:instrText xml:space="preserve"> PAGEREF _Toc28293 </w:instrText>
      </w:r>
      <w:r>
        <w:fldChar w:fldCharType="separate"/>
      </w:r>
      <w:r>
        <w:t>68</w:t>
      </w:r>
      <w:r>
        <w:fldChar w:fldCharType="end"/>
      </w:r>
      <w:r>
        <w:fldChar w:fldCharType="end"/>
      </w:r>
    </w:p>
    <w:p>
      <w:pPr>
        <w:pStyle w:val="32"/>
        <w:tabs>
          <w:tab w:val="right" w:leader="dot" w:pos="8306"/>
        </w:tabs>
      </w:pPr>
      <w:r>
        <w:fldChar w:fldCharType="begin"/>
      </w:r>
      <w:r>
        <w:instrText xml:space="preserve">HYPERLINK  \l "_Toc31505" </w:instrText>
      </w:r>
      <w:r>
        <w:fldChar w:fldCharType="separate"/>
      </w:r>
      <w:r>
        <w:t>二、法定代表人身份证明</w:t>
      </w:r>
      <w:r>
        <w:tab/>
      </w:r>
      <w:r>
        <w:fldChar w:fldCharType="begin"/>
      </w:r>
      <w:r>
        <w:instrText xml:space="preserve"> PAGEREF _Toc31505 </w:instrText>
      </w:r>
      <w:r>
        <w:fldChar w:fldCharType="separate"/>
      </w:r>
      <w:r>
        <w:t>69</w:t>
      </w:r>
      <w:r>
        <w:fldChar w:fldCharType="end"/>
      </w:r>
      <w:r>
        <w:fldChar w:fldCharType="end"/>
      </w:r>
    </w:p>
    <w:p>
      <w:pPr>
        <w:pStyle w:val="32"/>
        <w:tabs>
          <w:tab w:val="right" w:leader="dot" w:pos="8306"/>
        </w:tabs>
      </w:pPr>
      <w:r>
        <w:fldChar w:fldCharType="begin"/>
      </w:r>
      <w:r>
        <w:instrText xml:space="preserve">HYPERLINK  \l "_Toc20259" </w:instrText>
      </w:r>
      <w:r>
        <w:fldChar w:fldCharType="separate"/>
      </w:r>
      <w:r>
        <w:t>授权委托书</w:t>
      </w:r>
      <w:r>
        <w:tab/>
      </w:r>
      <w:r>
        <w:fldChar w:fldCharType="begin"/>
      </w:r>
      <w:r>
        <w:instrText xml:space="preserve"> PAGEREF _Toc20259 </w:instrText>
      </w:r>
      <w:r>
        <w:fldChar w:fldCharType="separate"/>
      </w:r>
      <w:r>
        <w:t>70</w:t>
      </w:r>
      <w:r>
        <w:fldChar w:fldCharType="end"/>
      </w:r>
      <w:r>
        <w:fldChar w:fldCharType="end"/>
      </w:r>
    </w:p>
    <w:p>
      <w:pPr>
        <w:pStyle w:val="32"/>
        <w:tabs>
          <w:tab w:val="right" w:leader="dot" w:pos="8306"/>
        </w:tabs>
      </w:pPr>
      <w:r>
        <w:fldChar w:fldCharType="begin"/>
      </w:r>
      <w:r>
        <w:instrText xml:space="preserve">HYPERLINK  \l "_Toc15163" </w:instrText>
      </w:r>
      <w:r>
        <w:fldChar w:fldCharType="separate"/>
      </w:r>
      <w:r>
        <w:rPr>
          <w:rFonts w:hint="eastAsia"/>
        </w:rPr>
        <w:t>三</w:t>
      </w:r>
      <w:r>
        <w:t>、投标保证金</w:t>
      </w:r>
      <w:r>
        <w:tab/>
      </w:r>
      <w:r>
        <w:fldChar w:fldCharType="begin"/>
      </w:r>
      <w:r>
        <w:instrText xml:space="preserve"> PAGEREF _Toc15163 </w:instrText>
      </w:r>
      <w:r>
        <w:fldChar w:fldCharType="separate"/>
      </w:r>
      <w:r>
        <w:t>71</w:t>
      </w:r>
      <w:r>
        <w:fldChar w:fldCharType="end"/>
      </w:r>
      <w:r>
        <w:fldChar w:fldCharType="end"/>
      </w:r>
    </w:p>
    <w:p>
      <w:pPr>
        <w:pStyle w:val="32"/>
        <w:tabs>
          <w:tab w:val="right" w:leader="dot" w:pos="8306"/>
        </w:tabs>
      </w:pPr>
      <w:r>
        <w:fldChar w:fldCharType="begin"/>
      </w:r>
      <w:r>
        <w:instrText xml:space="preserve">HYPERLINK  \l "_Toc32190" </w:instrText>
      </w:r>
      <w:r>
        <w:fldChar w:fldCharType="separate"/>
      </w:r>
      <w:r>
        <w:rPr>
          <w:rFonts w:hint="eastAsia"/>
        </w:rPr>
        <w:t>四</w:t>
      </w:r>
      <w:r>
        <w:t>、已标价工程量清单</w:t>
      </w:r>
      <w:r>
        <w:tab/>
      </w:r>
      <w:r>
        <w:fldChar w:fldCharType="begin"/>
      </w:r>
      <w:r>
        <w:instrText xml:space="preserve"> PAGEREF _Toc32190 </w:instrText>
      </w:r>
      <w:r>
        <w:fldChar w:fldCharType="separate"/>
      </w:r>
      <w:r>
        <w:t>72</w:t>
      </w:r>
      <w:r>
        <w:fldChar w:fldCharType="end"/>
      </w:r>
      <w:r>
        <w:fldChar w:fldCharType="end"/>
      </w:r>
    </w:p>
    <w:p>
      <w:pPr>
        <w:pStyle w:val="32"/>
        <w:tabs>
          <w:tab w:val="right" w:leader="dot" w:pos="8306"/>
        </w:tabs>
      </w:pPr>
      <w:r>
        <w:fldChar w:fldCharType="begin"/>
      </w:r>
      <w:r>
        <w:instrText xml:space="preserve">HYPERLINK  \l "_Toc8897" </w:instrText>
      </w:r>
      <w:r>
        <w:fldChar w:fldCharType="separate"/>
      </w:r>
      <w:r>
        <w:rPr>
          <w:rFonts w:hint="eastAsia"/>
        </w:rPr>
        <w:t>五</w:t>
      </w:r>
      <w:r>
        <w:t>、施工组织设计</w:t>
      </w:r>
      <w:r>
        <w:tab/>
      </w:r>
      <w:r>
        <w:fldChar w:fldCharType="begin"/>
      </w:r>
      <w:r>
        <w:instrText xml:space="preserve"> PAGEREF _Toc8897 </w:instrText>
      </w:r>
      <w:r>
        <w:fldChar w:fldCharType="separate"/>
      </w:r>
      <w:r>
        <w:t>73</w:t>
      </w:r>
      <w:r>
        <w:fldChar w:fldCharType="end"/>
      </w:r>
      <w:r>
        <w:fldChar w:fldCharType="end"/>
      </w:r>
    </w:p>
    <w:p>
      <w:pPr>
        <w:pStyle w:val="19"/>
        <w:tabs>
          <w:tab w:val="right" w:leader="dot" w:pos="8306"/>
        </w:tabs>
      </w:pPr>
      <w:r>
        <w:fldChar w:fldCharType="begin"/>
      </w:r>
      <w:r>
        <w:instrText xml:space="preserve">HYPERLINK  \l "_Toc11074" </w:instrText>
      </w:r>
      <w:r>
        <w:fldChar w:fldCharType="separate"/>
      </w:r>
      <w:r>
        <w:t>附表一：拟投入本</w:t>
      </w:r>
      <w:r>
        <w:rPr>
          <w:rFonts w:hint="eastAsia"/>
        </w:rPr>
        <w:t>项目</w:t>
      </w:r>
      <w:r>
        <w:t>的主要施工设备表</w:t>
      </w:r>
      <w:r>
        <w:tab/>
      </w:r>
      <w:r>
        <w:fldChar w:fldCharType="begin"/>
      </w:r>
      <w:r>
        <w:instrText xml:space="preserve"> PAGEREF _Toc11074 </w:instrText>
      </w:r>
      <w:r>
        <w:fldChar w:fldCharType="separate"/>
      </w:r>
      <w:r>
        <w:t>74</w:t>
      </w:r>
      <w:r>
        <w:fldChar w:fldCharType="end"/>
      </w:r>
      <w:r>
        <w:fldChar w:fldCharType="end"/>
      </w:r>
    </w:p>
    <w:p>
      <w:pPr>
        <w:pStyle w:val="19"/>
        <w:tabs>
          <w:tab w:val="right" w:leader="dot" w:pos="8306"/>
        </w:tabs>
      </w:pPr>
      <w:r>
        <w:fldChar w:fldCharType="begin"/>
      </w:r>
      <w:r>
        <w:instrText xml:space="preserve">HYPERLINK  \l "_Toc13209" </w:instrText>
      </w:r>
      <w:r>
        <w:fldChar w:fldCharType="separate"/>
      </w:r>
      <w:r>
        <w:t>附表</w:t>
      </w:r>
      <w:r>
        <w:rPr>
          <w:rFonts w:hint="eastAsia"/>
        </w:rPr>
        <w:t>二</w:t>
      </w:r>
      <w:r>
        <w:t>：劳动力计划表</w:t>
      </w:r>
      <w:r>
        <w:tab/>
      </w:r>
      <w:r>
        <w:fldChar w:fldCharType="begin"/>
      </w:r>
      <w:r>
        <w:instrText xml:space="preserve"> PAGEREF _Toc13209 </w:instrText>
      </w:r>
      <w:r>
        <w:fldChar w:fldCharType="separate"/>
      </w:r>
      <w:r>
        <w:t>75</w:t>
      </w:r>
      <w:r>
        <w:fldChar w:fldCharType="end"/>
      </w:r>
      <w:r>
        <w:fldChar w:fldCharType="end"/>
      </w:r>
    </w:p>
    <w:p>
      <w:pPr>
        <w:pStyle w:val="19"/>
        <w:tabs>
          <w:tab w:val="right" w:leader="dot" w:pos="8306"/>
        </w:tabs>
      </w:pPr>
      <w:r>
        <w:fldChar w:fldCharType="begin"/>
      </w:r>
      <w:r>
        <w:instrText xml:space="preserve">HYPERLINK  \l "_Toc23478" </w:instrText>
      </w:r>
      <w:r>
        <w:fldChar w:fldCharType="separate"/>
      </w:r>
      <w:r>
        <w:t>附表</w:t>
      </w:r>
      <w:r>
        <w:rPr>
          <w:rFonts w:hint="eastAsia"/>
        </w:rPr>
        <w:t>三</w:t>
      </w:r>
      <w:r>
        <w:t>：进度</w:t>
      </w:r>
      <w:r>
        <w:rPr>
          <w:rFonts w:hint="eastAsia"/>
        </w:rPr>
        <w:t>计划</w:t>
      </w:r>
      <w:r>
        <w:tab/>
      </w:r>
      <w:r>
        <w:fldChar w:fldCharType="begin"/>
      </w:r>
      <w:r>
        <w:instrText xml:space="preserve"> PAGEREF _Toc23478 </w:instrText>
      </w:r>
      <w:r>
        <w:fldChar w:fldCharType="separate"/>
      </w:r>
      <w:r>
        <w:t>76</w:t>
      </w:r>
      <w:r>
        <w:fldChar w:fldCharType="end"/>
      </w:r>
      <w:r>
        <w:fldChar w:fldCharType="end"/>
      </w:r>
    </w:p>
    <w:p>
      <w:pPr>
        <w:pStyle w:val="19"/>
        <w:tabs>
          <w:tab w:val="right" w:leader="dot" w:pos="8306"/>
        </w:tabs>
      </w:pPr>
      <w:r>
        <w:fldChar w:fldCharType="begin"/>
      </w:r>
      <w:r>
        <w:instrText xml:space="preserve">HYPERLINK  \l "_Toc27624" </w:instrText>
      </w:r>
      <w:r>
        <w:fldChar w:fldCharType="separate"/>
      </w:r>
      <w:r>
        <w:t>附表</w:t>
      </w:r>
      <w:r>
        <w:rPr>
          <w:rFonts w:hint="eastAsia"/>
        </w:rPr>
        <w:t>四</w:t>
      </w:r>
      <w:r>
        <w:t>：施工总平面图</w:t>
      </w:r>
      <w:r>
        <w:tab/>
      </w:r>
      <w:r>
        <w:fldChar w:fldCharType="begin"/>
      </w:r>
      <w:r>
        <w:instrText xml:space="preserve"> PAGEREF _Toc27624 </w:instrText>
      </w:r>
      <w:r>
        <w:fldChar w:fldCharType="separate"/>
      </w:r>
      <w:r>
        <w:t>77</w:t>
      </w:r>
      <w:r>
        <w:fldChar w:fldCharType="end"/>
      </w:r>
      <w:r>
        <w:fldChar w:fldCharType="end"/>
      </w:r>
    </w:p>
    <w:p>
      <w:pPr>
        <w:pStyle w:val="32"/>
        <w:tabs>
          <w:tab w:val="right" w:leader="dot" w:pos="8306"/>
        </w:tabs>
      </w:pPr>
      <w:r>
        <w:fldChar w:fldCharType="begin"/>
      </w:r>
      <w:r>
        <w:instrText xml:space="preserve">HYPERLINK  \l "_Toc32230" </w:instrText>
      </w:r>
      <w:r>
        <w:fldChar w:fldCharType="separate"/>
      </w:r>
      <w:r>
        <w:rPr>
          <w:rFonts w:hint="eastAsia"/>
        </w:rPr>
        <w:t>六</w:t>
      </w:r>
      <w:r>
        <w:t>、项目管理机构</w:t>
      </w:r>
      <w:r>
        <w:tab/>
      </w:r>
      <w:r>
        <w:fldChar w:fldCharType="begin"/>
      </w:r>
      <w:r>
        <w:instrText xml:space="preserve"> PAGEREF _Toc32230 </w:instrText>
      </w:r>
      <w:r>
        <w:fldChar w:fldCharType="separate"/>
      </w:r>
      <w:r>
        <w:t>78</w:t>
      </w:r>
      <w:r>
        <w:fldChar w:fldCharType="end"/>
      </w:r>
      <w:r>
        <w:fldChar w:fldCharType="end"/>
      </w:r>
    </w:p>
    <w:p>
      <w:pPr>
        <w:pStyle w:val="19"/>
        <w:tabs>
          <w:tab w:val="right" w:leader="dot" w:pos="8306"/>
        </w:tabs>
      </w:pPr>
      <w:r>
        <w:fldChar w:fldCharType="begin"/>
      </w:r>
      <w:r>
        <w:instrText xml:space="preserve">HYPERLINK  \l "_Toc11167" </w:instrText>
      </w:r>
      <w:r>
        <w:fldChar w:fldCharType="separate"/>
      </w:r>
      <w:r>
        <w:t>（一）项目管理机构组成表</w:t>
      </w:r>
      <w:r>
        <w:tab/>
      </w:r>
      <w:r>
        <w:fldChar w:fldCharType="begin"/>
      </w:r>
      <w:r>
        <w:instrText xml:space="preserve"> PAGEREF _Toc11167 </w:instrText>
      </w:r>
      <w:r>
        <w:fldChar w:fldCharType="separate"/>
      </w:r>
      <w:r>
        <w:t>78</w:t>
      </w:r>
      <w:r>
        <w:fldChar w:fldCharType="end"/>
      </w:r>
      <w:r>
        <w:fldChar w:fldCharType="end"/>
      </w:r>
    </w:p>
    <w:p>
      <w:pPr>
        <w:pStyle w:val="19"/>
        <w:tabs>
          <w:tab w:val="right" w:leader="dot" w:pos="8306"/>
        </w:tabs>
      </w:pPr>
      <w:r>
        <w:fldChar w:fldCharType="begin"/>
      </w:r>
      <w:r>
        <w:instrText xml:space="preserve">HYPERLINK  \l "_Toc13576" </w:instrText>
      </w:r>
      <w:r>
        <w:fldChar w:fldCharType="separate"/>
      </w:r>
      <w:r>
        <w:t>（二）</w:t>
      </w:r>
      <w:r>
        <w:rPr>
          <w:rFonts w:hint="eastAsia"/>
        </w:rPr>
        <w:t>项目经理</w:t>
      </w:r>
      <w:r>
        <w:t>简历表</w:t>
      </w:r>
      <w:r>
        <w:tab/>
      </w:r>
      <w:r>
        <w:fldChar w:fldCharType="begin"/>
      </w:r>
      <w:r>
        <w:instrText xml:space="preserve"> PAGEREF _Toc13576 </w:instrText>
      </w:r>
      <w:r>
        <w:fldChar w:fldCharType="separate"/>
      </w:r>
      <w:r>
        <w:t>79</w:t>
      </w:r>
      <w:r>
        <w:fldChar w:fldCharType="end"/>
      </w:r>
      <w:r>
        <w:fldChar w:fldCharType="end"/>
      </w:r>
    </w:p>
    <w:p>
      <w:pPr>
        <w:pStyle w:val="32"/>
        <w:tabs>
          <w:tab w:val="right" w:leader="dot" w:pos="8306"/>
        </w:tabs>
      </w:pPr>
      <w:r>
        <w:fldChar w:fldCharType="begin"/>
      </w:r>
      <w:r>
        <w:instrText xml:space="preserve">HYPERLINK  \l "_Toc26622" </w:instrText>
      </w:r>
      <w:r>
        <w:fldChar w:fldCharType="separate"/>
      </w:r>
      <w:r>
        <w:rPr>
          <w:rFonts w:hint="eastAsia"/>
        </w:rPr>
        <w:t>七</w:t>
      </w:r>
      <w:r>
        <w:t>、资格审查资料</w:t>
      </w:r>
      <w:r>
        <w:tab/>
      </w:r>
      <w:r>
        <w:fldChar w:fldCharType="begin"/>
      </w:r>
      <w:r>
        <w:instrText xml:space="preserve"> PAGEREF _Toc26622 </w:instrText>
      </w:r>
      <w:r>
        <w:fldChar w:fldCharType="separate"/>
      </w:r>
      <w:r>
        <w:t>80</w:t>
      </w:r>
      <w:r>
        <w:fldChar w:fldCharType="end"/>
      </w:r>
      <w:r>
        <w:fldChar w:fldCharType="end"/>
      </w:r>
    </w:p>
    <w:p>
      <w:pPr>
        <w:pStyle w:val="19"/>
        <w:tabs>
          <w:tab w:val="right" w:leader="dot" w:pos="8306"/>
        </w:tabs>
      </w:pPr>
      <w:r>
        <w:fldChar w:fldCharType="begin"/>
      </w:r>
      <w:r>
        <w:instrText xml:space="preserve">HYPERLINK  \l "_Toc3258" </w:instrText>
      </w:r>
      <w:r>
        <w:fldChar w:fldCharType="separate"/>
      </w:r>
      <w:r>
        <w:t>（一）投标人基本情况表</w:t>
      </w:r>
      <w:r>
        <w:tab/>
      </w:r>
      <w:r>
        <w:fldChar w:fldCharType="begin"/>
      </w:r>
      <w:r>
        <w:instrText xml:space="preserve"> PAGEREF _Toc3258 </w:instrText>
      </w:r>
      <w:r>
        <w:fldChar w:fldCharType="separate"/>
      </w:r>
      <w:r>
        <w:t>80</w:t>
      </w:r>
      <w:r>
        <w:fldChar w:fldCharType="end"/>
      </w:r>
      <w:r>
        <w:fldChar w:fldCharType="end"/>
      </w:r>
    </w:p>
    <w:p>
      <w:pPr>
        <w:pStyle w:val="19"/>
        <w:tabs>
          <w:tab w:val="right" w:leader="dot" w:pos="8306"/>
        </w:tabs>
      </w:pPr>
      <w:r>
        <w:fldChar w:fldCharType="begin"/>
      </w:r>
      <w:r>
        <w:instrText xml:space="preserve">HYPERLINK  \l "_Toc9248" </w:instrText>
      </w:r>
      <w:r>
        <w:fldChar w:fldCharType="separate"/>
      </w:r>
      <w:r>
        <w:t>（二）近年财务状况表</w:t>
      </w:r>
      <w:r>
        <w:tab/>
      </w:r>
      <w:r>
        <w:fldChar w:fldCharType="begin"/>
      </w:r>
      <w:r>
        <w:instrText xml:space="preserve"> PAGEREF _Toc9248 </w:instrText>
      </w:r>
      <w:r>
        <w:fldChar w:fldCharType="separate"/>
      </w:r>
      <w:r>
        <w:t>81</w:t>
      </w:r>
      <w:r>
        <w:fldChar w:fldCharType="end"/>
      </w:r>
      <w:r>
        <w:fldChar w:fldCharType="end"/>
      </w:r>
    </w:p>
    <w:p>
      <w:pPr>
        <w:pStyle w:val="19"/>
        <w:tabs>
          <w:tab w:val="right" w:leader="dot" w:pos="8306"/>
        </w:tabs>
      </w:pPr>
      <w:r>
        <w:fldChar w:fldCharType="begin"/>
      </w:r>
      <w:r>
        <w:instrText xml:space="preserve">HYPERLINK  \l "_Toc20946" </w:instrText>
      </w:r>
      <w:r>
        <w:fldChar w:fldCharType="separate"/>
      </w:r>
      <w:r>
        <w:t>（三）近年完成的类似项目情况表</w:t>
      </w:r>
      <w:r>
        <w:tab/>
      </w:r>
      <w:r>
        <w:fldChar w:fldCharType="begin"/>
      </w:r>
      <w:r>
        <w:instrText xml:space="preserve"> PAGEREF _Toc20946 </w:instrText>
      </w:r>
      <w:r>
        <w:fldChar w:fldCharType="separate"/>
      </w:r>
      <w:r>
        <w:t>82</w:t>
      </w:r>
      <w:r>
        <w:fldChar w:fldCharType="end"/>
      </w:r>
      <w:r>
        <w:fldChar w:fldCharType="end"/>
      </w:r>
    </w:p>
    <w:p>
      <w:pPr>
        <w:pStyle w:val="19"/>
        <w:tabs>
          <w:tab w:val="right" w:leader="dot" w:pos="8306"/>
        </w:tabs>
      </w:pPr>
      <w:r>
        <w:fldChar w:fldCharType="begin"/>
      </w:r>
      <w:r>
        <w:instrText xml:space="preserve">HYPERLINK  \l "_Toc7936" </w:instrText>
      </w:r>
      <w:r>
        <w:fldChar w:fldCharType="separate"/>
      </w:r>
      <w:r>
        <w:t>（四）正在</w:t>
      </w:r>
      <w:r>
        <w:rPr>
          <w:rFonts w:hint="eastAsia"/>
        </w:rPr>
        <w:t>实施</w:t>
      </w:r>
      <w:r>
        <w:t>的和新承接的项目情况表</w:t>
      </w:r>
      <w:r>
        <w:tab/>
      </w:r>
      <w:r>
        <w:fldChar w:fldCharType="begin"/>
      </w:r>
      <w:r>
        <w:instrText xml:space="preserve"> PAGEREF _Toc7936 </w:instrText>
      </w:r>
      <w:r>
        <w:fldChar w:fldCharType="separate"/>
      </w:r>
      <w:r>
        <w:t>83</w:t>
      </w:r>
      <w:r>
        <w:fldChar w:fldCharType="end"/>
      </w:r>
      <w:r>
        <w:fldChar w:fldCharType="end"/>
      </w:r>
    </w:p>
    <w:p>
      <w:pPr>
        <w:pStyle w:val="19"/>
        <w:tabs>
          <w:tab w:val="right" w:leader="dot" w:pos="8306"/>
        </w:tabs>
      </w:pPr>
      <w:r>
        <w:fldChar w:fldCharType="begin"/>
      </w:r>
      <w:r>
        <w:instrText xml:space="preserve">HYPERLINK  \l "_Toc24280" </w:instrText>
      </w:r>
      <w:r>
        <w:fldChar w:fldCharType="separate"/>
      </w:r>
      <w:r>
        <w:rPr>
          <w:rFonts w:hint="eastAsia"/>
        </w:rPr>
        <w:t>（五）近年发生的诉讼及仲裁情况</w:t>
      </w:r>
      <w:r>
        <w:tab/>
      </w:r>
      <w:r>
        <w:fldChar w:fldCharType="begin"/>
      </w:r>
      <w:r>
        <w:instrText xml:space="preserve"> PAGEREF _Toc24280 </w:instrText>
      </w:r>
      <w:r>
        <w:fldChar w:fldCharType="separate"/>
      </w:r>
      <w:r>
        <w:t>84</w:t>
      </w:r>
      <w:r>
        <w:fldChar w:fldCharType="end"/>
      </w:r>
      <w:r>
        <w:fldChar w:fldCharType="end"/>
      </w:r>
    </w:p>
    <w:p>
      <w:pPr>
        <w:pStyle w:val="19"/>
        <w:tabs>
          <w:tab w:val="right" w:leader="dot" w:pos="8306"/>
        </w:tabs>
      </w:pPr>
      <w:r>
        <w:fldChar w:fldCharType="begin"/>
      </w:r>
      <w:r>
        <w:instrText xml:space="preserve">HYPERLINK  \l "_Toc27291" </w:instrText>
      </w:r>
      <w:r>
        <w:fldChar w:fldCharType="separate"/>
      </w:r>
      <w:r>
        <w:rPr>
          <w:rFonts w:hint="eastAsia"/>
        </w:rPr>
        <w:t>（六）</w:t>
      </w:r>
      <w:r>
        <w:t>其他</w:t>
      </w:r>
      <w:r>
        <w:rPr>
          <w:rFonts w:hint="eastAsia"/>
        </w:rPr>
        <w:t>资格审查资</w:t>
      </w:r>
      <w:r>
        <w:t>料</w:t>
      </w:r>
      <w:r>
        <w:tab/>
      </w:r>
      <w:r>
        <w:fldChar w:fldCharType="begin"/>
      </w:r>
      <w:r>
        <w:instrText xml:space="preserve"> PAGEREF _Toc27291 </w:instrText>
      </w:r>
      <w:r>
        <w:fldChar w:fldCharType="separate"/>
      </w:r>
      <w:r>
        <w:t>85</w:t>
      </w:r>
      <w:r>
        <w:fldChar w:fldCharType="end"/>
      </w:r>
      <w:r>
        <w:fldChar w:fldCharType="end"/>
      </w:r>
    </w:p>
    <w:p>
      <w:pPr>
        <w:pStyle w:val="19"/>
        <w:tabs>
          <w:tab w:val="right" w:leader="dot" w:pos="8306"/>
        </w:tabs>
      </w:pPr>
      <w:r>
        <w:fldChar w:fldCharType="begin"/>
      </w:r>
      <w:r>
        <w:instrText xml:space="preserve">HYPERLINK  \l "_Toc24865" </w:instrText>
      </w:r>
      <w:r>
        <w:fldChar w:fldCharType="separate"/>
      </w:r>
      <w:r>
        <w:rPr>
          <w:rFonts w:hint="eastAsia"/>
        </w:rPr>
        <w:t>八、投标承诺</w:t>
      </w:r>
      <w:r>
        <w:tab/>
      </w:r>
      <w:r>
        <w:fldChar w:fldCharType="begin"/>
      </w:r>
      <w:r>
        <w:instrText xml:space="preserve"> PAGEREF _Toc24865 </w:instrText>
      </w:r>
      <w:r>
        <w:fldChar w:fldCharType="separate"/>
      </w:r>
      <w:r>
        <w:t>86</w:t>
      </w:r>
      <w:r>
        <w:fldChar w:fldCharType="end"/>
      </w:r>
      <w:r>
        <w:fldChar w:fldCharType="end"/>
      </w:r>
    </w:p>
    <w:p>
      <w:pPr>
        <w:pStyle w:val="32"/>
        <w:tabs>
          <w:tab w:val="right" w:leader="dot" w:pos="8306"/>
        </w:tabs>
      </w:pPr>
      <w:r>
        <w:fldChar w:fldCharType="begin"/>
      </w:r>
      <w:r>
        <w:instrText xml:space="preserve">HYPERLINK  \l "_Toc32019" </w:instrText>
      </w:r>
      <w:r>
        <w:fldChar w:fldCharType="separate"/>
      </w:r>
      <w:r>
        <w:rPr>
          <w:rFonts w:hint="eastAsia" w:ascii="宋体"/>
        </w:rPr>
        <w:t>廉政建设承诺书</w:t>
      </w:r>
      <w:r>
        <w:tab/>
      </w:r>
      <w:r>
        <w:fldChar w:fldCharType="begin"/>
      </w:r>
      <w:r>
        <w:instrText xml:space="preserve"> PAGEREF _Toc32019 </w:instrText>
      </w:r>
      <w:r>
        <w:fldChar w:fldCharType="separate"/>
      </w:r>
      <w:r>
        <w:t>87</w:t>
      </w:r>
      <w:r>
        <w:fldChar w:fldCharType="end"/>
      </w:r>
      <w:r>
        <w:fldChar w:fldCharType="end"/>
      </w:r>
    </w:p>
    <w:p>
      <w:pPr>
        <w:pStyle w:val="2"/>
        <w:jc w:val="center"/>
        <w:rPr>
          <w:rFonts w:ascii="宋体" w:hAnsi="宋体"/>
          <w:b w:val="0"/>
          <w:bCs w:val="0"/>
          <w:iCs/>
          <w:caps/>
          <w:kern w:val="2"/>
          <w:sz w:val="20"/>
          <w:szCs w:val="20"/>
        </w:rPr>
        <w:sectPr>
          <w:headerReference r:id="rId3" w:type="default"/>
          <w:footerReference r:id="rId4" w:type="default"/>
          <w:footerReference r:id="rId5" w:type="even"/>
          <w:pgSz w:w="11906" w:h="16838"/>
          <w:pgMar w:top="1440" w:right="1800" w:bottom="1440" w:left="1800" w:header="851" w:footer="992" w:gutter="0"/>
          <w:pgNumType w:fmt="upperRoman" w:start="1"/>
          <w:cols w:space="720" w:num="1"/>
          <w:docGrid w:type="lines" w:linePitch="312" w:charSpace="0"/>
        </w:sectPr>
      </w:pPr>
      <w:r>
        <w:rPr>
          <w:rFonts w:ascii="宋体" w:hAnsi="宋体"/>
          <w:bCs w:val="0"/>
          <w:iCs/>
          <w:kern w:val="2"/>
          <w:szCs w:val="20"/>
        </w:rPr>
        <w:fldChar w:fldCharType="end"/>
      </w:r>
    </w:p>
    <w:bookmarkEnd w:id="4"/>
    <w:bookmarkEnd w:id="5"/>
    <w:bookmarkEnd w:id="6"/>
    <w:bookmarkEnd w:id="7"/>
    <w:p>
      <w:pPr>
        <w:pStyle w:val="2"/>
        <w:spacing w:before="0" w:after="0" w:line="440" w:lineRule="exact"/>
        <w:jc w:val="center"/>
        <w:rPr>
          <w:rFonts w:eastAsia="黑体"/>
          <w:sz w:val="17"/>
          <w:szCs w:val="17"/>
        </w:rPr>
      </w:pPr>
      <w:bookmarkStart w:id="8" w:name="_Toc246996157"/>
      <w:bookmarkStart w:id="9" w:name="_Toc418062625"/>
      <w:bookmarkStart w:id="10" w:name="_Toc247085671"/>
      <w:bookmarkStart w:id="11" w:name="_Toc247096243"/>
      <w:bookmarkStart w:id="12" w:name="_Toc32642"/>
      <w:bookmarkStart w:id="13" w:name="_Toc246996900"/>
      <w:r>
        <w:rPr>
          <w:rFonts w:hint="eastAsia"/>
        </w:rPr>
        <w:t>第一章 招标公告</w:t>
      </w:r>
      <w:bookmarkEnd w:id="8"/>
      <w:bookmarkEnd w:id="9"/>
      <w:bookmarkEnd w:id="10"/>
      <w:bookmarkEnd w:id="11"/>
      <w:bookmarkEnd w:id="12"/>
      <w:bookmarkEnd w:id="13"/>
    </w:p>
    <w:p>
      <w:pPr>
        <w:shd w:val="solid" w:color="FFFFFF" w:fill="auto"/>
        <w:autoSpaceDN w:val="0"/>
        <w:spacing w:line="490" w:lineRule="exact"/>
        <w:jc w:val="center"/>
        <w:rPr>
          <w:rFonts w:ascii="宋体" w:hAnsi="宋体"/>
          <w:b/>
          <w:bCs/>
          <w:sz w:val="32"/>
          <w:shd w:val="clear" w:color="auto" w:fill="FFFFFF"/>
        </w:rPr>
      </w:pPr>
    </w:p>
    <w:p>
      <w:pPr>
        <w:shd w:val="solid" w:color="FFFFFF" w:fill="auto"/>
        <w:autoSpaceDN w:val="0"/>
        <w:spacing w:line="490" w:lineRule="exact"/>
        <w:jc w:val="center"/>
        <w:rPr>
          <w:rFonts w:ascii="宋体" w:hAnsi="宋体"/>
          <w:b/>
          <w:bCs/>
          <w:sz w:val="32"/>
          <w:shd w:val="clear" w:color="auto" w:fill="FFFFFF"/>
        </w:rPr>
      </w:pPr>
      <w:r>
        <w:rPr>
          <w:rFonts w:hint="eastAsia" w:ascii="宋体" w:hAnsi="宋体"/>
          <w:b/>
          <w:bCs/>
          <w:sz w:val="32"/>
          <w:shd w:val="clear" w:color="auto" w:fill="FFFFFF"/>
        </w:rPr>
        <w:t>温县妇幼保健院（迁建项目）暖通中央空调系统采购工程</w:t>
      </w:r>
    </w:p>
    <w:p>
      <w:pPr>
        <w:shd w:val="solid" w:color="FFFFFF" w:fill="auto"/>
        <w:autoSpaceDN w:val="0"/>
        <w:spacing w:line="490" w:lineRule="exact"/>
        <w:jc w:val="center"/>
        <w:rPr>
          <w:rFonts w:ascii="宋体" w:hAnsi="宋体"/>
          <w:b/>
          <w:bCs/>
          <w:sz w:val="28"/>
        </w:rPr>
      </w:pPr>
      <w:r>
        <w:rPr>
          <w:rFonts w:hint="eastAsia" w:ascii="宋体" w:hAnsi="宋体"/>
          <w:b/>
          <w:bCs/>
          <w:sz w:val="28"/>
        </w:rPr>
        <w:t>招标公告</w:t>
      </w:r>
    </w:p>
    <w:p>
      <w:pPr>
        <w:shd w:val="solid" w:color="FFFFFF" w:fill="auto"/>
        <w:autoSpaceDN w:val="0"/>
        <w:spacing w:line="580" w:lineRule="exact"/>
        <w:ind w:firstLine="422" w:firstLineChars="200"/>
        <w:rPr>
          <w:rFonts w:ascii="宋体" w:hAnsi="宋体"/>
          <w:color w:val="000000"/>
          <w:sz w:val="22"/>
          <w:shd w:val="clear" w:color="auto" w:fill="FFFFFF"/>
        </w:rPr>
      </w:pPr>
      <w:r>
        <w:rPr>
          <w:rFonts w:hint="eastAsia" w:ascii="宋体" w:hAnsi="宋体"/>
          <w:b/>
          <w:color w:val="000000"/>
          <w:shd w:val="clear" w:color="auto" w:fill="FFFFFF"/>
        </w:rPr>
        <w:t>一</w:t>
      </w:r>
      <w:r>
        <w:rPr>
          <w:rFonts w:ascii="宋体" w:hAnsi="宋体"/>
          <w:b/>
          <w:color w:val="000000"/>
          <w:shd w:val="clear" w:color="auto" w:fill="FFFFFF"/>
        </w:rPr>
        <w:t>．招标条件</w:t>
      </w:r>
    </w:p>
    <w:p>
      <w:pPr>
        <w:shd w:val="solid" w:color="FFFFFF" w:fill="auto"/>
        <w:autoSpaceDN w:val="0"/>
        <w:spacing w:line="580" w:lineRule="exact"/>
        <w:ind w:firstLine="420" w:firstLineChars="200"/>
        <w:rPr>
          <w:rFonts w:ascii="宋体" w:hAnsi="宋体"/>
          <w:shd w:val="clear" w:color="auto" w:fill="FFFFFF"/>
        </w:rPr>
      </w:pPr>
      <w:r>
        <w:rPr>
          <w:rFonts w:ascii="宋体" w:hAnsi="宋体"/>
          <w:color w:val="000000"/>
          <w:shd w:val="clear" w:color="auto" w:fill="FFFFFF"/>
        </w:rPr>
        <w:t>本招标项</w:t>
      </w:r>
      <w:r>
        <w:rPr>
          <w:rFonts w:ascii="宋体" w:hAnsi="宋体"/>
          <w:shd w:val="clear" w:color="auto" w:fill="FFFFFF"/>
        </w:rPr>
        <w:t>目</w:t>
      </w:r>
      <w:r>
        <w:rPr>
          <w:rFonts w:hint="eastAsia" w:ascii="宋体" w:hAnsi="宋体"/>
          <w:u w:val="single"/>
          <w:shd w:val="clear" w:color="auto" w:fill="FFFFFF"/>
        </w:rPr>
        <w:t>温县妇幼保健院（迁建项目）暖通中央空调系统采购工程</w:t>
      </w:r>
      <w:r>
        <w:rPr>
          <w:rFonts w:ascii="宋体" w:hAnsi="宋体"/>
          <w:shd w:val="clear" w:color="auto" w:fill="FFFFFF"/>
        </w:rPr>
        <w:t>由</w:t>
      </w:r>
      <w:r>
        <w:rPr>
          <w:rFonts w:hint="eastAsia" w:ascii="宋体" w:hAnsi="宋体"/>
          <w:shd w:val="clear" w:color="auto" w:fill="FFFFFF"/>
        </w:rPr>
        <w:t>相关部门</w:t>
      </w:r>
      <w:r>
        <w:rPr>
          <w:rFonts w:ascii="宋体" w:hAnsi="宋体"/>
          <w:shd w:val="clear" w:color="auto" w:fill="FFFFFF"/>
        </w:rPr>
        <w:t>批准建设，建设资金来自</w:t>
      </w:r>
      <w:r>
        <w:rPr>
          <w:rFonts w:hint="eastAsia" w:ascii="宋体" w:hAnsi="宋体"/>
          <w:u w:val="single"/>
          <w:shd w:val="clear" w:color="auto" w:fill="FFFFFF"/>
        </w:rPr>
        <w:t>中央财政+自筹</w:t>
      </w:r>
      <w:r>
        <w:rPr>
          <w:rFonts w:ascii="宋体" w:hAnsi="宋体"/>
          <w:shd w:val="clear" w:color="auto" w:fill="FFFFFF"/>
        </w:rPr>
        <w:t>，招标人为</w:t>
      </w:r>
      <w:r>
        <w:rPr>
          <w:rFonts w:hint="eastAsia" w:ascii="宋体" w:hAnsi="宋体"/>
          <w:u w:val="single"/>
          <w:shd w:val="clear" w:color="auto" w:fill="FFFFFF"/>
        </w:rPr>
        <w:t>温县妇幼保健院</w:t>
      </w:r>
      <w:r>
        <w:rPr>
          <w:rFonts w:ascii="宋体" w:hAnsi="宋体"/>
          <w:shd w:val="clear" w:color="auto" w:fill="FFFFFF"/>
        </w:rPr>
        <w:t>。项目己具备招标条件，</w:t>
      </w:r>
      <w:r>
        <w:rPr>
          <w:rFonts w:hint="eastAsia" w:ascii="宋体" w:hAnsi="宋体"/>
          <w:shd w:val="clear" w:color="auto" w:fill="FFFFFF"/>
        </w:rPr>
        <w:t>现委托</w:t>
      </w:r>
      <w:r>
        <w:rPr>
          <w:rFonts w:hint="eastAsia" w:ascii="宋体" w:hAnsi="宋体"/>
          <w:u w:val="single"/>
          <w:shd w:val="clear" w:color="auto" w:fill="FFFFFF"/>
        </w:rPr>
        <w:t>河南宏业建设管理股份有限公司</w:t>
      </w:r>
      <w:r>
        <w:rPr>
          <w:rFonts w:hint="eastAsia" w:ascii="宋体" w:hAnsi="宋体"/>
          <w:shd w:val="clear" w:color="auto" w:fill="FFFFFF"/>
        </w:rPr>
        <w:t>对该项目进行公开招标，并实行资格后审。</w:t>
      </w:r>
    </w:p>
    <w:p>
      <w:pPr>
        <w:shd w:val="solid" w:color="FFFFFF" w:fill="auto"/>
        <w:autoSpaceDN w:val="0"/>
        <w:spacing w:line="580" w:lineRule="exact"/>
        <w:ind w:firstLine="422" w:firstLineChars="200"/>
        <w:rPr>
          <w:rFonts w:ascii="宋体" w:hAnsi="宋体"/>
          <w:sz w:val="22"/>
          <w:shd w:val="clear" w:color="auto" w:fill="FFFFFF"/>
        </w:rPr>
      </w:pPr>
      <w:r>
        <w:rPr>
          <w:rFonts w:hint="eastAsia" w:ascii="宋体" w:hAnsi="宋体"/>
          <w:b/>
          <w:shd w:val="clear" w:color="auto" w:fill="FFFFFF"/>
        </w:rPr>
        <w:t>二</w:t>
      </w:r>
      <w:r>
        <w:rPr>
          <w:rFonts w:ascii="宋体" w:hAnsi="宋体"/>
          <w:b/>
          <w:shd w:val="clear" w:color="auto" w:fill="FFFFFF"/>
        </w:rPr>
        <w:t>．项目概况与招标范围</w:t>
      </w:r>
    </w:p>
    <w:p>
      <w:pPr>
        <w:shd w:val="solid" w:color="FFFFFF" w:fill="auto"/>
        <w:autoSpaceDN w:val="0"/>
        <w:spacing w:line="580" w:lineRule="exact"/>
        <w:ind w:firstLine="420" w:firstLineChars="200"/>
        <w:rPr>
          <w:rFonts w:ascii="宋体" w:hAnsi="宋体"/>
          <w:shd w:val="clear" w:color="auto" w:fill="FFFFFF"/>
        </w:rPr>
      </w:pPr>
      <w:r>
        <w:rPr>
          <w:rFonts w:ascii="宋体" w:hAnsi="宋体"/>
          <w:shd w:val="clear" w:color="auto" w:fill="FFFFFF"/>
        </w:rPr>
        <w:t>2.1项目名称：</w:t>
      </w:r>
      <w:r>
        <w:rPr>
          <w:rFonts w:hint="eastAsia" w:ascii="宋体" w:hAnsi="宋体"/>
          <w:shd w:val="clear" w:color="auto" w:fill="FFFFFF"/>
        </w:rPr>
        <w:t>温县妇幼保健院（迁建项目）暖通中央空调系统采购工程</w:t>
      </w:r>
    </w:p>
    <w:p>
      <w:pPr>
        <w:shd w:val="solid" w:color="FFFFFF" w:fill="auto"/>
        <w:autoSpaceDN w:val="0"/>
        <w:spacing w:line="580" w:lineRule="exact"/>
        <w:ind w:firstLine="420" w:firstLineChars="200"/>
        <w:rPr>
          <w:rFonts w:ascii="宋体" w:hAnsi="宋体"/>
          <w:color w:val="000000"/>
          <w:sz w:val="22"/>
          <w:shd w:val="clear" w:color="auto" w:fill="FFFFFF"/>
        </w:rPr>
      </w:pPr>
      <w:r>
        <w:rPr>
          <w:rFonts w:ascii="宋体" w:hAnsi="宋体"/>
          <w:color w:val="000000"/>
          <w:shd w:val="clear" w:color="auto" w:fill="FFFFFF"/>
        </w:rPr>
        <w:t>2.2</w:t>
      </w:r>
      <w:r>
        <w:rPr>
          <w:rFonts w:hint="eastAsia" w:ascii="宋体" w:hAnsi="宋体"/>
          <w:color w:val="000000"/>
          <w:shd w:val="clear" w:color="auto" w:fill="FFFFFF"/>
        </w:rPr>
        <w:t>项目</w:t>
      </w:r>
      <w:r>
        <w:rPr>
          <w:rFonts w:ascii="宋体" w:hAnsi="宋体"/>
          <w:color w:val="000000"/>
          <w:shd w:val="clear" w:color="auto" w:fill="FFFFFF"/>
        </w:rPr>
        <w:t>编号：温交易[201</w:t>
      </w:r>
      <w:r>
        <w:rPr>
          <w:rFonts w:hint="eastAsia" w:ascii="宋体" w:hAnsi="宋体"/>
          <w:color w:val="000000"/>
          <w:shd w:val="clear" w:color="auto" w:fill="FFFFFF"/>
        </w:rPr>
        <w:t>6</w:t>
      </w:r>
      <w:r>
        <w:rPr>
          <w:rFonts w:ascii="宋体" w:hAnsi="宋体"/>
          <w:color w:val="000000"/>
          <w:shd w:val="clear" w:color="auto" w:fill="FFFFFF"/>
        </w:rPr>
        <w:t>]</w:t>
      </w:r>
      <w:r>
        <w:rPr>
          <w:rFonts w:hint="eastAsia" w:ascii="宋体" w:hAnsi="宋体"/>
          <w:color w:val="000000"/>
          <w:shd w:val="clear" w:color="auto" w:fill="FFFFFF"/>
        </w:rPr>
        <w:t>245</w:t>
      </w:r>
      <w:r>
        <w:rPr>
          <w:rFonts w:ascii="宋体" w:hAnsi="宋体"/>
          <w:color w:val="000000"/>
          <w:shd w:val="clear" w:color="auto" w:fill="FFFFFF"/>
        </w:rPr>
        <w:t>号</w:t>
      </w:r>
    </w:p>
    <w:p>
      <w:pPr>
        <w:shd w:val="solid" w:color="FFFFFF" w:fill="auto"/>
        <w:autoSpaceDN w:val="0"/>
        <w:spacing w:line="580" w:lineRule="exact"/>
        <w:ind w:firstLine="420" w:firstLineChars="200"/>
        <w:rPr>
          <w:rFonts w:ascii="宋体" w:hAnsi="宋体"/>
          <w:shd w:val="clear" w:color="auto" w:fill="FFFFFF"/>
        </w:rPr>
      </w:pPr>
      <w:r>
        <w:rPr>
          <w:rFonts w:ascii="宋体" w:hAnsi="宋体"/>
          <w:shd w:val="clear" w:color="auto" w:fill="FFFFFF"/>
        </w:rPr>
        <w:t>2.3</w:t>
      </w:r>
      <w:r>
        <w:rPr>
          <w:rFonts w:hint="eastAsia" w:ascii="宋体" w:hAnsi="宋体"/>
          <w:shd w:val="clear" w:color="auto" w:fill="FFFFFF"/>
        </w:rPr>
        <w:t xml:space="preserve">项目概况：病房楼、门诊楼、综合业务楼空调末端、新风系统和机房的安装及设备采购。 </w:t>
      </w:r>
    </w:p>
    <w:p>
      <w:pPr>
        <w:shd w:val="solid" w:color="FFFFFF" w:fill="auto"/>
        <w:autoSpaceDN w:val="0"/>
        <w:spacing w:line="580" w:lineRule="exact"/>
        <w:ind w:firstLine="420" w:firstLineChars="200"/>
        <w:rPr>
          <w:rFonts w:ascii="宋体" w:hAnsi="宋体"/>
          <w:szCs w:val="21"/>
          <w:lang w:bidi="en-US"/>
        </w:rPr>
      </w:pPr>
      <w:r>
        <w:rPr>
          <w:rFonts w:hint="eastAsia" w:ascii="宋体" w:hAnsi="宋体"/>
          <w:szCs w:val="21"/>
          <w:lang w:bidi="en-US"/>
        </w:rPr>
        <w:t>2.4项目地点：</w:t>
      </w:r>
      <w:r>
        <w:rPr>
          <w:rFonts w:hint="eastAsia" w:ascii="宋体" w:hAnsi="宋体"/>
          <w:shd w:val="clear" w:color="auto" w:fill="FFFFFF"/>
        </w:rPr>
        <w:t>位于温县黄河路西段，司马大街西</w:t>
      </w:r>
    </w:p>
    <w:p>
      <w:pPr>
        <w:shd w:val="solid" w:color="FFFFFF" w:fill="auto"/>
        <w:autoSpaceDN w:val="0"/>
        <w:spacing w:line="580" w:lineRule="exact"/>
        <w:ind w:firstLine="420" w:firstLineChars="200"/>
      </w:pPr>
      <w:r>
        <w:rPr>
          <w:rFonts w:hint="eastAsia" w:ascii="宋体" w:hAnsi="宋体"/>
          <w:shd w:val="clear" w:color="auto" w:fill="FFFFFF"/>
        </w:rPr>
        <w:t>2.5招标范围：图纸、</w:t>
      </w:r>
      <w:r>
        <w:rPr>
          <w:rFonts w:hint="eastAsia"/>
        </w:rPr>
        <w:t>工程量清单范围内及招标文件规定的全部内容。</w:t>
      </w:r>
    </w:p>
    <w:p>
      <w:pPr>
        <w:shd w:val="solid" w:color="FFFFFF" w:fill="auto"/>
        <w:autoSpaceDN w:val="0"/>
        <w:spacing w:line="580" w:lineRule="exact"/>
        <w:ind w:firstLine="420" w:firstLineChars="200"/>
        <w:rPr>
          <w:rFonts w:ascii="宋体" w:hAnsi="宋体"/>
          <w:shd w:val="clear" w:color="auto" w:fill="FFFFFF"/>
        </w:rPr>
      </w:pPr>
      <w:r>
        <w:rPr>
          <w:rFonts w:ascii="宋体" w:hAnsi="宋体"/>
          <w:shd w:val="clear" w:color="auto" w:fill="FFFFFF"/>
        </w:rPr>
        <w:t>2.</w:t>
      </w:r>
      <w:r>
        <w:rPr>
          <w:rFonts w:hint="eastAsia" w:ascii="宋体" w:hAnsi="宋体"/>
          <w:shd w:val="clear" w:color="auto" w:fill="FFFFFF"/>
        </w:rPr>
        <w:t>6</w:t>
      </w:r>
      <w:r>
        <w:rPr>
          <w:rFonts w:ascii="宋体" w:hAnsi="宋体"/>
          <w:shd w:val="clear" w:color="auto" w:fill="FFFFFF"/>
        </w:rPr>
        <w:t>计划工期：</w:t>
      </w:r>
      <w:r>
        <w:rPr>
          <w:rFonts w:hint="eastAsia" w:ascii="宋体" w:hAnsi="宋体"/>
          <w:shd w:val="clear" w:color="auto" w:fill="FFFFFF"/>
        </w:rPr>
        <w:t>200日历天。</w:t>
      </w:r>
    </w:p>
    <w:p>
      <w:pPr>
        <w:shd w:val="solid" w:color="FFFFFF" w:fill="auto"/>
        <w:autoSpaceDN w:val="0"/>
        <w:spacing w:line="580" w:lineRule="exact"/>
        <w:ind w:firstLine="422" w:firstLineChars="200"/>
        <w:rPr>
          <w:rFonts w:ascii="宋体" w:hAnsi="宋体"/>
          <w:sz w:val="22"/>
          <w:shd w:val="clear" w:color="auto" w:fill="FFFFFF"/>
        </w:rPr>
      </w:pPr>
      <w:r>
        <w:rPr>
          <w:rFonts w:hint="eastAsia" w:ascii="宋体" w:hAnsi="宋体"/>
          <w:b/>
          <w:shd w:val="clear" w:color="auto" w:fill="FFFFFF"/>
        </w:rPr>
        <w:t>三</w:t>
      </w:r>
      <w:r>
        <w:rPr>
          <w:rFonts w:ascii="宋体" w:hAnsi="宋体"/>
          <w:b/>
          <w:shd w:val="clear" w:color="auto" w:fill="FFFFFF"/>
        </w:rPr>
        <w:t>．投标人资格要求</w:t>
      </w:r>
    </w:p>
    <w:p>
      <w:pPr>
        <w:shd w:val="solid" w:color="FFFFFF" w:fill="auto"/>
        <w:autoSpaceDN w:val="0"/>
        <w:spacing w:line="580" w:lineRule="exact"/>
        <w:ind w:firstLine="420" w:firstLineChars="200"/>
        <w:rPr>
          <w:rFonts w:ascii="宋体" w:hAnsi="宋体"/>
          <w:shd w:val="clear" w:color="auto" w:fill="FFFFFF"/>
        </w:rPr>
      </w:pPr>
      <w:r>
        <w:rPr>
          <w:rFonts w:hint="eastAsia" w:ascii="宋体" w:hAnsi="宋体"/>
          <w:shd w:val="clear" w:color="auto" w:fill="FFFFFF"/>
        </w:rPr>
        <w:t>3.1</w:t>
      </w:r>
      <w:r>
        <w:rPr>
          <w:rFonts w:ascii="宋体" w:hAnsi="宋体"/>
          <w:shd w:val="clear" w:color="auto" w:fill="FFFFFF"/>
        </w:rPr>
        <w:t>投标人</w:t>
      </w:r>
      <w:r>
        <w:rPr>
          <w:rFonts w:hint="eastAsia" w:ascii="宋体" w:hAnsi="宋体"/>
          <w:shd w:val="clear" w:color="auto" w:fill="FFFFFF"/>
        </w:rPr>
        <w:t>须</w:t>
      </w:r>
      <w:r>
        <w:rPr>
          <w:rFonts w:ascii="宋体" w:hAnsi="宋体"/>
          <w:shd w:val="clear" w:color="auto" w:fill="FFFFFF"/>
        </w:rPr>
        <w:t>具备独立法人资格，</w:t>
      </w:r>
      <w:r>
        <w:rPr>
          <w:rFonts w:hint="eastAsia" w:ascii="宋体" w:hAnsi="宋体"/>
          <w:color w:val="000000"/>
          <w:shd w:val="clear" w:color="auto" w:fill="FFFFFF"/>
        </w:rPr>
        <w:t>具有机电工程施工总</w:t>
      </w:r>
      <w:r>
        <w:rPr>
          <w:rFonts w:hint="eastAsia" w:ascii="宋体" w:hAnsi="宋体"/>
          <w:shd w:val="clear" w:color="auto" w:fill="FFFFFF"/>
        </w:rPr>
        <w:t>承包三级及以上或建筑机电设备安装工程专业承包三级及以上资质且具有安全生产许可证，具备有效期内安全生产许可证，并在人员、设备、资金等方面具有相应的施工能力；拟派项目经理须具有机电工程专业贰级及以上注册建造师</w:t>
      </w:r>
      <w:r>
        <w:rPr>
          <w:rFonts w:ascii="宋体" w:hAnsi="宋体"/>
          <w:shd w:val="clear" w:color="auto" w:fill="FFFFFF"/>
        </w:rPr>
        <w:t>资格</w:t>
      </w:r>
      <w:r>
        <w:rPr>
          <w:rFonts w:hint="eastAsia" w:ascii="宋体" w:hAnsi="宋体"/>
          <w:shd w:val="clear" w:color="auto" w:fill="FFFFFF"/>
        </w:rPr>
        <w:t>，具有有效期内安全生产考核合格证书（B）证。</w:t>
      </w:r>
    </w:p>
    <w:p>
      <w:pPr>
        <w:shd w:val="solid" w:color="FFFFFF" w:fill="auto"/>
        <w:autoSpaceDN w:val="0"/>
        <w:spacing w:line="580" w:lineRule="exact"/>
        <w:ind w:firstLine="420" w:firstLineChars="200"/>
        <w:rPr>
          <w:rFonts w:hint="eastAsia" w:ascii="宋体" w:hAnsi="宋体"/>
          <w:shd w:val="clear" w:color="auto" w:fill="FFFFFF"/>
        </w:rPr>
      </w:pPr>
      <w:r>
        <w:rPr>
          <w:rFonts w:hint="eastAsia" w:ascii="宋体" w:hAnsi="宋体"/>
          <w:shd w:val="clear" w:color="auto" w:fill="FFFFFF"/>
        </w:rPr>
        <w:t>3.2投标人应在开标时提供由企业注册地或项目发生地的检察机关出具的行贿犯罪档案查询结果告知函（查询近三年来法人、法定代表人、法定代表人授权委托人、项目经理）原件，开具时间从发布招标公告之日起到开标的前一天（</w:t>
      </w:r>
      <w:r>
        <w:rPr>
          <w:rFonts w:hint="eastAsia" w:ascii="宋体" w:hAnsi="宋体" w:cs="宋体"/>
          <w:color w:val="000000"/>
          <w:szCs w:val="21"/>
          <w:shd w:val="clear" w:color="auto" w:fill="FFFFFF"/>
        </w:rPr>
        <w:t>网上下载的查询告知函和检察机关现场出具的书面告知函具有同等效力</w:t>
      </w:r>
      <w:r>
        <w:rPr>
          <w:rFonts w:hint="eastAsia" w:ascii="宋体" w:hAnsi="宋体"/>
          <w:shd w:val="clear" w:color="auto" w:fill="FFFFFF"/>
        </w:rPr>
        <w:t>），否则取消其投标资格。</w:t>
      </w:r>
    </w:p>
    <w:p>
      <w:pPr>
        <w:shd w:val="solid" w:color="FFFFFF" w:fill="auto"/>
        <w:autoSpaceDN w:val="0"/>
        <w:spacing w:line="580" w:lineRule="exact"/>
        <w:ind w:firstLine="420" w:firstLineChars="200"/>
        <w:rPr>
          <w:rFonts w:hint="eastAsia" w:ascii="宋体" w:hAnsi="宋体" w:eastAsia="宋体"/>
          <w:color w:val="auto"/>
          <w:shd w:val="clear" w:color="auto" w:fill="FFFFFF"/>
          <w:lang w:val="en-US" w:eastAsia="zh-CN"/>
        </w:rPr>
      </w:pPr>
      <w:r>
        <w:rPr>
          <w:rFonts w:hint="eastAsia" w:ascii="宋体" w:hAnsi="宋体"/>
          <w:color w:val="auto"/>
          <w:shd w:val="clear" w:color="auto" w:fill="FFFFFF"/>
          <w:lang w:val="en-US" w:eastAsia="zh-CN"/>
        </w:rPr>
        <w:t>3.3</w:t>
      </w:r>
      <w:r>
        <w:rPr>
          <w:rFonts w:hint="eastAsia" w:ascii="宋体" w:hAnsi="宋体"/>
          <w:color w:val="auto"/>
          <w:lang w:eastAsia="zh-CN"/>
        </w:rPr>
        <w:t>投标人（代理商或经销商）</w:t>
      </w:r>
      <w:r>
        <w:rPr>
          <w:rFonts w:hint="eastAsia" w:ascii="宋体" w:hAnsi="宋体"/>
          <w:color w:val="auto"/>
        </w:rPr>
        <w:t>应出具</w:t>
      </w:r>
      <w:r>
        <w:rPr>
          <w:rFonts w:hint="eastAsia" w:ascii="宋体" w:hAnsi="宋体"/>
          <w:color w:val="auto"/>
          <w:lang w:eastAsia="zh-CN"/>
        </w:rPr>
        <w:t>制造商</w:t>
      </w:r>
      <w:r>
        <w:rPr>
          <w:rFonts w:hint="eastAsia" w:ascii="宋体" w:hAnsi="宋体"/>
          <w:color w:val="auto"/>
        </w:rPr>
        <w:t>针对本项目唯一授权</w:t>
      </w:r>
      <w:r>
        <w:rPr>
          <w:rFonts w:hint="eastAsia" w:ascii="宋体" w:hAnsi="宋体"/>
          <w:color w:val="auto"/>
          <w:lang w:eastAsia="zh-CN"/>
        </w:rPr>
        <w:t>书</w:t>
      </w:r>
    </w:p>
    <w:p>
      <w:pPr>
        <w:shd w:val="solid" w:color="FFFFFF" w:fill="auto"/>
        <w:autoSpaceDN w:val="0"/>
        <w:spacing w:line="580" w:lineRule="exact"/>
        <w:ind w:firstLine="420" w:firstLineChars="200"/>
        <w:rPr>
          <w:rFonts w:ascii="宋体" w:hAnsi="宋体"/>
          <w:shd w:val="clear" w:color="auto" w:fill="FFFFFF"/>
        </w:rPr>
      </w:pPr>
      <w:r>
        <w:rPr>
          <w:rFonts w:ascii="宋体" w:hAnsi="宋体"/>
          <w:shd w:val="clear" w:color="auto" w:fill="FFFFFF"/>
        </w:rPr>
        <w:t>3.</w:t>
      </w:r>
      <w:r>
        <w:rPr>
          <w:rFonts w:hint="eastAsia" w:ascii="宋体" w:hAnsi="宋体"/>
          <w:shd w:val="clear" w:color="auto" w:fill="FFFFFF"/>
          <w:lang w:val="en-US" w:eastAsia="zh-CN"/>
        </w:rPr>
        <w:t>4</w:t>
      </w:r>
      <w:r>
        <w:rPr>
          <w:rFonts w:ascii="宋体" w:hAnsi="宋体"/>
          <w:shd w:val="clear" w:color="auto" w:fill="FFFFFF"/>
        </w:rPr>
        <w:t xml:space="preserve"> 本次招标不接受联合体投标。</w:t>
      </w:r>
    </w:p>
    <w:p>
      <w:pPr>
        <w:shd w:val="solid" w:color="FFFFFF" w:fill="auto"/>
        <w:autoSpaceDN w:val="0"/>
        <w:spacing w:line="580" w:lineRule="exact"/>
        <w:ind w:firstLine="422" w:firstLineChars="200"/>
        <w:rPr>
          <w:rFonts w:ascii="宋体" w:hAnsi="宋体"/>
          <w:b/>
          <w:shd w:val="clear" w:color="auto" w:fill="FFFFFF"/>
        </w:rPr>
      </w:pPr>
      <w:r>
        <w:rPr>
          <w:rFonts w:hint="eastAsia" w:ascii="宋体" w:hAnsi="宋体"/>
          <w:b/>
          <w:shd w:val="clear" w:color="auto" w:fill="FFFFFF"/>
        </w:rPr>
        <w:t>四</w:t>
      </w:r>
      <w:r>
        <w:rPr>
          <w:rFonts w:ascii="宋体" w:hAnsi="宋体"/>
          <w:b/>
          <w:shd w:val="clear" w:color="auto" w:fill="FFFFFF"/>
        </w:rPr>
        <w:t>．报名</w:t>
      </w:r>
      <w:r>
        <w:rPr>
          <w:rFonts w:hint="eastAsia" w:ascii="宋体" w:hAnsi="宋体"/>
          <w:b/>
          <w:shd w:val="clear" w:color="auto" w:fill="FFFFFF"/>
        </w:rPr>
        <w:t>须知</w:t>
      </w:r>
    </w:p>
    <w:p>
      <w:pPr>
        <w:shd w:val="solid" w:color="FFFFFF" w:fill="auto"/>
        <w:autoSpaceDN w:val="0"/>
        <w:spacing w:line="580" w:lineRule="exact"/>
        <w:ind w:firstLine="420" w:firstLineChars="200"/>
        <w:rPr>
          <w:rFonts w:ascii="宋体" w:hAnsi="宋体"/>
          <w:shd w:val="clear" w:color="auto" w:fill="FFFFFF"/>
        </w:rPr>
      </w:pPr>
      <w:r>
        <w:rPr>
          <w:rFonts w:hint="eastAsia" w:ascii="宋体" w:hAnsi="宋体"/>
          <w:shd w:val="clear" w:color="auto" w:fill="FFFFFF"/>
        </w:rPr>
        <w:t>本项目采用网上报名，已入库且资质符合的企业可以直接网上报名，未入库企业进入温县公共资源交易中心网(http://www.wxggzy.com/)按照《温县公共资源交易中心关于面向全国征集电子招投标会员的公告》要求先网上提交信息经工作人员通过审核后，方可带原件来现场备案入库并办理CA数字证书后报名。</w:t>
      </w:r>
    </w:p>
    <w:p>
      <w:pPr>
        <w:shd w:val="solid" w:color="FFFFFF" w:fill="auto"/>
        <w:autoSpaceDN w:val="0"/>
        <w:spacing w:line="580" w:lineRule="exact"/>
        <w:ind w:firstLine="422" w:firstLineChars="200"/>
        <w:rPr>
          <w:rFonts w:ascii="宋体" w:hAnsi="宋体"/>
          <w:b/>
          <w:color w:val="000000"/>
          <w:shd w:val="clear" w:color="auto" w:fill="FFFFFF"/>
        </w:rPr>
      </w:pPr>
      <w:r>
        <w:rPr>
          <w:rFonts w:hint="eastAsia" w:ascii="宋体" w:hAnsi="宋体"/>
          <w:b/>
          <w:color w:val="000000"/>
          <w:shd w:val="clear" w:color="auto" w:fill="FFFFFF"/>
        </w:rPr>
        <w:t>五．报名时间</w:t>
      </w:r>
    </w:p>
    <w:p>
      <w:pPr>
        <w:shd w:val="solid" w:color="FFFFFF" w:fill="auto"/>
        <w:autoSpaceDN w:val="0"/>
        <w:spacing w:line="580" w:lineRule="exact"/>
        <w:ind w:firstLine="420" w:firstLineChars="200"/>
        <w:rPr>
          <w:rFonts w:ascii="宋体" w:hAnsi="宋体"/>
          <w:shd w:val="clear" w:color="auto" w:fill="FFFFFF"/>
        </w:rPr>
      </w:pPr>
      <w:r>
        <w:rPr>
          <w:rFonts w:hint="eastAsia" w:ascii="宋体" w:hAnsi="宋体"/>
          <w:shd w:val="clear" w:color="auto" w:fill="FFFFFF"/>
        </w:rPr>
        <w:t xml:space="preserve"> 2016年   月  日  时  分— 2016年   月   日   时  分（节假日除外）</w:t>
      </w:r>
    </w:p>
    <w:p>
      <w:pPr>
        <w:shd w:val="solid" w:color="FFFFFF" w:fill="auto"/>
        <w:autoSpaceDN w:val="0"/>
        <w:spacing w:line="580" w:lineRule="exact"/>
        <w:ind w:firstLine="422" w:firstLineChars="200"/>
        <w:rPr>
          <w:rFonts w:ascii="宋体" w:hAnsi="宋体"/>
          <w:b/>
          <w:color w:val="000000"/>
          <w:shd w:val="clear" w:color="auto" w:fill="FFFFFF"/>
        </w:rPr>
      </w:pPr>
      <w:r>
        <w:rPr>
          <w:rFonts w:hint="eastAsia" w:ascii="宋体" w:hAnsi="宋体"/>
          <w:b/>
          <w:color w:val="000000"/>
          <w:shd w:val="clear" w:color="auto" w:fill="FFFFFF"/>
        </w:rPr>
        <w:t>六．招标文件的获取</w:t>
      </w:r>
    </w:p>
    <w:p>
      <w:pPr>
        <w:shd w:val="solid" w:color="FFFFFF" w:fill="auto"/>
        <w:autoSpaceDN w:val="0"/>
        <w:spacing w:line="580" w:lineRule="exact"/>
        <w:ind w:firstLine="420" w:firstLineChars="200"/>
        <w:rPr>
          <w:rFonts w:ascii="宋体" w:hAnsi="宋体"/>
          <w:shd w:val="clear" w:color="auto" w:fill="FFFFFF"/>
        </w:rPr>
      </w:pPr>
      <w:r>
        <w:rPr>
          <w:rFonts w:hint="eastAsia" w:ascii="宋体" w:hAnsi="宋体"/>
          <w:shd w:val="clear" w:color="auto" w:fill="FFFFFF"/>
        </w:rPr>
        <w:t>6</w:t>
      </w:r>
      <w:r>
        <w:rPr>
          <w:rFonts w:ascii="宋体" w:hAnsi="宋体"/>
          <w:shd w:val="clear" w:color="auto" w:fill="FFFFFF"/>
        </w:rPr>
        <w:t>.1</w:t>
      </w:r>
      <w:r>
        <w:rPr>
          <w:rFonts w:hint="eastAsia" w:ascii="宋体" w:hAnsi="宋体"/>
          <w:shd w:val="clear" w:color="auto" w:fill="FFFFFF"/>
        </w:rPr>
        <w:t xml:space="preserve">  2016年   月  日  时  分— 2016年   月   日   时  分，通过温县公共资源交易中心网站招标投标交易管理系统在报名缴费后自行下载；</w:t>
      </w:r>
    </w:p>
    <w:p>
      <w:pPr>
        <w:shd w:val="solid" w:color="FFFFFF" w:fill="auto"/>
        <w:autoSpaceDN w:val="0"/>
        <w:spacing w:line="580" w:lineRule="exact"/>
        <w:ind w:firstLine="420" w:firstLineChars="200"/>
        <w:rPr>
          <w:rFonts w:ascii="宋体" w:hAnsi="宋体"/>
          <w:shd w:val="clear" w:color="auto" w:fill="FFFFFF"/>
        </w:rPr>
      </w:pPr>
      <w:r>
        <w:rPr>
          <w:rFonts w:hint="eastAsia" w:ascii="宋体" w:hAnsi="宋体"/>
          <w:shd w:val="clear" w:color="auto" w:fill="FFFFFF"/>
        </w:rPr>
        <w:t>6.</w:t>
      </w:r>
      <w:r>
        <w:rPr>
          <w:rFonts w:ascii="宋体" w:hAnsi="宋体"/>
          <w:shd w:val="clear" w:color="auto" w:fill="FFFFFF"/>
        </w:rPr>
        <w:t>2</w:t>
      </w:r>
      <w:bookmarkStart w:id="14" w:name="_Toc144974484"/>
      <w:bookmarkStart w:id="15" w:name="_Toc246996162"/>
      <w:bookmarkStart w:id="16" w:name="_Toc179632532"/>
      <w:bookmarkStart w:id="17" w:name="_Toc246996905"/>
      <w:bookmarkStart w:id="18" w:name="_Toc152042292"/>
      <w:bookmarkStart w:id="19" w:name="_Toc152045516"/>
      <w:bookmarkStart w:id="20" w:name="_Toc247085676"/>
      <w:r>
        <w:rPr>
          <w:rFonts w:hint="eastAsia" w:ascii="宋体" w:hAnsi="宋体"/>
          <w:shd w:val="clear" w:color="auto" w:fill="FFFFFF"/>
        </w:rPr>
        <w:t>通过网银购买招标文件，招标文件 300 元</w:t>
      </w:r>
      <w:r>
        <w:rPr>
          <w:rFonts w:ascii="宋体" w:hAnsi="宋体"/>
          <w:shd w:val="clear" w:color="auto" w:fill="FFFFFF"/>
        </w:rPr>
        <w:t>/</w:t>
      </w:r>
      <w:r>
        <w:rPr>
          <w:rFonts w:hint="eastAsia" w:ascii="宋体" w:hAnsi="宋体"/>
          <w:shd w:val="clear" w:color="auto" w:fill="FFFFFF"/>
        </w:rPr>
        <w:t>份、手续费交易金额的</w:t>
      </w:r>
      <w:r>
        <w:rPr>
          <w:rFonts w:ascii="宋体" w:hAnsi="宋体"/>
          <w:shd w:val="clear" w:color="auto" w:fill="FFFFFF"/>
        </w:rPr>
        <w:t>7</w:t>
      </w:r>
      <w:r>
        <w:rPr>
          <w:rFonts w:hint="eastAsia" w:ascii="宋体" w:hAnsi="宋体"/>
          <w:shd w:val="clear" w:color="auto" w:fill="FFFFFF"/>
        </w:rPr>
        <w:t>‰，</w:t>
      </w:r>
      <w:r>
        <w:rPr>
          <w:rFonts w:ascii="宋体" w:hAnsi="宋体"/>
          <w:shd w:val="clear" w:color="auto" w:fill="FFFFFF"/>
        </w:rPr>
        <w:t>0.5</w:t>
      </w:r>
      <w:r>
        <w:rPr>
          <w:rFonts w:hint="eastAsia" w:ascii="宋体" w:hAnsi="宋体"/>
          <w:shd w:val="clear" w:color="auto" w:fill="FFFFFF"/>
        </w:rPr>
        <w:t>元封底，</w:t>
      </w:r>
      <w:r>
        <w:rPr>
          <w:rFonts w:ascii="宋体" w:hAnsi="宋体"/>
          <w:shd w:val="clear" w:color="auto" w:fill="FFFFFF"/>
        </w:rPr>
        <w:t>20</w:t>
      </w:r>
      <w:r>
        <w:rPr>
          <w:rFonts w:hint="eastAsia" w:ascii="宋体" w:hAnsi="宋体"/>
          <w:shd w:val="clear" w:color="auto" w:fill="FFFFFF"/>
        </w:rPr>
        <w:t>元封顶。</w:t>
      </w:r>
    </w:p>
    <w:p>
      <w:pPr>
        <w:shd w:val="solid" w:color="FFFFFF" w:fill="auto"/>
        <w:autoSpaceDN w:val="0"/>
        <w:spacing w:line="580" w:lineRule="exact"/>
        <w:ind w:firstLine="422" w:firstLineChars="200"/>
        <w:rPr>
          <w:rFonts w:ascii="宋体" w:hAnsi="宋体"/>
          <w:b/>
          <w:color w:val="000000"/>
          <w:shd w:val="clear" w:color="auto" w:fill="FFFFFF"/>
        </w:rPr>
      </w:pPr>
      <w:r>
        <w:rPr>
          <w:rFonts w:hint="eastAsia" w:ascii="宋体" w:hAnsi="宋体"/>
          <w:b/>
          <w:color w:val="000000"/>
          <w:shd w:val="clear" w:color="auto" w:fill="FFFFFF"/>
        </w:rPr>
        <w:t>七．投标文件的递交</w:t>
      </w:r>
      <w:bookmarkEnd w:id="14"/>
      <w:bookmarkEnd w:id="15"/>
      <w:bookmarkEnd w:id="16"/>
      <w:bookmarkEnd w:id="17"/>
      <w:bookmarkEnd w:id="18"/>
      <w:bookmarkEnd w:id="19"/>
      <w:bookmarkEnd w:id="20"/>
    </w:p>
    <w:p>
      <w:pPr>
        <w:shd w:val="solid" w:color="FFFFFF" w:fill="auto"/>
        <w:autoSpaceDN w:val="0"/>
        <w:spacing w:line="580" w:lineRule="exact"/>
        <w:ind w:firstLine="420" w:firstLineChars="200"/>
        <w:rPr>
          <w:rFonts w:ascii="宋体" w:hAnsi="宋体"/>
          <w:shd w:val="clear" w:color="auto" w:fill="FFFFFF"/>
        </w:rPr>
      </w:pPr>
      <w:bookmarkStart w:id="21" w:name="_Toc179632533"/>
      <w:bookmarkStart w:id="22" w:name="_Toc157499355"/>
      <w:bookmarkStart w:id="23" w:name="_Toc246996906"/>
      <w:bookmarkStart w:id="24" w:name="_Toc246996163"/>
      <w:bookmarkStart w:id="25" w:name="_Toc247085677"/>
      <w:r>
        <w:rPr>
          <w:rFonts w:hint="eastAsia" w:ascii="宋体" w:hAnsi="宋体"/>
          <w:shd w:val="clear" w:color="auto" w:fill="FFFFFF"/>
        </w:rPr>
        <w:t>7.1 投标文件递交的截止时间（投标截止时间，下同）为2016年  月  日   时   分，地点为温县公共资源交易中心。</w:t>
      </w:r>
    </w:p>
    <w:p>
      <w:pPr>
        <w:shd w:val="solid" w:color="FFFFFF" w:fill="auto"/>
        <w:autoSpaceDN w:val="0"/>
        <w:spacing w:line="580" w:lineRule="exact"/>
        <w:ind w:firstLine="420" w:firstLineChars="200"/>
        <w:rPr>
          <w:rFonts w:ascii="宋体" w:hAnsi="宋体"/>
          <w:shd w:val="clear" w:color="auto" w:fill="FFFFFF"/>
        </w:rPr>
      </w:pPr>
      <w:r>
        <w:rPr>
          <w:rFonts w:hint="eastAsia" w:ascii="宋体" w:hAnsi="宋体"/>
          <w:shd w:val="clear" w:color="auto" w:fill="FFFFFF"/>
        </w:rPr>
        <w:t>7.2 逾期送达的或者未送达指定地点的投标文件，招标人不予受理。</w:t>
      </w:r>
    </w:p>
    <w:p>
      <w:pPr>
        <w:shd w:val="solid" w:color="FFFFFF" w:fill="auto"/>
        <w:autoSpaceDN w:val="0"/>
        <w:spacing w:line="580" w:lineRule="exact"/>
        <w:ind w:firstLine="422" w:firstLineChars="200"/>
        <w:rPr>
          <w:rFonts w:ascii="宋体" w:hAnsi="宋体"/>
          <w:b/>
          <w:color w:val="000000"/>
          <w:shd w:val="clear" w:color="auto" w:fill="FFFFFF"/>
        </w:rPr>
      </w:pPr>
      <w:r>
        <w:rPr>
          <w:rFonts w:hint="eastAsia" w:ascii="宋体" w:hAnsi="宋体"/>
          <w:b/>
          <w:color w:val="000000"/>
          <w:shd w:val="clear" w:color="auto" w:fill="FFFFFF"/>
        </w:rPr>
        <w:t>八． 发布公告的媒介</w:t>
      </w:r>
      <w:bookmarkEnd w:id="21"/>
      <w:bookmarkEnd w:id="22"/>
      <w:bookmarkEnd w:id="23"/>
      <w:bookmarkEnd w:id="24"/>
      <w:bookmarkEnd w:id="25"/>
    </w:p>
    <w:p>
      <w:pPr>
        <w:shd w:val="solid" w:color="FFFFFF" w:fill="auto"/>
        <w:autoSpaceDN w:val="0"/>
        <w:spacing w:line="580" w:lineRule="exact"/>
        <w:ind w:firstLine="420" w:firstLineChars="200"/>
        <w:rPr>
          <w:rFonts w:ascii="宋体" w:hAnsi="宋体"/>
          <w:shd w:val="clear" w:color="auto" w:fill="FFFFFF"/>
        </w:rPr>
      </w:pPr>
      <w:r>
        <w:rPr>
          <w:rFonts w:hint="eastAsia" w:ascii="宋体" w:hAnsi="宋体"/>
          <w:shd w:val="clear" w:color="auto" w:fill="FFFFFF"/>
        </w:rPr>
        <w:t>本次招标公告同时在《中国采购与招标网》、《河南省政府采购网》、《温县公共资源交易中心网》上发布。</w:t>
      </w:r>
    </w:p>
    <w:p>
      <w:pPr>
        <w:shd w:val="solid" w:color="FFFFFF" w:fill="auto"/>
        <w:autoSpaceDN w:val="0"/>
        <w:spacing w:line="580" w:lineRule="exact"/>
        <w:ind w:firstLine="422" w:firstLineChars="200"/>
        <w:rPr>
          <w:rFonts w:ascii="宋体" w:hAnsi="宋体"/>
          <w:b/>
          <w:shd w:val="clear" w:color="auto" w:fill="FFFFFF"/>
        </w:rPr>
      </w:pPr>
      <w:r>
        <w:rPr>
          <w:rFonts w:hint="eastAsia" w:ascii="宋体" w:hAnsi="宋体"/>
          <w:b/>
          <w:shd w:val="clear" w:color="auto" w:fill="FFFFFF"/>
        </w:rPr>
        <w:t>九. 其他</w:t>
      </w:r>
    </w:p>
    <w:p>
      <w:pPr>
        <w:shd w:val="solid" w:color="FFFFFF" w:fill="auto"/>
        <w:autoSpaceDN w:val="0"/>
        <w:spacing w:line="580" w:lineRule="exact"/>
        <w:ind w:firstLine="420" w:firstLineChars="200"/>
        <w:rPr>
          <w:rFonts w:ascii="宋体" w:hAnsi="宋体"/>
          <w:shd w:val="clear" w:color="auto" w:fill="FFFFFF"/>
        </w:rPr>
      </w:pPr>
      <w:r>
        <w:rPr>
          <w:rFonts w:hint="eastAsia" w:ascii="宋体" w:hAnsi="宋体"/>
          <w:shd w:val="clear" w:color="auto" w:fill="FFFFFF"/>
        </w:rPr>
        <w:t>投标保证金的形式：网上在线支付</w:t>
      </w:r>
    </w:p>
    <w:p>
      <w:pPr>
        <w:shd w:val="solid" w:color="FFFFFF" w:fill="auto"/>
        <w:autoSpaceDN w:val="0"/>
        <w:spacing w:line="580" w:lineRule="exact"/>
        <w:ind w:firstLine="420" w:firstLineChars="200"/>
        <w:rPr>
          <w:rFonts w:ascii="宋体" w:hAnsi="宋体"/>
          <w:shd w:val="clear" w:color="auto" w:fill="FFFFFF"/>
        </w:rPr>
      </w:pPr>
      <w:r>
        <w:rPr>
          <w:rFonts w:hint="eastAsia" w:ascii="宋体" w:hAnsi="宋体"/>
          <w:shd w:val="clear" w:color="auto" w:fill="FFFFFF"/>
        </w:rPr>
        <w:t>投标保证金的金额：人民币壹拾柒万元整（￥：170000.00元）</w:t>
      </w:r>
    </w:p>
    <w:p>
      <w:pPr>
        <w:shd w:val="solid" w:color="FFFFFF" w:fill="auto"/>
        <w:autoSpaceDN w:val="0"/>
        <w:spacing w:line="580" w:lineRule="exact"/>
        <w:ind w:firstLine="420" w:firstLineChars="200"/>
        <w:rPr>
          <w:rFonts w:ascii="宋体" w:hAnsi="宋体"/>
          <w:shd w:val="clear" w:color="auto" w:fill="FFFFFF"/>
        </w:rPr>
      </w:pPr>
      <w:r>
        <w:rPr>
          <w:rFonts w:hint="eastAsia" w:ascii="宋体" w:hAnsi="宋体"/>
          <w:shd w:val="clear" w:color="auto" w:fill="FFFFFF"/>
        </w:rPr>
        <w:t>递交时间：2016年   月  日16 时前，交至指定账户，以温县公共资源交易中心电子招标投标交易管理系统确认为准。</w:t>
      </w:r>
    </w:p>
    <w:p>
      <w:pPr>
        <w:shd w:val="solid" w:color="FFFFFF" w:fill="000000"/>
        <w:autoSpaceDN w:val="0"/>
        <w:spacing w:line="580" w:lineRule="exact"/>
        <w:ind w:firstLine="420" w:firstLineChars="200"/>
        <w:rPr>
          <w:rFonts w:ascii="宋体" w:hAnsi="宋体"/>
          <w:shd w:val="clear" w:color="auto" w:fill="FFFFFF"/>
        </w:rPr>
      </w:pPr>
      <w:r>
        <w:rPr>
          <w:rFonts w:hint="eastAsia" w:ascii="宋体" w:hAnsi="宋体"/>
          <w:shd w:val="clear" w:color="auto" w:fill="FFFFFF"/>
        </w:rPr>
        <w:t>具体详见温县公共资源交易中心文件《温县公共资源交易中心关于面向全国征集电子招投标会员的公告》及《温县公共资源交易中心面向全国征集会员的补充公告》。</w:t>
      </w:r>
    </w:p>
    <w:p>
      <w:pPr>
        <w:shd w:val="solid" w:color="FFFFFF" w:fill="auto"/>
        <w:autoSpaceDN w:val="0"/>
        <w:spacing w:line="580" w:lineRule="exact"/>
        <w:ind w:firstLine="422" w:firstLineChars="200"/>
        <w:rPr>
          <w:rFonts w:ascii="宋体" w:hAnsi="宋体"/>
          <w:b/>
          <w:shd w:val="clear" w:color="auto" w:fill="FFFFFF"/>
        </w:rPr>
      </w:pPr>
      <w:r>
        <w:rPr>
          <w:rFonts w:hint="eastAsia" w:ascii="宋体" w:hAnsi="宋体"/>
          <w:b/>
          <w:shd w:val="clear" w:color="auto" w:fill="FFFFFF"/>
        </w:rPr>
        <w:t>十．联系方式</w:t>
      </w:r>
    </w:p>
    <w:p>
      <w:pPr>
        <w:shd w:val="solid" w:color="FFFFFF" w:fill="auto"/>
        <w:autoSpaceDN w:val="0"/>
        <w:spacing w:line="580" w:lineRule="exact"/>
        <w:ind w:firstLine="420" w:firstLineChars="200"/>
        <w:rPr>
          <w:rFonts w:ascii="宋体" w:hAnsi="宋体"/>
          <w:shd w:val="clear" w:color="auto" w:fill="FFFFFF"/>
        </w:rPr>
      </w:pPr>
      <w:r>
        <w:rPr>
          <w:rFonts w:hint="eastAsia" w:ascii="宋体" w:hAnsi="宋体"/>
          <w:shd w:val="clear" w:color="auto" w:fill="FFFFFF"/>
        </w:rPr>
        <w:t>招   标  人：</w:t>
      </w:r>
      <w:r>
        <w:rPr>
          <w:rFonts w:hint="eastAsia" w:ascii="宋体" w:hAnsi="宋体"/>
          <w:color w:val="000000"/>
          <w:shd w:val="clear" w:color="auto" w:fill="FFFFFF"/>
        </w:rPr>
        <w:t>温县妇幼保健院</w:t>
      </w:r>
    </w:p>
    <w:p>
      <w:pPr>
        <w:shd w:val="solid" w:color="FFFFFF" w:fill="auto"/>
        <w:autoSpaceDN w:val="0"/>
        <w:spacing w:line="580" w:lineRule="exact"/>
        <w:ind w:firstLine="420" w:firstLineChars="200"/>
        <w:rPr>
          <w:rFonts w:ascii="宋体" w:hAnsi="宋体"/>
          <w:shd w:val="clear" w:color="auto" w:fill="FFFFFF"/>
        </w:rPr>
      </w:pPr>
      <w:r>
        <w:rPr>
          <w:rFonts w:hint="eastAsia" w:ascii="宋体" w:hAnsi="宋体"/>
          <w:shd w:val="clear" w:color="auto" w:fill="FFFFFF"/>
        </w:rPr>
        <w:t xml:space="preserve">联   系  人：赵先生  </w:t>
      </w:r>
    </w:p>
    <w:p>
      <w:pPr>
        <w:shd w:val="solid" w:color="FFFFFF" w:fill="auto"/>
        <w:autoSpaceDN w:val="0"/>
        <w:spacing w:line="580" w:lineRule="exact"/>
        <w:ind w:firstLine="420" w:firstLineChars="200"/>
        <w:rPr>
          <w:rFonts w:ascii="宋体" w:hAnsi="宋体"/>
          <w:shd w:val="clear" w:color="auto" w:fill="FFFFFF"/>
        </w:rPr>
      </w:pPr>
      <w:r>
        <w:rPr>
          <w:rFonts w:hint="eastAsia" w:ascii="宋体" w:hAnsi="宋体"/>
          <w:shd w:val="clear" w:color="auto" w:fill="FFFFFF"/>
        </w:rPr>
        <w:t>联 系 电 话：</w:t>
      </w:r>
      <w:r>
        <w:rPr>
          <w:rFonts w:ascii="宋体" w:hAnsi="宋体"/>
          <w:color w:val="000000"/>
          <w:shd w:val="clear" w:color="auto" w:fill="FFFFFF"/>
        </w:rPr>
        <w:t>0391-619</w:t>
      </w:r>
      <w:r>
        <w:rPr>
          <w:rFonts w:hint="eastAsia" w:ascii="宋体" w:hAnsi="宋体"/>
          <w:color w:val="000000"/>
          <w:shd w:val="clear" w:color="auto" w:fill="FFFFFF"/>
        </w:rPr>
        <w:t>2452</w:t>
      </w:r>
    </w:p>
    <w:p>
      <w:pPr>
        <w:shd w:val="solid" w:color="FFFFFF" w:fill="auto"/>
        <w:autoSpaceDN w:val="0"/>
        <w:spacing w:line="580" w:lineRule="exact"/>
        <w:ind w:firstLine="420" w:firstLineChars="200"/>
        <w:rPr>
          <w:rFonts w:ascii="宋体" w:hAnsi="宋体"/>
          <w:shd w:val="clear" w:color="auto" w:fill="FFFFFF"/>
        </w:rPr>
      </w:pPr>
      <w:r>
        <w:rPr>
          <w:rFonts w:hint="eastAsia" w:ascii="宋体" w:hAnsi="宋体"/>
          <w:shd w:val="clear" w:color="auto" w:fill="FFFFFF"/>
        </w:rPr>
        <w:t xml:space="preserve">招标代理机构：河南宏业建设管理股份有限公司 </w:t>
      </w:r>
    </w:p>
    <w:p>
      <w:pPr>
        <w:shd w:val="solid" w:color="FFFFFF" w:fill="auto"/>
        <w:autoSpaceDN w:val="0"/>
        <w:spacing w:line="580" w:lineRule="exact"/>
        <w:ind w:firstLine="420" w:firstLineChars="200"/>
        <w:rPr>
          <w:rFonts w:ascii="宋体" w:hAnsi="宋体"/>
          <w:shd w:val="clear" w:color="auto" w:fill="FFFFFF"/>
        </w:rPr>
      </w:pPr>
      <w:r>
        <w:rPr>
          <w:rFonts w:hint="eastAsia" w:ascii="宋体" w:hAnsi="宋体"/>
          <w:shd w:val="clear" w:color="auto" w:fill="FFFFFF"/>
        </w:rPr>
        <w:t xml:space="preserve">联   系  人： 任女士 </w:t>
      </w:r>
    </w:p>
    <w:p>
      <w:pPr>
        <w:shd w:val="solid" w:color="FFFFFF" w:fill="auto"/>
        <w:autoSpaceDN w:val="0"/>
        <w:spacing w:line="580" w:lineRule="exact"/>
        <w:ind w:firstLine="420" w:firstLineChars="200"/>
        <w:rPr>
          <w:rFonts w:ascii="宋体" w:hAnsi="宋体"/>
          <w:shd w:val="clear" w:color="auto" w:fill="FFFFFF"/>
        </w:rPr>
      </w:pPr>
      <w:r>
        <w:rPr>
          <w:rFonts w:hint="eastAsia" w:ascii="宋体" w:hAnsi="宋体"/>
          <w:shd w:val="clear" w:color="auto" w:fill="FFFFFF"/>
        </w:rPr>
        <w:t>电       话： 15639114996</w:t>
      </w:r>
    </w:p>
    <w:p>
      <w:pPr>
        <w:shd w:val="solid" w:color="FFFFFF" w:fill="auto"/>
        <w:autoSpaceDN w:val="0"/>
        <w:spacing w:line="580" w:lineRule="exact"/>
        <w:ind w:firstLine="422" w:firstLineChars="200"/>
        <w:rPr>
          <w:rFonts w:ascii="宋体" w:hAnsi="宋体"/>
          <w:b/>
          <w:shd w:val="clear" w:color="auto" w:fill="FFFFFF"/>
        </w:rPr>
      </w:pPr>
      <w:r>
        <w:rPr>
          <w:rFonts w:hint="eastAsia" w:ascii="宋体" w:hAnsi="宋体"/>
          <w:b/>
          <w:shd w:val="clear" w:color="auto" w:fill="FFFFFF"/>
        </w:rPr>
        <w:t>十一. 监督单位：</w:t>
      </w:r>
    </w:p>
    <w:p>
      <w:pPr>
        <w:shd w:val="solid" w:color="FFFFFF" w:fill="auto"/>
        <w:autoSpaceDN w:val="0"/>
        <w:spacing w:line="580" w:lineRule="exact"/>
        <w:ind w:firstLine="420" w:firstLineChars="200"/>
        <w:rPr>
          <w:rFonts w:ascii="宋体" w:hAnsi="宋体"/>
          <w:color w:val="000000"/>
          <w:shd w:val="clear" w:color="auto" w:fill="FFFFFF"/>
        </w:rPr>
      </w:pPr>
      <w:r>
        <w:rPr>
          <w:rFonts w:hint="eastAsia" w:ascii="宋体" w:hAnsi="宋体"/>
          <w:color w:val="000000"/>
          <w:shd w:val="clear" w:color="auto" w:fill="FFFFFF"/>
        </w:rPr>
        <w:t xml:space="preserve">监督部门：温县住房和城乡建设局           </w:t>
      </w:r>
    </w:p>
    <w:p>
      <w:pPr>
        <w:shd w:val="solid" w:color="FFFFFF" w:fill="auto"/>
        <w:autoSpaceDN w:val="0"/>
        <w:spacing w:line="580" w:lineRule="exact"/>
        <w:ind w:firstLine="420" w:firstLineChars="200"/>
        <w:rPr>
          <w:rFonts w:ascii="宋体" w:hAnsi="宋体"/>
          <w:sz w:val="22"/>
          <w:shd w:val="clear" w:color="auto" w:fill="FFFFFF"/>
        </w:rPr>
      </w:pPr>
      <w:r>
        <w:rPr>
          <w:rFonts w:hint="eastAsia" w:ascii="宋体" w:hAnsi="宋体"/>
          <w:color w:val="000000"/>
          <w:shd w:val="clear" w:color="auto" w:fill="FFFFFF"/>
        </w:rPr>
        <w:t>监督电话：0391-6192411</w:t>
      </w:r>
    </w:p>
    <w:p>
      <w:pPr>
        <w:shd w:val="solid" w:color="FFFFFF" w:fill="auto"/>
        <w:autoSpaceDN w:val="0"/>
        <w:spacing w:line="520" w:lineRule="exact"/>
        <w:ind w:firstLine="420" w:firstLineChars="200"/>
        <w:rPr>
          <w:rFonts w:ascii="宋体" w:hAnsi="宋体"/>
          <w:shd w:val="clear" w:color="auto" w:fill="FFFFFF"/>
        </w:rPr>
      </w:pPr>
    </w:p>
    <w:p>
      <w:pPr>
        <w:spacing w:line="440" w:lineRule="exact"/>
        <w:jc w:val="right"/>
        <w:rPr>
          <w:rFonts w:ascii="宋体" w:hAnsi="宋体"/>
          <w:szCs w:val="21"/>
        </w:rPr>
      </w:pPr>
      <w:r>
        <w:rPr>
          <w:rFonts w:hint="eastAsia" w:ascii="宋体" w:hAnsi="宋体"/>
          <w:shd w:val="clear" w:color="auto" w:fill="FFFFFF"/>
        </w:rPr>
        <w:t xml:space="preserve"> 2016年   月   日</w:t>
      </w:r>
    </w:p>
    <w:p>
      <w:pPr>
        <w:spacing w:line="440" w:lineRule="exact"/>
        <w:jc w:val="right"/>
        <w:rPr>
          <w:rFonts w:ascii="宋体" w:hAnsi="宋体"/>
          <w:szCs w:val="21"/>
        </w:rPr>
      </w:pPr>
    </w:p>
    <w:p>
      <w:pPr>
        <w:spacing w:line="440" w:lineRule="exact"/>
        <w:jc w:val="right"/>
        <w:rPr>
          <w:rFonts w:ascii="宋体" w:hAnsi="宋体"/>
          <w:szCs w:val="21"/>
        </w:rPr>
      </w:pPr>
    </w:p>
    <w:p>
      <w:pPr>
        <w:spacing w:line="440" w:lineRule="exact"/>
        <w:jc w:val="right"/>
        <w:rPr>
          <w:rFonts w:ascii="宋体" w:hAnsi="宋体"/>
          <w:szCs w:val="21"/>
        </w:rPr>
      </w:pPr>
    </w:p>
    <w:p>
      <w:pPr>
        <w:spacing w:line="440" w:lineRule="exact"/>
        <w:jc w:val="right"/>
        <w:rPr>
          <w:rFonts w:ascii="宋体" w:hAnsi="宋体"/>
          <w:szCs w:val="21"/>
        </w:rPr>
      </w:pPr>
    </w:p>
    <w:p>
      <w:pPr>
        <w:spacing w:line="440" w:lineRule="exact"/>
        <w:jc w:val="right"/>
        <w:rPr>
          <w:rFonts w:ascii="宋体" w:hAnsi="宋体"/>
          <w:szCs w:val="21"/>
        </w:rPr>
      </w:pPr>
    </w:p>
    <w:p>
      <w:pPr>
        <w:spacing w:line="440" w:lineRule="exact"/>
        <w:jc w:val="right"/>
        <w:rPr>
          <w:rFonts w:ascii="宋体" w:hAnsi="宋体"/>
          <w:szCs w:val="21"/>
        </w:rPr>
      </w:pPr>
    </w:p>
    <w:p>
      <w:pPr>
        <w:spacing w:line="440" w:lineRule="exact"/>
        <w:jc w:val="right"/>
        <w:rPr>
          <w:rFonts w:ascii="宋体" w:hAnsi="宋体"/>
          <w:szCs w:val="21"/>
        </w:rPr>
      </w:pPr>
    </w:p>
    <w:p>
      <w:pPr>
        <w:spacing w:line="440" w:lineRule="exact"/>
        <w:jc w:val="right"/>
        <w:rPr>
          <w:rFonts w:ascii="宋体" w:hAnsi="宋体"/>
          <w:szCs w:val="21"/>
        </w:rPr>
      </w:pPr>
    </w:p>
    <w:p>
      <w:pPr>
        <w:pStyle w:val="2"/>
        <w:jc w:val="center"/>
      </w:pPr>
      <w:bookmarkStart w:id="26" w:name="_Toc6473"/>
      <w:bookmarkStart w:id="27" w:name="_Toc246996173"/>
      <w:bookmarkStart w:id="28" w:name="_Toc246996916"/>
      <w:bookmarkStart w:id="29" w:name="_Toc152045527"/>
      <w:bookmarkStart w:id="30" w:name="_Toc144974495"/>
      <w:bookmarkStart w:id="31" w:name="_Toc152042303"/>
      <w:bookmarkStart w:id="32" w:name="_Toc179632544"/>
      <w:bookmarkStart w:id="33" w:name="_Toc247085687"/>
      <w:r>
        <w:rPr>
          <w:rFonts w:hint="eastAsia"/>
        </w:rPr>
        <w:t>第二章 投标人须知</w:t>
      </w:r>
      <w:bookmarkEnd w:id="26"/>
      <w:bookmarkEnd w:id="27"/>
      <w:bookmarkEnd w:id="28"/>
      <w:bookmarkEnd w:id="29"/>
      <w:bookmarkEnd w:id="30"/>
      <w:bookmarkEnd w:id="31"/>
      <w:bookmarkEnd w:id="32"/>
      <w:bookmarkEnd w:id="33"/>
    </w:p>
    <w:p>
      <w:pPr>
        <w:pStyle w:val="3"/>
      </w:pPr>
      <w:bookmarkStart w:id="34" w:name="_Toc152042304"/>
      <w:bookmarkStart w:id="35" w:name="_Toc144974496"/>
      <w:bookmarkStart w:id="36" w:name="_Toc152045528"/>
      <w:bookmarkStart w:id="37" w:name="_Toc246996917"/>
      <w:bookmarkStart w:id="38" w:name="_Toc179632545"/>
      <w:bookmarkStart w:id="39" w:name="_Toc246996174"/>
      <w:bookmarkStart w:id="40" w:name="_Toc30626"/>
      <w:bookmarkStart w:id="41" w:name="_Toc247085688"/>
      <w:r>
        <w:rPr>
          <w:rFonts w:hint="eastAsia"/>
        </w:rPr>
        <w:t>投标人须知前附表</w:t>
      </w:r>
      <w:bookmarkEnd w:id="34"/>
      <w:bookmarkEnd w:id="35"/>
      <w:bookmarkEnd w:id="36"/>
      <w:bookmarkEnd w:id="37"/>
      <w:bookmarkEnd w:id="38"/>
      <w:bookmarkEnd w:id="39"/>
      <w:bookmarkEnd w:id="40"/>
      <w:bookmarkEnd w:id="41"/>
    </w:p>
    <w:p/>
    <w:tbl>
      <w:tblPr>
        <w:tblStyle w:val="41"/>
        <w:tblW w:w="8640" w:type="dxa"/>
        <w:tblInd w:w="-72"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89"/>
        <w:gridCol w:w="129"/>
        <w:gridCol w:w="3557"/>
        <w:gridCol w:w="319"/>
        <w:gridCol w:w="374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889"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b/>
                <w:szCs w:val="21"/>
              </w:rPr>
            </w:pPr>
            <w:r>
              <w:rPr>
                <w:b/>
                <w:szCs w:val="21"/>
              </w:rPr>
              <w:t>条款号</w:t>
            </w:r>
          </w:p>
        </w:tc>
        <w:tc>
          <w:tcPr>
            <w:tcW w:w="3686"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jc w:val="center"/>
              <w:rPr>
                <w:b/>
                <w:szCs w:val="21"/>
              </w:rPr>
            </w:pPr>
            <w:r>
              <w:rPr>
                <w:b/>
                <w:szCs w:val="21"/>
              </w:rPr>
              <w:t>条  款  名  称</w:t>
            </w:r>
          </w:p>
        </w:tc>
        <w:tc>
          <w:tcPr>
            <w:tcW w:w="4065"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jc w:val="center"/>
              <w:rPr>
                <w:b/>
                <w:szCs w:val="21"/>
              </w:rPr>
            </w:pPr>
            <w:r>
              <w:rPr>
                <w:b/>
                <w:szCs w:val="21"/>
              </w:rPr>
              <w:t>编  列  内  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889"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szCs w:val="21"/>
              </w:rPr>
            </w:pPr>
            <w:r>
              <w:rPr>
                <w:szCs w:val="21"/>
              </w:rPr>
              <w:t>1.1.2</w:t>
            </w:r>
          </w:p>
        </w:tc>
        <w:tc>
          <w:tcPr>
            <w:tcW w:w="3686"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jc w:val="center"/>
              <w:rPr>
                <w:szCs w:val="21"/>
              </w:rPr>
            </w:pPr>
            <w:r>
              <w:rPr>
                <w:szCs w:val="21"/>
              </w:rPr>
              <w:t>招标人</w:t>
            </w:r>
          </w:p>
        </w:tc>
        <w:tc>
          <w:tcPr>
            <w:tcW w:w="4065"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rPr>
                <w:szCs w:val="21"/>
              </w:rPr>
            </w:pPr>
            <w:r>
              <w:rPr>
                <w:szCs w:val="21"/>
              </w:rPr>
              <w:t>名称：</w:t>
            </w:r>
            <w:r>
              <w:rPr>
                <w:rFonts w:hint="eastAsia"/>
                <w:szCs w:val="21"/>
              </w:rPr>
              <w:t>温县妇幼保健院</w:t>
            </w:r>
          </w:p>
          <w:p>
            <w:pPr>
              <w:spacing w:line="440" w:lineRule="exact"/>
              <w:rPr>
                <w:szCs w:val="21"/>
              </w:rPr>
            </w:pPr>
            <w:r>
              <w:rPr>
                <w:szCs w:val="21"/>
              </w:rPr>
              <w:t>地址：</w:t>
            </w:r>
            <w:r>
              <w:rPr>
                <w:rFonts w:hint="eastAsia"/>
                <w:szCs w:val="21"/>
              </w:rPr>
              <w:t>温县温泉路</w:t>
            </w:r>
          </w:p>
          <w:p>
            <w:pPr>
              <w:spacing w:line="440" w:lineRule="exact"/>
              <w:rPr>
                <w:szCs w:val="21"/>
              </w:rPr>
            </w:pPr>
            <w:r>
              <w:rPr>
                <w:szCs w:val="21"/>
              </w:rPr>
              <w:t>联系人：</w:t>
            </w:r>
            <w:r>
              <w:rPr>
                <w:rFonts w:hint="eastAsia" w:ascii="宋体" w:hAnsi="宋体"/>
                <w:shd w:val="clear" w:color="auto" w:fill="FFFFFF"/>
              </w:rPr>
              <w:t>赵先生</w:t>
            </w:r>
          </w:p>
          <w:p>
            <w:pPr>
              <w:spacing w:line="440" w:lineRule="exact"/>
              <w:rPr>
                <w:szCs w:val="21"/>
              </w:rPr>
            </w:pPr>
            <w:r>
              <w:rPr>
                <w:szCs w:val="21"/>
              </w:rPr>
              <w:t>电话：</w:t>
            </w:r>
            <w:r>
              <w:rPr>
                <w:rFonts w:ascii="宋体" w:hAnsi="宋体"/>
                <w:color w:val="000000"/>
                <w:shd w:val="clear" w:color="auto" w:fill="FFFFFF"/>
              </w:rPr>
              <w:t>0391-619</w:t>
            </w:r>
            <w:r>
              <w:rPr>
                <w:rFonts w:hint="eastAsia" w:ascii="宋体" w:hAnsi="宋体"/>
                <w:color w:val="000000"/>
                <w:shd w:val="clear" w:color="auto" w:fill="FFFFFF"/>
              </w:rPr>
              <w:t>2452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889"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szCs w:val="21"/>
              </w:rPr>
            </w:pPr>
            <w:r>
              <w:rPr>
                <w:szCs w:val="21"/>
              </w:rPr>
              <w:t>1.1.3</w:t>
            </w:r>
          </w:p>
        </w:tc>
        <w:tc>
          <w:tcPr>
            <w:tcW w:w="3686"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jc w:val="center"/>
              <w:rPr>
                <w:szCs w:val="21"/>
              </w:rPr>
            </w:pPr>
            <w:r>
              <w:rPr>
                <w:szCs w:val="21"/>
              </w:rPr>
              <w:t>招标代理机构</w:t>
            </w:r>
          </w:p>
        </w:tc>
        <w:tc>
          <w:tcPr>
            <w:tcW w:w="4065"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rPr>
                <w:szCs w:val="21"/>
              </w:rPr>
            </w:pPr>
            <w:r>
              <w:rPr>
                <w:szCs w:val="21"/>
              </w:rPr>
              <w:t>名称：</w:t>
            </w:r>
            <w:r>
              <w:rPr>
                <w:rFonts w:hint="eastAsia"/>
                <w:szCs w:val="21"/>
              </w:rPr>
              <w:t>河南宏业建设管理股份有限公司</w:t>
            </w:r>
          </w:p>
          <w:p>
            <w:pPr>
              <w:spacing w:line="440" w:lineRule="exact"/>
              <w:rPr>
                <w:szCs w:val="21"/>
              </w:rPr>
            </w:pPr>
            <w:r>
              <w:rPr>
                <w:szCs w:val="21"/>
              </w:rPr>
              <w:t>联系人：</w:t>
            </w:r>
            <w:r>
              <w:rPr>
                <w:rFonts w:hint="eastAsia"/>
                <w:szCs w:val="21"/>
              </w:rPr>
              <w:t>任女士</w:t>
            </w:r>
          </w:p>
          <w:p>
            <w:pPr>
              <w:spacing w:line="440" w:lineRule="exact"/>
              <w:rPr>
                <w:szCs w:val="21"/>
              </w:rPr>
            </w:pPr>
            <w:r>
              <w:rPr>
                <w:szCs w:val="21"/>
              </w:rPr>
              <w:t>电话：</w:t>
            </w:r>
            <w:r>
              <w:rPr>
                <w:rFonts w:hint="eastAsia"/>
                <w:szCs w:val="21"/>
              </w:rPr>
              <w:t>15639114996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889"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szCs w:val="21"/>
              </w:rPr>
            </w:pPr>
            <w:r>
              <w:rPr>
                <w:szCs w:val="21"/>
              </w:rPr>
              <w:t>1.1.4</w:t>
            </w:r>
          </w:p>
        </w:tc>
        <w:tc>
          <w:tcPr>
            <w:tcW w:w="3686"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jc w:val="center"/>
              <w:rPr>
                <w:szCs w:val="21"/>
              </w:rPr>
            </w:pPr>
            <w:r>
              <w:rPr>
                <w:szCs w:val="21"/>
              </w:rPr>
              <w:t>项目名称</w:t>
            </w:r>
          </w:p>
        </w:tc>
        <w:tc>
          <w:tcPr>
            <w:tcW w:w="4065"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olor w:val="000000"/>
                <w:szCs w:val="21"/>
                <w:shd w:val="clear" w:color="auto" w:fill="FFFFFF"/>
              </w:rPr>
            </w:pPr>
            <w:r>
              <w:rPr>
                <w:rFonts w:hint="eastAsia" w:ascii="宋体" w:hAnsi="宋体"/>
                <w:color w:val="000000"/>
                <w:szCs w:val="21"/>
                <w:shd w:val="clear" w:color="auto" w:fill="FFFFFF"/>
              </w:rPr>
              <w:t>温县妇幼保健院（迁建项目）暖通中央空调系统采购工程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889"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szCs w:val="21"/>
              </w:rPr>
            </w:pPr>
            <w:r>
              <w:rPr>
                <w:szCs w:val="21"/>
              </w:rPr>
              <w:t>1.1.5</w:t>
            </w:r>
          </w:p>
        </w:tc>
        <w:tc>
          <w:tcPr>
            <w:tcW w:w="3686"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jc w:val="center"/>
              <w:rPr>
                <w:szCs w:val="21"/>
              </w:rPr>
            </w:pPr>
            <w:r>
              <w:rPr>
                <w:szCs w:val="21"/>
              </w:rPr>
              <w:t>建设地点</w:t>
            </w:r>
          </w:p>
        </w:tc>
        <w:tc>
          <w:tcPr>
            <w:tcW w:w="4065"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rPr>
                <w:szCs w:val="21"/>
              </w:rPr>
            </w:pPr>
            <w:r>
              <w:rPr>
                <w:rFonts w:hint="eastAsia"/>
                <w:szCs w:val="21"/>
              </w:rPr>
              <w:t>温县黄河路西段、司马大街西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889"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szCs w:val="21"/>
              </w:rPr>
            </w:pPr>
            <w:r>
              <w:rPr>
                <w:szCs w:val="21"/>
              </w:rPr>
              <w:t>1.2.1</w:t>
            </w:r>
          </w:p>
        </w:tc>
        <w:tc>
          <w:tcPr>
            <w:tcW w:w="3686"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jc w:val="center"/>
              <w:rPr>
                <w:szCs w:val="21"/>
              </w:rPr>
            </w:pPr>
            <w:r>
              <w:rPr>
                <w:szCs w:val="21"/>
              </w:rPr>
              <w:t>资金来源</w:t>
            </w:r>
            <w:r>
              <w:rPr>
                <w:rFonts w:hint="eastAsia"/>
                <w:szCs w:val="21"/>
              </w:rPr>
              <w:t>及比例</w:t>
            </w:r>
          </w:p>
        </w:tc>
        <w:tc>
          <w:tcPr>
            <w:tcW w:w="4065"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rPr>
                <w:szCs w:val="21"/>
              </w:rPr>
            </w:pPr>
            <w:r>
              <w:rPr>
                <w:rFonts w:hint="eastAsia"/>
                <w:szCs w:val="21"/>
              </w:rPr>
              <w:t>中央财政+自筹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889"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szCs w:val="21"/>
              </w:rPr>
            </w:pPr>
            <w:r>
              <w:rPr>
                <w:szCs w:val="21"/>
              </w:rPr>
              <w:t>1.2.2</w:t>
            </w:r>
          </w:p>
        </w:tc>
        <w:tc>
          <w:tcPr>
            <w:tcW w:w="3686"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jc w:val="center"/>
              <w:rPr>
                <w:szCs w:val="21"/>
              </w:rPr>
            </w:pPr>
            <w:r>
              <w:rPr>
                <w:rFonts w:hint="eastAsia"/>
                <w:szCs w:val="21"/>
              </w:rPr>
              <w:t>资金</w:t>
            </w:r>
            <w:r>
              <w:rPr>
                <w:szCs w:val="21"/>
              </w:rPr>
              <w:t>落实情况</w:t>
            </w:r>
          </w:p>
        </w:tc>
        <w:tc>
          <w:tcPr>
            <w:tcW w:w="4065"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rPr>
                <w:szCs w:val="21"/>
              </w:rPr>
            </w:pPr>
            <w:r>
              <w:rPr>
                <w:rFonts w:hint="eastAsia"/>
                <w:szCs w:val="21"/>
              </w:rPr>
              <w:t>已落实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889"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szCs w:val="21"/>
              </w:rPr>
            </w:pPr>
            <w:r>
              <w:rPr>
                <w:szCs w:val="21"/>
              </w:rPr>
              <w:t>1.</w:t>
            </w:r>
            <w:r>
              <w:rPr>
                <w:rFonts w:hint="eastAsia"/>
                <w:szCs w:val="21"/>
              </w:rPr>
              <w:t>3</w:t>
            </w:r>
            <w:r>
              <w:rPr>
                <w:szCs w:val="21"/>
              </w:rPr>
              <w:t>.1</w:t>
            </w:r>
          </w:p>
        </w:tc>
        <w:tc>
          <w:tcPr>
            <w:tcW w:w="3686"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jc w:val="center"/>
              <w:rPr>
                <w:szCs w:val="21"/>
              </w:rPr>
            </w:pPr>
            <w:r>
              <w:rPr>
                <w:szCs w:val="21"/>
              </w:rPr>
              <w:t>招标范围</w:t>
            </w:r>
          </w:p>
        </w:tc>
        <w:tc>
          <w:tcPr>
            <w:tcW w:w="4065"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rPr>
                <w:szCs w:val="21"/>
              </w:rPr>
            </w:pPr>
            <w:r>
              <w:rPr>
                <w:rFonts w:hint="eastAsia" w:ascii="宋体" w:hAnsi="宋体"/>
                <w:shd w:val="clear" w:color="auto" w:fill="FFFFFF"/>
              </w:rPr>
              <w:t>图纸、</w:t>
            </w:r>
            <w:r>
              <w:rPr>
                <w:rFonts w:hint="eastAsia"/>
              </w:rPr>
              <w:t>工程量清单范围内及招标文件规定的全部内容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889"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szCs w:val="21"/>
              </w:rPr>
            </w:pPr>
            <w:r>
              <w:rPr>
                <w:szCs w:val="21"/>
              </w:rPr>
              <w:t>1.3.2</w:t>
            </w:r>
          </w:p>
        </w:tc>
        <w:tc>
          <w:tcPr>
            <w:tcW w:w="3686"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jc w:val="center"/>
              <w:rPr>
                <w:szCs w:val="21"/>
              </w:rPr>
            </w:pPr>
            <w:r>
              <w:rPr>
                <w:szCs w:val="21"/>
              </w:rPr>
              <w:t>计划工期</w:t>
            </w:r>
          </w:p>
        </w:tc>
        <w:tc>
          <w:tcPr>
            <w:tcW w:w="4065"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jc w:val="left"/>
              <w:rPr>
                <w:szCs w:val="21"/>
              </w:rPr>
            </w:pPr>
            <w:r>
              <w:rPr>
                <w:rFonts w:hint="eastAsia"/>
                <w:szCs w:val="21"/>
              </w:rPr>
              <w:t>200日历天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889"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szCs w:val="21"/>
              </w:rPr>
            </w:pPr>
            <w:r>
              <w:rPr>
                <w:szCs w:val="21"/>
              </w:rPr>
              <w:t>1.3.3</w:t>
            </w:r>
          </w:p>
        </w:tc>
        <w:tc>
          <w:tcPr>
            <w:tcW w:w="3686"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jc w:val="center"/>
              <w:rPr>
                <w:szCs w:val="21"/>
              </w:rPr>
            </w:pPr>
            <w:r>
              <w:rPr>
                <w:szCs w:val="21"/>
              </w:rPr>
              <w:t>质量要求</w:t>
            </w:r>
          </w:p>
        </w:tc>
        <w:tc>
          <w:tcPr>
            <w:tcW w:w="4065"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rPr>
                <w:szCs w:val="21"/>
              </w:rPr>
            </w:pPr>
            <w:r>
              <w:rPr>
                <w:rFonts w:hint="eastAsia" w:ascii="宋体" w:hAnsi="宋体"/>
                <w:szCs w:val="21"/>
              </w:rPr>
              <w:t>合格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 w:hRule="atLeast"/>
        </w:trPr>
        <w:tc>
          <w:tcPr>
            <w:tcW w:w="889"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szCs w:val="21"/>
              </w:rPr>
            </w:pPr>
            <w:r>
              <w:rPr>
                <w:szCs w:val="21"/>
              </w:rPr>
              <w:t>1.4.1</w:t>
            </w:r>
          </w:p>
        </w:tc>
        <w:tc>
          <w:tcPr>
            <w:tcW w:w="3686"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jc w:val="center"/>
              <w:rPr>
                <w:szCs w:val="21"/>
              </w:rPr>
            </w:pPr>
            <w:r>
              <w:rPr>
                <w:szCs w:val="21"/>
              </w:rPr>
              <w:t>投标人资质条件、能力</w:t>
            </w:r>
          </w:p>
        </w:tc>
        <w:tc>
          <w:tcPr>
            <w:tcW w:w="4065"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rPr>
                <w:szCs w:val="21"/>
              </w:rPr>
            </w:pPr>
            <w:r>
              <w:rPr>
                <w:rFonts w:hint="eastAsia"/>
                <w:szCs w:val="21"/>
              </w:rPr>
              <w:t>资质条件：投标人须具备独立法人资格，</w:t>
            </w:r>
            <w:r>
              <w:rPr>
                <w:rFonts w:hint="eastAsia" w:ascii="宋体" w:hAnsi="宋体"/>
                <w:shd w:val="clear" w:color="auto" w:fill="FFFFFF"/>
              </w:rPr>
              <w:t>具有机电工程施工总承包三级及以上或建筑机电设备安装工程专业承包三级及以上资质且具有安全生产许可证，具备有效期内安全生产许可证，并在人员、设备、资金等方面具有相应的施工能力</w:t>
            </w:r>
            <w:r>
              <w:rPr>
                <w:rFonts w:hint="eastAsia"/>
                <w:szCs w:val="21"/>
              </w:rPr>
              <w:t>；</w:t>
            </w:r>
          </w:p>
          <w:p>
            <w:pPr>
              <w:spacing w:line="440" w:lineRule="exact"/>
              <w:rPr>
                <w:szCs w:val="21"/>
              </w:rPr>
            </w:pPr>
            <w:r>
              <w:rPr>
                <w:rFonts w:hint="eastAsia"/>
                <w:szCs w:val="21"/>
              </w:rPr>
              <w:t>财务要求：资产负债率近三年平均不高70%；（新成立企业不足三年的按已有年份计算）；</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color w:val="auto"/>
                <w:szCs w:val="21"/>
                <w:highlight w:val="none"/>
              </w:rPr>
            </w:pPr>
            <w:r>
              <w:rPr>
                <w:rFonts w:hint="eastAsia"/>
                <w:color w:val="auto"/>
                <w:szCs w:val="21"/>
                <w:highlight w:val="none"/>
              </w:rPr>
              <w:t>业绩要求：近三年有主机功率大于3000kw且金额大于700万的医院用户1家以上（提供中标通知书、合同、验收报告）。</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color w:val="auto"/>
                <w:szCs w:val="21"/>
                <w:highlight w:val="none"/>
              </w:rPr>
            </w:pPr>
            <w:r>
              <w:rPr>
                <w:rFonts w:hint="eastAsia"/>
                <w:color w:val="auto"/>
                <w:szCs w:val="21"/>
                <w:highlight w:val="none"/>
                <w:lang w:eastAsia="zh-CN"/>
              </w:rPr>
              <w:t>投标人（代理商或经销商）应出具制造商针对本项目唯一授权书。</w:t>
            </w:r>
          </w:p>
          <w:p>
            <w:pPr>
              <w:spacing w:line="360" w:lineRule="exact"/>
              <w:rPr>
                <w:szCs w:val="21"/>
              </w:rPr>
            </w:pPr>
            <w:r>
              <w:rPr>
                <w:rFonts w:hint="eastAsia"/>
                <w:szCs w:val="21"/>
              </w:rPr>
              <w:t>建造师资格：项目经理（建造师）须</w:t>
            </w:r>
            <w:r>
              <w:rPr>
                <w:rFonts w:hint="eastAsia" w:ascii="宋体" w:hAnsi="宋体"/>
                <w:shd w:val="clear" w:color="auto" w:fill="FFFFFF"/>
              </w:rPr>
              <w:t>具有</w:t>
            </w:r>
            <w:r>
              <w:rPr>
                <w:rFonts w:hint="eastAsia"/>
                <w:szCs w:val="21"/>
              </w:rPr>
              <w:t>机电工程专业贰级及以上</w:t>
            </w:r>
            <w:r>
              <w:rPr>
                <w:rFonts w:hint="eastAsia" w:ascii="宋体" w:hAnsi="宋体"/>
                <w:shd w:val="clear" w:color="auto" w:fill="FFFFFF"/>
              </w:rPr>
              <w:t>注册建造师</w:t>
            </w:r>
            <w:r>
              <w:rPr>
                <w:rFonts w:ascii="宋体" w:hAnsi="宋体"/>
                <w:shd w:val="clear" w:color="auto" w:fill="FFFFFF"/>
              </w:rPr>
              <w:t>资格</w:t>
            </w:r>
            <w:r>
              <w:rPr>
                <w:rFonts w:hint="eastAsia" w:ascii="宋体" w:hAnsi="宋体"/>
                <w:shd w:val="clear" w:color="auto" w:fill="FFFFFF"/>
              </w:rPr>
              <w:t>，具有有效期内安全生产考核合格证书（B）证，且无其他在建工程项目</w:t>
            </w:r>
            <w:r>
              <w:rPr>
                <w:rFonts w:hint="eastAsia"/>
                <w:szCs w:val="21"/>
              </w:rPr>
              <w:t>（投标人出具加盖企业公章和法定代表人的印章的证明，如有在建，一经查实，取消中标资格，投标保证金不予退还）。注：本文所指“在建项目”是指项目尚未竣工或已中标未开工或公示期内的第一中标候选人（不含本项目开标当日或之后开始公示的项目）。如“在建项目”项目经理有变更情况的，须在投标文件中附变更证明文件，否则一律视为项目经理有“在建项目”；</w:t>
            </w:r>
          </w:p>
          <w:p>
            <w:pPr>
              <w:spacing w:line="360" w:lineRule="exact"/>
              <w:rPr>
                <w:szCs w:val="21"/>
              </w:rPr>
            </w:pPr>
            <w:r>
              <w:rPr>
                <w:rFonts w:hint="eastAsia"/>
                <w:szCs w:val="21"/>
              </w:rPr>
              <w:t>信誉要求：近三年（2013年起至今）主要针对企业以往履约情况（由完成过类似项目的业主方出具的证明材料，至少一份）。</w:t>
            </w:r>
          </w:p>
          <w:p>
            <w:pPr>
              <w:spacing w:line="360" w:lineRule="exact"/>
              <w:rPr>
                <w:b/>
              </w:rPr>
            </w:pPr>
            <w:r>
              <w:rPr>
                <w:rFonts w:hint="eastAsia"/>
                <w:szCs w:val="21"/>
              </w:rPr>
              <w:t>其他要求：</w:t>
            </w:r>
            <w:r>
              <w:rPr>
                <w:rFonts w:hint="eastAsia"/>
                <w:b/>
              </w:rPr>
              <w:t>（以下证件均为原件于开标时交到工作人员处，否则视为自动放弃投标，不再接收其投标文件）</w:t>
            </w:r>
          </w:p>
          <w:p>
            <w:pPr>
              <w:spacing w:line="360" w:lineRule="exact"/>
              <w:rPr>
                <w:b/>
              </w:rPr>
            </w:pPr>
            <w:r>
              <w:rPr>
                <w:rFonts w:hint="eastAsia"/>
                <w:b/>
              </w:rPr>
              <w:t>1、法人持法定代表人身份证及身份证复印件（复印件须加盖公章）或授权委托人持法人授权委托书及本人身份证（复印件须加盖公章）</w:t>
            </w:r>
          </w:p>
          <w:p>
            <w:pPr>
              <w:spacing w:line="400" w:lineRule="exact"/>
              <w:rPr>
                <w:b/>
              </w:rPr>
            </w:pPr>
            <w:r>
              <w:rPr>
                <w:rFonts w:hint="eastAsia"/>
                <w:b/>
              </w:rPr>
              <w:t>2、投标单位必须提供由企业注册地或项目发生地检察机关出具的《行贿犯罪档案查询结果告知函》证明（查询近三年来法人、法定代表人、法定代表人委托人、项目经理）原件网上下载的查询告知函和检察机关现场出具的书面告知函具有同等效力），开具时间从发布招标公告之日起到开标的前一天。</w:t>
            </w:r>
          </w:p>
          <w:p>
            <w:pPr>
              <w:spacing w:line="400" w:lineRule="exact"/>
              <w:rPr>
                <w:szCs w:val="21"/>
              </w:rPr>
            </w:pPr>
            <w:r>
              <w:rPr>
                <w:rFonts w:hint="eastAsia"/>
                <w:b/>
              </w:rPr>
              <w:t>3、</w:t>
            </w:r>
            <w:r>
              <w:rPr>
                <w:rFonts w:hint="eastAsia" w:ascii="宋体" w:hAnsi="宋体"/>
                <w:b/>
                <w:szCs w:val="21"/>
              </w:rPr>
              <w:t>出具的项目经理、五大员的劳动关系证明。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889"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szCs w:val="21"/>
              </w:rPr>
            </w:pPr>
            <w:r>
              <w:rPr>
                <w:szCs w:val="21"/>
              </w:rPr>
              <w:t>1.</w:t>
            </w:r>
            <w:r>
              <w:rPr>
                <w:rFonts w:hint="eastAsia"/>
                <w:szCs w:val="21"/>
              </w:rPr>
              <w:t>9</w:t>
            </w:r>
            <w:r>
              <w:rPr>
                <w:szCs w:val="21"/>
              </w:rPr>
              <w:t>.1</w:t>
            </w:r>
          </w:p>
        </w:tc>
        <w:tc>
          <w:tcPr>
            <w:tcW w:w="3686"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jc w:val="center"/>
              <w:rPr>
                <w:szCs w:val="21"/>
              </w:rPr>
            </w:pPr>
            <w:r>
              <w:rPr>
                <w:rFonts w:hint="eastAsia"/>
                <w:szCs w:val="21"/>
              </w:rPr>
              <w:t>踏勘现场</w:t>
            </w:r>
          </w:p>
        </w:tc>
        <w:tc>
          <w:tcPr>
            <w:tcW w:w="4065" w:type="dxa"/>
            <w:gridSpan w:val="2"/>
            <w:tcBorders>
              <w:top w:val="single" w:color="auto" w:sz="4" w:space="0"/>
              <w:left w:val="single" w:color="auto" w:sz="4" w:space="0"/>
              <w:bottom w:val="single" w:color="auto" w:sz="4" w:space="0"/>
              <w:right w:val="single" w:color="auto" w:sz="4" w:space="0"/>
            </w:tcBorders>
            <w:vAlign w:val="center"/>
          </w:tcPr>
          <w:p>
            <w:pPr>
              <w:pStyle w:val="15"/>
              <w:topLinePunct/>
              <w:spacing w:line="400" w:lineRule="exact"/>
              <w:rPr>
                <w:rFonts w:ascii="Times New Roman"/>
                <w:sz w:val="21"/>
                <w:szCs w:val="21"/>
              </w:rPr>
            </w:pPr>
            <w:r>
              <w:rPr>
                <w:rFonts w:hint="eastAsia"/>
                <w:sz w:val="21"/>
                <w:szCs w:val="21"/>
              </w:rPr>
              <w:t>不组织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889"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szCs w:val="21"/>
              </w:rPr>
            </w:pPr>
            <w:r>
              <w:rPr>
                <w:szCs w:val="21"/>
              </w:rPr>
              <w:t>1.</w:t>
            </w:r>
            <w:r>
              <w:rPr>
                <w:rFonts w:hint="eastAsia"/>
                <w:szCs w:val="21"/>
              </w:rPr>
              <w:t>10</w:t>
            </w:r>
            <w:r>
              <w:rPr>
                <w:szCs w:val="21"/>
              </w:rPr>
              <w:t>.1</w:t>
            </w:r>
          </w:p>
        </w:tc>
        <w:tc>
          <w:tcPr>
            <w:tcW w:w="3686"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jc w:val="center"/>
              <w:rPr>
                <w:szCs w:val="21"/>
              </w:rPr>
            </w:pPr>
            <w:r>
              <w:rPr>
                <w:rFonts w:hint="eastAsia"/>
                <w:szCs w:val="21"/>
              </w:rPr>
              <w:t>投标预备会</w:t>
            </w:r>
          </w:p>
        </w:tc>
        <w:tc>
          <w:tcPr>
            <w:tcW w:w="4065" w:type="dxa"/>
            <w:gridSpan w:val="2"/>
            <w:tcBorders>
              <w:top w:val="single" w:color="auto" w:sz="4" w:space="0"/>
              <w:left w:val="single" w:color="auto" w:sz="4" w:space="0"/>
              <w:bottom w:val="single" w:color="auto" w:sz="4" w:space="0"/>
              <w:right w:val="single" w:color="auto" w:sz="4" w:space="0"/>
            </w:tcBorders>
            <w:vAlign w:val="center"/>
          </w:tcPr>
          <w:p>
            <w:pPr>
              <w:pStyle w:val="15"/>
              <w:topLinePunct/>
              <w:spacing w:line="400" w:lineRule="exact"/>
              <w:rPr>
                <w:rFonts w:ascii="Times New Roman"/>
                <w:sz w:val="21"/>
                <w:szCs w:val="21"/>
              </w:rPr>
            </w:pPr>
            <w:r>
              <w:rPr>
                <w:rFonts w:hint="eastAsia" w:ascii="Times New Roman"/>
                <w:sz w:val="21"/>
                <w:szCs w:val="21"/>
              </w:rPr>
              <w:t>不召开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889"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szCs w:val="21"/>
              </w:rPr>
            </w:pPr>
            <w:r>
              <w:rPr>
                <w:szCs w:val="21"/>
              </w:rPr>
              <w:t>1.10.2</w:t>
            </w:r>
          </w:p>
        </w:tc>
        <w:tc>
          <w:tcPr>
            <w:tcW w:w="3686"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jc w:val="center"/>
              <w:rPr>
                <w:szCs w:val="21"/>
              </w:rPr>
            </w:pPr>
            <w:r>
              <w:rPr>
                <w:szCs w:val="21"/>
              </w:rPr>
              <w:t>投标人提出问题的截止时间</w:t>
            </w:r>
          </w:p>
        </w:tc>
        <w:tc>
          <w:tcPr>
            <w:tcW w:w="4065"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rPr>
                <w:szCs w:val="21"/>
              </w:rPr>
            </w:pPr>
            <w:r>
              <w:rPr>
                <w:rFonts w:hint="eastAsia" w:ascii="宋体" w:hAnsi="宋体"/>
                <w:szCs w:val="21"/>
              </w:rPr>
              <w:t>递交投标文件截止时间10天前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889"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szCs w:val="21"/>
              </w:rPr>
            </w:pPr>
            <w:r>
              <w:rPr>
                <w:szCs w:val="21"/>
              </w:rPr>
              <w:t>1.10.3</w:t>
            </w:r>
          </w:p>
        </w:tc>
        <w:tc>
          <w:tcPr>
            <w:tcW w:w="3686"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jc w:val="center"/>
              <w:rPr>
                <w:szCs w:val="21"/>
              </w:rPr>
            </w:pPr>
            <w:r>
              <w:rPr>
                <w:szCs w:val="21"/>
              </w:rPr>
              <w:t>招标人书面澄清的时间</w:t>
            </w:r>
          </w:p>
        </w:tc>
        <w:tc>
          <w:tcPr>
            <w:tcW w:w="4065"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rPr>
                <w:rFonts w:ascii="宋体" w:hAnsi="宋体"/>
                <w:szCs w:val="21"/>
              </w:rPr>
            </w:pPr>
            <w:r>
              <w:rPr>
                <w:rFonts w:hint="eastAsia"/>
                <w:color w:val="000000"/>
              </w:rPr>
              <w:t>自收到异议之日起3日内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889"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szCs w:val="21"/>
              </w:rPr>
            </w:pPr>
            <w:r>
              <w:rPr>
                <w:rFonts w:hint="eastAsia"/>
                <w:szCs w:val="21"/>
              </w:rPr>
              <w:t>1.11</w:t>
            </w:r>
          </w:p>
        </w:tc>
        <w:tc>
          <w:tcPr>
            <w:tcW w:w="3686"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jc w:val="center"/>
              <w:rPr>
                <w:szCs w:val="21"/>
              </w:rPr>
            </w:pPr>
            <w:r>
              <w:rPr>
                <w:rFonts w:hint="eastAsia"/>
                <w:szCs w:val="21"/>
              </w:rPr>
              <w:t>偏离</w:t>
            </w:r>
          </w:p>
        </w:tc>
        <w:tc>
          <w:tcPr>
            <w:tcW w:w="4065" w:type="dxa"/>
            <w:gridSpan w:val="2"/>
            <w:tcBorders>
              <w:top w:val="single" w:color="auto" w:sz="4" w:space="0"/>
              <w:left w:val="single" w:color="auto" w:sz="4" w:space="0"/>
              <w:bottom w:val="single" w:color="auto" w:sz="4" w:space="0"/>
              <w:right w:val="single" w:color="auto" w:sz="4" w:space="0"/>
            </w:tcBorders>
            <w:vAlign w:val="center"/>
          </w:tcPr>
          <w:p>
            <w:pPr>
              <w:pStyle w:val="15"/>
              <w:topLinePunct/>
              <w:spacing w:line="400" w:lineRule="exact"/>
              <w:rPr>
                <w:rFonts w:ascii="Times New Roman"/>
                <w:sz w:val="21"/>
                <w:szCs w:val="21"/>
              </w:rPr>
            </w:pPr>
            <w:r>
              <w:rPr>
                <w:rFonts w:hint="eastAsia" w:ascii="Times New Roman"/>
                <w:sz w:val="21"/>
                <w:szCs w:val="21"/>
              </w:rPr>
              <w:t>不允许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889"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szCs w:val="21"/>
              </w:rPr>
            </w:pPr>
            <w:r>
              <w:rPr>
                <w:szCs w:val="21"/>
              </w:rPr>
              <w:t>2.1</w:t>
            </w:r>
          </w:p>
        </w:tc>
        <w:tc>
          <w:tcPr>
            <w:tcW w:w="3686"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jc w:val="center"/>
              <w:rPr>
                <w:szCs w:val="21"/>
              </w:rPr>
            </w:pPr>
            <w:r>
              <w:rPr>
                <w:szCs w:val="21"/>
              </w:rPr>
              <w:t>构成招标文件的其他材料</w:t>
            </w:r>
          </w:p>
        </w:tc>
        <w:tc>
          <w:tcPr>
            <w:tcW w:w="4065"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rPr>
                <w:szCs w:val="21"/>
              </w:rPr>
            </w:pPr>
            <w:r>
              <w:rPr>
                <w:rFonts w:hint="eastAsia"/>
                <w:color w:val="000000"/>
              </w:rPr>
              <w:t>招标控制价以及招标人在招标期间发出的有编号的补遗书和其它有效正式函件。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889"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szCs w:val="21"/>
              </w:rPr>
            </w:pPr>
            <w:r>
              <w:rPr>
                <w:szCs w:val="21"/>
              </w:rPr>
              <w:t>2.2.1</w:t>
            </w:r>
          </w:p>
        </w:tc>
        <w:tc>
          <w:tcPr>
            <w:tcW w:w="3686"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jc w:val="center"/>
              <w:rPr>
                <w:szCs w:val="21"/>
              </w:rPr>
            </w:pPr>
            <w:r>
              <w:rPr>
                <w:szCs w:val="21"/>
              </w:rPr>
              <w:t>投标人要求澄清招标文件的截止时间</w:t>
            </w:r>
          </w:p>
        </w:tc>
        <w:tc>
          <w:tcPr>
            <w:tcW w:w="4065"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rPr>
                <w:szCs w:val="21"/>
              </w:rPr>
            </w:pPr>
            <w:r>
              <w:rPr>
                <w:rFonts w:hint="eastAsia"/>
                <w:color w:val="000000"/>
              </w:rPr>
              <w:t>同投标人提出问题的截止时间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889"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szCs w:val="21"/>
              </w:rPr>
            </w:pPr>
            <w:r>
              <w:rPr>
                <w:szCs w:val="21"/>
              </w:rPr>
              <w:t>2.2.2</w:t>
            </w:r>
          </w:p>
        </w:tc>
        <w:tc>
          <w:tcPr>
            <w:tcW w:w="3686"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jc w:val="center"/>
              <w:rPr>
                <w:szCs w:val="21"/>
              </w:rPr>
            </w:pPr>
            <w:r>
              <w:rPr>
                <w:szCs w:val="21"/>
              </w:rPr>
              <w:t>投标截止时间</w:t>
            </w:r>
          </w:p>
        </w:tc>
        <w:tc>
          <w:tcPr>
            <w:tcW w:w="4065"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rPr>
                <w:szCs w:val="21"/>
              </w:rPr>
            </w:pPr>
            <w:r>
              <w:rPr>
                <w:rFonts w:hint="eastAsia"/>
                <w:szCs w:val="21"/>
                <w:u w:val="single"/>
              </w:rPr>
              <w:t xml:space="preserve"> 2016 </w:t>
            </w:r>
            <w:r>
              <w:rPr>
                <w:rFonts w:hint="eastAsia"/>
                <w:szCs w:val="21"/>
              </w:rPr>
              <w:t>年</w:t>
            </w:r>
            <w:r>
              <w:rPr>
                <w:rFonts w:hint="eastAsia"/>
                <w:szCs w:val="21"/>
                <w:u w:val="single"/>
              </w:rPr>
              <w:t xml:space="preserve">    </w:t>
            </w:r>
            <w:r>
              <w:rPr>
                <w:rFonts w:hint="eastAsia"/>
                <w:szCs w:val="21"/>
              </w:rPr>
              <w:t>月</w:t>
            </w:r>
            <w:r>
              <w:rPr>
                <w:rFonts w:hint="eastAsia"/>
                <w:szCs w:val="21"/>
                <w:u w:val="single"/>
              </w:rPr>
              <w:t xml:space="preserve">    </w:t>
            </w:r>
            <w:r>
              <w:rPr>
                <w:rFonts w:hint="eastAsia"/>
                <w:szCs w:val="21"/>
              </w:rPr>
              <w:t>日</w:t>
            </w:r>
            <w:r>
              <w:rPr>
                <w:rFonts w:hint="eastAsia"/>
                <w:szCs w:val="21"/>
                <w:u w:val="single"/>
              </w:rPr>
              <w:t xml:space="preserve">    </w:t>
            </w:r>
            <w:r>
              <w:rPr>
                <w:rFonts w:hint="eastAsia"/>
                <w:szCs w:val="21"/>
              </w:rPr>
              <w:t>时</w:t>
            </w:r>
            <w:r>
              <w:rPr>
                <w:rFonts w:hint="eastAsia"/>
                <w:szCs w:val="21"/>
                <w:u w:val="single"/>
              </w:rPr>
              <w:t xml:space="preserve">    </w:t>
            </w:r>
            <w:r>
              <w:rPr>
                <w:rFonts w:hint="eastAsia"/>
                <w:szCs w:val="21"/>
              </w:rPr>
              <w:t>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4" w:hRule="atLeast"/>
        </w:trPr>
        <w:tc>
          <w:tcPr>
            <w:tcW w:w="889"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szCs w:val="21"/>
              </w:rPr>
            </w:pPr>
            <w:r>
              <w:rPr>
                <w:szCs w:val="21"/>
              </w:rPr>
              <w:t>2.2.3</w:t>
            </w:r>
          </w:p>
        </w:tc>
        <w:tc>
          <w:tcPr>
            <w:tcW w:w="3686"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jc w:val="center"/>
              <w:rPr>
                <w:szCs w:val="21"/>
              </w:rPr>
            </w:pPr>
            <w:r>
              <w:rPr>
                <w:szCs w:val="21"/>
              </w:rPr>
              <w:t>投标人确认收到招标文件澄清的时间</w:t>
            </w:r>
          </w:p>
        </w:tc>
        <w:tc>
          <w:tcPr>
            <w:tcW w:w="4065" w:type="dxa"/>
            <w:gridSpan w:val="2"/>
            <w:tcBorders>
              <w:top w:val="single" w:color="auto" w:sz="4" w:space="0"/>
              <w:left w:val="single" w:color="auto" w:sz="4" w:space="0"/>
              <w:bottom w:val="single" w:color="auto" w:sz="4" w:space="0"/>
              <w:right w:val="single" w:color="auto" w:sz="4" w:space="0"/>
            </w:tcBorders>
            <w:vAlign w:val="center"/>
          </w:tcPr>
          <w:p>
            <w:pPr>
              <w:rPr>
                <w:rFonts w:ascii="宋体" w:hAnsi="宋体"/>
                <w:szCs w:val="21"/>
              </w:rPr>
            </w:pPr>
            <w:r>
              <w:rPr>
                <w:rFonts w:hint="eastAsia" w:ascii="宋体" w:hAnsi="宋体"/>
                <w:szCs w:val="21"/>
              </w:rPr>
              <w:t>同招标人书面澄清的时间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889"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szCs w:val="21"/>
              </w:rPr>
            </w:pPr>
            <w:r>
              <w:rPr>
                <w:szCs w:val="21"/>
              </w:rPr>
              <w:t>2.3.2</w:t>
            </w:r>
          </w:p>
        </w:tc>
        <w:tc>
          <w:tcPr>
            <w:tcW w:w="3686"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jc w:val="center"/>
              <w:rPr>
                <w:szCs w:val="21"/>
              </w:rPr>
            </w:pPr>
            <w:r>
              <w:rPr>
                <w:szCs w:val="21"/>
              </w:rPr>
              <w:t>投标人确认收到招标文件修改的时间</w:t>
            </w:r>
          </w:p>
        </w:tc>
        <w:tc>
          <w:tcPr>
            <w:tcW w:w="4065" w:type="dxa"/>
            <w:gridSpan w:val="2"/>
            <w:tcBorders>
              <w:top w:val="single" w:color="auto" w:sz="4" w:space="0"/>
              <w:left w:val="single" w:color="auto" w:sz="4" w:space="0"/>
              <w:bottom w:val="single" w:color="auto" w:sz="4" w:space="0"/>
              <w:right w:val="single" w:color="auto" w:sz="4" w:space="0"/>
            </w:tcBorders>
            <w:vAlign w:val="center"/>
          </w:tcPr>
          <w:p>
            <w:pPr>
              <w:rPr>
                <w:rFonts w:ascii="宋体" w:hAnsi="宋体"/>
                <w:szCs w:val="21"/>
              </w:rPr>
            </w:pPr>
            <w:r>
              <w:rPr>
                <w:rFonts w:hint="eastAsia" w:ascii="宋体" w:hAnsi="宋体"/>
                <w:szCs w:val="21"/>
              </w:rPr>
              <w:t>同招标人书面澄清的时间，投标截止时间15日前，不足15日的，招标人应当顺延提交投标文件的截止时间。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63" w:hRule="atLeast"/>
        </w:trPr>
        <w:tc>
          <w:tcPr>
            <w:tcW w:w="889"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szCs w:val="21"/>
              </w:rPr>
            </w:pPr>
            <w:r>
              <w:rPr>
                <w:szCs w:val="21"/>
              </w:rPr>
              <w:t>3.1</w:t>
            </w:r>
            <w:r>
              <w:rPr>
                <w:rFonts w:hint="eastAsia"/>
                <w:szCs w:val="21"/>
              </w:rPr>
              <w:t>.1</w:t>
            </w:r>
          </w:p>
        </w:tc>
        <w:tc>
          <w:tcPr>
            <w:tcW w:w="3686"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jc w:val="center"/>
              <w:rPr>
                <w:szCs w:val="21"/>
              </w:rPr>
            </w:pPr>
            <w:r>
              <w:rPr>
                <w:szCs w:val="21"/>
              </w:rPr>
              <w:t>构成投标文件的其他材料</w:t>
            </w:r>
          </w:p>
        </w:tc>
        <w:tc>
          <w:tcPr>
            <w:tcW w:w="406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rPr>
                <w:color w:val="000000"/>
              </w:rPr>
            </w:pPr>
            <w:r>
              <w:rPr>
                <w:rFonts w:hint="eastAsia"/>
                <w:color w:val="000000"/>
              </w:rPr>
              <w:t>按招标文件要求。</w:t>
            </w:r>
          </w:p>
          <w:p>
            <w:pPr>
              <w:spacing w:line="400" w:lineRule="exact"/>
              <w:rPr>
                <w:szCs w:val="21"/>
              </w:rPr>
            </w:pPr>
            <w:r>
              <w:rPr>
                <w:rFonts w:hint="eastAsia"/>
                <w:color w:val="000000"/>
              </w:rPr>
              <w:t>注：</w:t>
            </w:r>
            <w:r>
              <w:rPr>
                <w:rFonts w:hint="eastAsia"/>
                <w:b/>
                <w:color w:val="000000"/>
              </w:rPr>
              <w:t>资格审查资料所需证件均为复印件，</w:t>
            </w:r>
            <w:r>
              <w:rPr>
                <w:rFonts w:hint="eastAsia"/>
                <w:b/>
              </w:rPr>
              <w:t>开标时</w:t>
            </w:r>
            <w:r>
              <w:rPr>
                <w:rFonts w:hint="eastAsia"/>
                <w:b/>
                <w:color w:val="000000"/>
              </w:rPr>
              <w:t>提供相应原件并列明清单，供评委评审。（资质证书提供原件或复印件加盖公章，可通过“全国建筑市场监管与诚信信息发布平台”、“河南省建筑市场监管信息系统暨一体化工作平台”以及资质证书二维码标识查阅企业相关信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54" w:hRule="atLeast"/>
        </w:trPr>
        <w:tc>
          <w:tcPr>
            <w:tcW w:w="889"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szCs w:val="21"/>
              </w:rPr>
            </w:pPr>
            <w:r>
              <w:rPr>
                <w:szCs w:val="21"/>
              </w:rPr>
              <w:t>3.3</w:t>
            </w:r>
            <w:r>
              <w:rPr>
                <w:rFonts w:hint="eastAsia"/>
                <w:szCs w:val="21"/>
              </w:rPr>
              <w:t>.1</w:t>
            </w:r>
          </w:p>
        </w:tc>
        <w:tc>
          <w:tcPr>
            <w:tcW w:w="3686"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jc w:val="center"/>
              <w:rPr>
                <w:szCs w:val="21"/>
              </w:rPr>
            </w:pPr>
            <w:r>
              <w:rPr>
                <w:szCs w:val="21"/>
              </w:rPr>
              <w:t>投标有效期</w:t>
            </w:r>
          </w:p>
        </w:tc>
        <w:tc>
          <w:tcPr>
            <w:tcW w:w="4065"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rPr>
                <w:szCs w:val="21"/>
              </w:rPr>
            </w:pPr>
            <w:r>
              <w:rPr>
                <w:rFonts w:hint="eastAsia" w:ascii="宋体" w:hAnsi="宋体"/>
                <w:szCs w:val="21"/>
                <w:u w:val="single"/>
              </w:rPr>
              <w:t xml:space="preserve">  60 </w:t>
            </w:r>
            <w:r>
              <w:rPr>
                <w:rFonts w:hint="eastAsia" w:ascii="宋体" w:hAnsi="宋体"/>
                <w:szCs w:val="21"/>
              </w:rPr>
              <w:t>日历天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704" w:hRule="atLeast"/>
        </w:trPr>
        <w:tc>
          <w:tcPr>
            <w:tcW w:w="889"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szCs w:val="21"/>
              </w:rPr>
            </w:pPr>
            <w:r>
              <w:rPr>
                <w:szCs w:val="21"/>
              </w:rPr>
              <w:t>3.4.1</w:t>
            </w:r>
          </w:p>
        </w:tc>
        <w:tc>
          <w:tcPr>
            <w:tcW w:w="3686"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jc w:val="center"/>
              <w:rPr>
                <w:szCs w:val="21"/>
              </w:rPr>
            </w:pPr>
            <w:r>
              <w:rPr>
                <w:szCs w:val="21"/>
              </w:rPr>
              <w:t>投标保证金</w:t>
            </w:r>
          </w:p>
        </w:tc>
        <w:tc>
          <w:tcPr>
            <w:tcW w:w="4065" w:type="dxa"/>
            <w:gridSpan w:val="2"/>
            <w:tcBorders>
              <w:top w:val="single" w:color="auto" w:sz="4" w:space="0"/>
              <w:left w:val="single" w:color="auto" w:sz="4" w:space="0"/>
              <w:bottom w:val="single" w:color="auto" w:sz="4" w:space="0"/>
              <w:right w:val="single" w:color="auto" w:sz="4" w:space="0"/>
            </w:tcBorders>
            <w:vAlign w:val="center"/>
          </w:tcPr>
          <w:p>
            <w:pPr>
              <w:rPr>
                <w:rFonts w:ascii="宋体" w:hAnsi="宋体"/>
                <w:szCs w:val="21"/>
                <w:lang w:val="zh-CN"/>
              </w:rPr>
            </w:pPr>
            <w:r>
              <w:rPr>
                <w:rFonts w:hint="eastAsia" w:ascii="宋体" w:hAnsi="宋体"/>
                <w:szCs w:val="21"/>
                <w:lang w:val="zh-CN"/>
              </w:rPr>
              <w:t>投标保证金的形式：网上在线支付</w:t>
            </w:r>
          </w:p>
          <w:p>
            <w:pPr>
              <w:rPr>
                <w:rFonts w:ascii="宋体" w:hAnsi="宋体"/>
                <w:szCs w:val="21"/>
                <w:lang w:val="zh-CN"/>
              </w:rPr>
            </w:pPr>
            <w:r>
              <w:rPr>
                <w:rFonts w:hint="eastAsia" w:ascii="宋体" w:hAnsi="宋体"/>
                <w:szCs w:val="21"/>
                <w:lang w:val="zh-CN"/>
              </w:rPr>
              <w:t>网上缴纳投标保证金：通过7家商业银行：工商银行、农业银行、中国银行、建设银行、交通银行、招商银行、中信银行的企业网银缴纳投标保证金(企业网银支付投标保证金的前提条件是：企业账户开通网上银行功能，以下4家有特殊要求：中国农业银行：智博版网银（必须用智博版网银，智锐版网银不能进行网上支付）</w:t>
            </w:r>
          </w:p>
          <w:p>
            <w:pPr>
              <w:rPr>
                <w:rFonts w:ascii="宋体" w:hAnsi="宋体"/>
                <w:szCs w:val="21"/>
                <w:lang w:val="zh-CN"/>
              </w:rPr>
            </w:pPr>
            <w:r>
              <w:rPr>
                <w:rFonts w:hint="eastAsia" w:ascii="宋体" w:hAnsi="宋体"/>
                <w:szCs w:val="21"/>
                <w:lang w:val="zh-CN"/>
              </w:rPr>
              <w:t>中国建设银行：企业高级版网银（必须用高级版网银）</w:t>
            </w:r>
          </w:p>
          <w:p>
            <w:pPr>
              <w:rPr>
                <w:rFonts w:ascii="宋体" w:hAnsi="宋体"/>
                <w:szCs w:val="21"/>
                <w:lang w:val="zh-CN"/>
              </w:rPr>
            </w:pPr>
            <w:r>
              <w:rPr>
                <w:rFonts w:hint="eastAsia" w:ascii="宋体" w:hAnsi="宋体"/>
                <w:szCs w:val="21"/>
                <w:lang w:val="zh-CN"/>
              </w:rPr>
              <w:t>中国交通银行：管理员在网银中设置操作员权限</w:t>
            </w:r>
          </w:p>
          <w:p>
            <w:pPr>
              <w:spacing w:line="240" w:lineRule="exact"/>
              <w:rPr>
                <w:rFonts w:ascii="宋体" w:hAnsi="宋体"/>
                <w:szCs w:val="21"/>
                <w:lang w:val="zh-CN"/>
              </w:rPr>
            </w:pPr>
            <w:r>
              <w:rPr>
                <w:rFonts w:hint="eastAsia" w:ascii="宋体" w:hAnsi="宋体"/>
                <w:szCs w:val="21"/>
                <w:lang w:val="zh-CN"/>
              </w:rPr>
              <w:t>中国招商银行：管理员在招行U-Bank软件中设置（用网银前先确认客户端已安装）)，手续费15元/笔。</w:t>
            </w:r>
          </w:p>
          <w:p>
            <w:pPr>
              <w:spacing w:line="240" w:lineRule="exact"/>
              <w:rPr>
                <w:rFonts w:ascii="宋体" w:hAnsi="宋体"/>
                <w:szCs w:val="21"/>
                <w:lang w:val="zh-CN"/>
              </w:rPr>
            </w:pPr>
            <w:r>
              <w:rPr>
                <w:rFonts w:hint="eastAsia" w:ascii="宋体" w:hAnsi="宋体"/>
                <w:szCs w:val="21"/>
                <w:lang w:val="zh-CN"/>
              </w:rPr>
              <w:t>企业网银缴纳咨询电话：客服电话：400 880 9888-8</w:t>
            </w:r>
          </w:p>
          <w:p>
            <w:pPr>
              <w:spacing w:line="240" w:lineRule="exact"/>
              <w:rPr>
                <w:rFonts w:ascii="宋体" w:hAnsi="宋体"/>
                <w:color w:val="000000"/>
                <w:szCs w:val="21"/>
                <w:lang w:val="zh-CN"/>
              </w:rPr>
            </w:pPr>
            <w:r>
              <w:rPr>
                <w:rFonts w:hint="eastAsia" w:ascii="宋体" w:hAnsi="宋体"/>
                <w:szCs w:val="21"/>
                <w:lang w:val="zh-CN"/>
              </w:rPr>
              <w:t>客服电话010-589033</w:t>
            </w:r>
            <w:r>
              <w:rPr>
                <w:rFonts w:hint="eastAsia" w:ascii="宋体" w:hAnsi="宋体"/>
                <w:color w:val="000000"/>
                <w:szCs w:val="21"/>
                <w:lang w:val="zh-CN"/>
              </w:rPr>
              <w:t>77/010-58903336。</w:t>
            </w:r>
          </w:p>
          <w:p>
            <w:pPr>
              <w:spacing w:line="240" w:lineRule="exact"/>
              <w:rPr>
                <w:rFonts w:ascii="宋体" w:hAnsi="宋体"/>
                <w:color w:val="000000"/>
                <w:shd w:val="clear" w:color="auto" w:fill="FFFFFF"/>
              </w:rPr>
            </w:pPr>
            <w:r>
              <w:rPr>
                <w:rFonts w:hint="eastAsia" w:ascii="宋体" w:hAnsi="宋体"/>
                <w:color w:val="000000"/>
                <w:szCs w:val="21"/>
                <w:lang w:val="zh-CN"/>
              </w:rPr>
              <w:t>投标保证金的金额</w:t>
            </w:r>
            <w:r>
              <w:rPr>
                <w:rFonts w:hint="eastAsia" w:ascii="宋体" w:hAnsi="宋体"/>
                <w:color w:val="000000"/>
                <w:shd w:val="clear" w:color="auto" w:fill="FFFFFF"/>
              </w:rPr>
              <w:t>：人民币</w:t>
            </w:r>
            <w:r>
              <w:rPr>
                <w:rFonts w:hint="eastAsia" w:ascii="宋体" w:hAnsi="宋体"/>
                <w:shd w:val="clear" w:color="auto" w:fill="FFFFFF"/>
              </w:rPr>
              <w:t>壹拾柒万元整（￥：170000.00元）</w:t>
            </w:r>
          </w:p>
          <w:p>
            <w:pPr>
              <w:spacing w:line="240" w:lineRule="exact"/>
              <w:jc w:val="left"/>
              <w:rPr>
                <w:rFonts w:ascii="宋体" w:hAnsi="宋体"/>
                <w:szCs w:val="21"/>
                <w:lang w:val="zh-CN"/>
              </w:rPr>
            </w:pPr>
            <w:r>
              <w:rPr>
                <w:rFonts w:hint="eastAsia" w:ascii="宋体" w:hAnsi="宋体"/>
                <w:color w:val="000000"/>
                <w:szCs w:val="21"/>
                <w:lang w:val="zh-CN"/>
              </w:rPr>
              <w:t>投标人须使用已备案账户通过温县招标投标交易管理系统进行自助网上缴纳。递交时间：投标人必须于201</w:t>
            </w:r>
            <w:r>
              <w:rPr>
                <w:rFonts w:hint="eastAsia" w:ascii="宋体" w:hAnsi="宋体"/>
                <w:color w:val="000000"/>
                <w:szCs w:val="21"/>
              </w:rPr>
              <w:t>6</w:t>
            </w:r>
            <w:r>
              <w:rPr>
                <w:rFonts w:hint="eastAsia" w:ascii="宋体" w:hAnsi="宋体"/>
                <w:color w:val="000000"/>
                <w:szCs w:val="21"/>
                <w:lang w:val="zh-CN"/>
              </w:rPr>
              <w:t>年月日 16</w:t>
            </w:r>
            <w:r>
              <w:rPr>
                <w:rFonts w:hint="eastAsia" w:ascii="宋体" w:hAnsi="宋体"/>
                <w:szCs w:val="21"/>
                <w:lang w:val="zh-CN"/>
              </w:rPr>
              <w:t>时前，交至指定账户，以温县公共资源交易中心招标投标交易管理系统确认为准。</w:t>
            </w:r>
          </w:p>
          <w:p>
            <w:pPr>
              <w:spacing w:line="240" w:lineRule="exact"/>
              <w:rPr>
                <w:rFonts w:ascii="宋体" w:hAnsi="宋体"/>
                <w:szCs w:val="21"/>
              </w:rPr>
            </w:pPr>
            <w:r>
              <w:rPr>
                <w:rFonts w:hint="eastAsia" w:ascii="宋体" w:hAnsi="宋体"/>
                <w:szCs w:val="21"/>
                <w:lang w:val="zh-CN"/>
              </w:rPr>
              <w:t>未按本规定和要求提交投标保证金的，按无效投标处理</w:t>
            </w:r>
            <w:r>
              <w:rPr>
                <w:rFonts w:hint="eastAsia" w:ascii="宋体" w:hAnsi="宋体"/>
                <w:szCs w:val="21"/>
              </w:rPr>
              <w:t>。</w:t>
            </w:r>
          </w:p>
          <w:p>
            <w:pPr>
              <w:spacing w:line="240" w:lineRule="exact"/>
              <w:rPr>
                <w:szCs w:val="21"/>
              </w:rPr>
            </w:pPr>
            <w:r>
              <w:rPr>
                <w:rFonts w:hint="eastAsia" w:ascii="宋体" w:hAnsi="宋体"/>
                <w:szCs w:val="21"/>
              </w:rPr>
              <w:t>如提交投标保证金的投标人少于三家的，招标人将依法重新组织招标。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460" w:hRule="atLeast"/>
        </w:trPr>
        <w:tc>
          <w:tcPr>
            <w:tcW w:w="889"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szCs w:val="21"/>
              </w:rPr>
            </w:pPr>
            <w:r>
              <w:rPr>
                <w:szCs w:val="21"/>
              </w:rPr>
              <w:t>3.</w:t>
            </w:r>
            <w:r>
              <w:rPr>
                <w:rFonts w:hint="eastAsia"/>
                <w:szCs w:val="21"/>
              </w:rPr>
              <w:t>5</w:t>
            </w:r>
            <w:r>
              <w:rPr>
                <w:szCs w:val="21"/>
              </w:rPr>
              <w:t>.</w:t>
            </w:r>
            <w:r>
              <w:rPr>
                <w:rFonts w:hint="eastAsia"/>
                <w:szCs w:val="21"/>
              </w:rPr>
              <w:t>2</w:t>
            </w:r>
          </w:p>
        </w:tc>
        <w:tc>
          <w:tcPr>
            <w:tcW w:w="3686"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jc w:val="center"/>
              <w:rPr>
                <w:szCs w:val="21"/>
              </w:rPr>
            </w:pPr>
            <w:r>
              <w:rPr>
                <w:rFonts w:hint="eastAsia"/>
                <w:szCs w:val="21"/>
              </w:rPr>
              <w:t>近年财务状况的年份要求</w:t>
            </w:r>
          </w:p>
        </w:tc>
        <w:tc>
          <w:tcPr>
            <w:tcW w:w="4065" w:type="dxa"/>
            <w:gridSpan w:val="2"/>
            <w:tcBorders>
              <w:top w:val="single" w:color="auto" w:sz="4" w:space="0"/>
              <w:left w:val="single" w:color="auto" w:sz="4" w:space="0"/>
              <w:bottom w:val="single" w:color="auto" w:sz="4" w:space="0"/>
              <w:right w:val="single" w:color="auto" w:sz="4" w:space="0"/>
            </w:tcBorders>
            <w:vAlign w:val="center"/>
          </w:tcPr>
          <w:p>
            <w:pPr>
              <w:spacing w:line="288" w:lineRule="auto"/>
              <w:rPr>
                <w:color w:val="000000"/>
              </w:rPr>
            </w:pPr>
            <w:r>
              <w:rPr>
                <w:rFonts w:hint="eastAsia"/>
                <w:color w:val="000000"/>
              </w:rPr>
              <w:t>近</w:t>
            </w:r>
            <w:r>
              <w:rPr>
                <w:rFonts w:hint="eastAsia"/>
                <w:color w:val="000000"/>
                <w:u w:val="single"/>
              </w:rPr>
              <w:t xml:space="preserve"> 3  </w:t>
            </w:r>
            <w:r>
              <w:rPr>
                <w:rFonts w:hint="eastAsia"/>
                <w:color w:val="000000"/>
              </w:rPr>
              <w:t>年，指</w:t>
            </w:r>
            <w:r>
              <w:rPr>
                <w:rFonts w:hint="eastAsia"/>
                <w:color w:val="000000"/>
                <w:u w:val="single"/>
              </w:rPr>
              <w:t xml:space="preserve"> 2013 </w:t>
            </w:r>
            <w:r>
              <w:rPr>
                <w:rFonts w:hint="eastAsia"/>
                <w:color w:val="000000"/>
              </w:rPr>
              <w:t>年</w:t>
            </w:r>
            <w:r>
              <w:rPr>
                <w:rFonts w:hint="eastAsia"/>
                <w:color w:val="000000"/>
                <w:u w:val="single"/>
              </w:rPr>
              <w:t xml:space="preserve"> 1   </w:t>
            </w:r>
            <w:r>
              <w:rPr>
                <w:rFonts w:hint="eastAsia"/>
                <w:color w:val="000000"/>
              </w:rPr>
              <w:t>月</w:t>
            </w:r>
            <w:r>
              <w:rPr>
                <w:rFonts w:hint="eastAsia"/>
                <w:color w:val="000000"/>
                <w:u w:val="single"/>
              </w:rPr>
              <w:t xml:space="preserve">  1  </w:t>
            </w:r>
            <w:r>
              <w:rPr>
                <w:rFonts w:hint="eastAsia"/>
                <w:color w:val="000000"/>
              </w:rPr>
              <w:t>日起至</w:t>
            </w:r>
            <w:r>
              <w:rPr>
                <w:rFonts w:hint="eastAsia"/>
                <w:color w:val="000000"/>
                <w:u w:val="single"/>
              </w:rPr>
              <w:t xml:space="preserve"> 2015 </w:t>
            </w:r>
            <w:r>
              <w:rPr>
                <w:rFonts w:hint="eastAsia"/>
                <w:color w:val="000000"/>
              </w:rPr>
              <w:t>年</w:t>
            </w:r>
            <w:r>
              <w:rPr>
                <w:rFonts w:hint="eastAsia"/>
                <w:color w:val="000000"/>
                <w:u w:val="single"/>
              </w:rPr>
              <w:t xml:space="preserve"> 12   </w:t>
            </w:r>
            <w:r>
              <w:rPr>
                <w:rFonts w:hint="eastAsia"/>
                <w:color w:val="000000"/>
              </w:rPr>
              <w:t>月</w:t>
            </w:r>
            <w:r>
              <w:rPr>
                <w:rFonts w:hint="eastAsia"/>
                <w:color w:val="000000"/>
                <w:u w:val="single"/>
              </w:rPr>
              <w:t xml:space="preserve"> 31  </w:t>
            </w:r>
            <w:r>
              <w:rPr>
                <w:rFonts w:hint="eastAsia"/>
                <w:color w:val="000000"/>
              </w:rPr>
              <w:t>日止。</w:t>
            </w:r>
          </w:p>
          <w:p>
            <w:pPr>
              <w:spacing w:line="440" w:lineRule="exact"/>
              <w:rPr>
                <w:szCs w:val="21"/>
              </w:rPr>
            </w:pPr>
            <w:r>
              <w:rPr>
                <w:rFonts w:hint="eastAsia"/>
                <w:color w:val="000000"/>
                <w:u w:val="single"/>
              </w:rPr>
              <w:t>（新成立企业不足3年的按已有年份计算）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889"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szCs w:val="21"/>
              </w:rPr>
            </w:pPr>
            <w:r>
              <w:rPr>
                <w:szCs w:val="21"/>
              </w:rPr>
              <w:t>3.</w:t>
            </w:r>
            <w:r>
              <w:rPr>
                <w:rFonts w:hint="eastAsia"/>
                <w:szCs w:val="21"/>
              </w:rPr>
              <w:t>5</w:t>
            </w:r>
            <w:r>
              <w:rPr>
                <w:szCs w:val="21"/>
              </w:rPr>
              <w:t>.</w:t>
            </w:r>
            <w:r>
              <w:rPr>
                <w:rFonts w:hint="eastAsia"/>
                <w:szCs w:val="21"/>
              </w:rPr>
              <w:t>3</w:t>
            </w:r>
          </w:p>
        </w:tc>
        <w:tc>
          <w:tcPr>
            <w:tcW w:w="3686"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jc w:val="center"/>
              <w:rPr>
                <w:szCs w:val="21"/>
              </w:rPr>
            </w:pPr>
            <w:r>
              <w:rPr>
                <w:rFonts w:hint="eastAsia"/>
                <w:szCs w:val="21"/>
              </w:rPr>
              <w:t>近年完成的类似项目的年份要求</w:t>
            </w:r>
          </w:p>
        </w:tc>
        <w:tc>
          <w:tcPr>
            <w:tcW w:w="4065" w:type="dxa"/>
            <w:gridSpan w:val="2"/>
            <w:tcBorders>
              <w:top w:val="single" w:color="auto" w:sz="4" w:space="0"/>
              <w:left w:val="single" w:color="auto" w:sz="4" w:space="0"/>
              <w:bottom w:val="single" w:color="auto" w:sz="4" w:space="0"/>
              <w:right w:val="single" w:color="auto" w:sz="4" w:space="0"/>
            </w:tcBorders>
            <w:vAlign w:val="center"/>
          </w:tcPr>
          <w:p>
            <w:pPr>
              <w:spacing w:line="288" w:lineRule="auto"/>
              <w:rPr>
                <w:color w:val="000000"/>
              </w:rPr>
            </w:pPr>
            <w:r>
              <w:rPr>
                <w:rFonts w:hint="eastAsia"/>
                <w:color w:val="000000"/>
              </w:rPr>
              <w:t>近</w:t>
            </w:r>
            <w:r>
              <w:rPr>
                <w:rFonts w:hint="eastAsia"/>
                <w:color w:val="000000"/>
                <w:u w:val="single"/>
              </w:rPr>
              <w:t xml:space="preserve"> 3  </w:t>
            </w:r>
            <w:r>
              <w:rPr>
                <w:rFonts w:hint="eastAsia"/>
                <w:color w:val="000000"/>
              </w:rPr>
              <w:t>年，指</w:t>
            </w:r>
            <w:r>
              <w:rPr>
                <w:rFonts w:hint="eastAsia"/>
                <w:color w:val="000000"/>
                <w:u w:val="single"/>
              </w:rPr>
              <w:t xml:space="preserve"> 2013 </w:t>
            </w:r>
            <w:r>
              <w:rPr>
                <w:rFonts w:hint="eastAsia"/>
                <w:color w:val="000000"/>
              </w:rPr>
              <w:t>年</w:t>
            </w:r>
            <w:r>
              <w:rPr>
                <w:rFonts w:hint="eastAsia"/>
                <w:color w:val="000000"/>
                <w:u w:val="single"/>
              </w:rPr>
              <w:t>11</w:t>
            </w:r>
            <w:r>
              <w:rPr>
                <w:rFonts w:hint="eastAsia"/>
                <w:color w:val="000000"/>
              </w:rPr>
              <w:t>月1</w:t>
            </w:r>
            <w:r>
              <w:rPr>
                <w:rFonts w:hint="eastAsia"/>
                <w:color w:val="000000"/>
                <w:u w:val="single"/>
              </w:rPr>
              <w:t>日</w:t>
            </w:r>
            <w:r>
              <w:rPr>
                <w:rFonts w:hint="eastAsia"/>
                <w:color w:val="000000"/>
              </w:rPr>
              <w:t>起至</w:t>
            </w:r>
            <w:r>
              <w:rPr>
                <w:rFonts w:hint="eastAsia"/>
                <w:color w:val="000000"/>
                <w:u w:val="single"/>
              </w:rPr>
              <w:t>2016</w:t>
            </w:r>
            <w:r>
              <w:rPr>
                <w:rFonts w:hint="eastAsia"/>
                <w:color w:val="000000"/>
              </w:rPr>
              <w:t>年</w:t>
            </w:r>
            <w:r>
              <w:rPr>
                <w:rFonts w:hint="eastAsia"/>
                <w:color w:val="000000"/>
                <w:u w:val="single"/>
              </w:rPr>
              <w:t>10</w:t>
            </w:r>
            <w:r>
              <w:rPr>
                <w:rFonts w:hint="eastAsia"/>
                <w:color w:val="000000"/>
              </w:rPr>
              <w:t>月</w:t>
            </w:r>
            <w:r>
              <w:rPr>
                <w:rFonts w:hint="eastAsia"/>
                <w:color w:val="000000"/>
                <w:u w:val="single"/>
              </w:rPr>
              <w:t>31</w:t>
            </w:r>
            <w:r>
              <w:rPr>
                <w:rFonts w:hint="eastAsia"/>
                <w:color w:val="000000"/>
              </w:rPr>
              <w:t>日止。</w:t>
            </w:r>
          </w:p>
          <w:p>
            <w:pPr>
              <w:spacing w:line="440" w:lineRule="exact"/>
              <w:rPr>
                <w:szCs w:val="21"/>
              </w:rPr>
            </w:pPr>
            <w:r>
              <w:rPr>
                <w:rFonts w:hint="eastAsia"/>
                <w:color w:val="000000"/>
                <w:u w:val="single"/>
              </w:rPr>
              <w:t>（新成立企业不足3年的按已有年份计算）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889"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szCs w:val="21"/>
              </w:rPr>
            </w:pPr>
            <w:r>
              <w:rPr>
                <w:rFonts w:hint="eastAsia"/>
                <w:szCs w:val="21"/>
              </w:rPr>
              <w:t>3.5.5</w:t>
            </w:r>
          </w:p>
        </w:tc>
        <w:tc>
          <w:tcPr>
            <w:tcW w:w="3686"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jc w:val="center"/>
              <w:rPr>
                <w:szCs w:val="21"/>
              </w:rPr>
            </w:pPr>
            <w:r>
              <w:rPr>
                <w:rFonts w:hint="eastAsia" w:ascii="宋体" w:hAnsi="宋体"/>
                <w:spacing w:val="-6"/>
                <w:szCs w:val="21"/>
              </w:rPr>
              <w:t>近年发生的诉讼及仲裁情况</w:t>
            </w:r>
            <w:r>
              <w:rPr>
                <w:rFonts w:hint="eastAsia"/>
                <w:spacing w:val="-6"/>
                <w:szCs w:val="21"/>
              </w:rPr>
              <w:t>的年份要求</w:t>
            </w:r>
          </w:p>
        </w:tc>
        <w:tc>
          <w:tcPr>
            <w:tcW w:w="4065" w:type="dxa"/>
            <w:gridSpan w:val="2"/>
            <w:tcBorders>
              <w:top w:val="single" w:color="auto" w:sz="4" w:space="0"/>
              <w:left w:val="single" w:color="auto" w:sz="4" w:space="0"/>
              <w:bottom w:val="single" w:color="auto" w:sz="4" w:space="0"/>
              <w:right w:val="single" w:color="auto" w:sz="4" w:space="0"/>
            </w:tcBorders>
            <w:vAlign w:val="center"/>
          </w:tcPr>
          <w:p>
            <w:pPr>
              <w:spacing w:line="288" w:lineRule="auto"/>
              <w:rPr>
                <w:color w:val="000000"/>
              </w:rPr>
            </w:pPr>
            <w:r>
              <w:rPr>
                <w:rFonts w:hint="eastAsia"/>
                <w:color w:val="000000"/>
              </w:rPr>
              <w:t>近</w:t>
            </w:r>
            <w:r>
              <w:rPr>
                <w:rFonts w:hint="eastAsia"/>
                <w:color w:val="000000"/>
                <w:u w:val="single"/>
              </w:rPr>
              <w:t xml:space="preserve"> 2 </w:t>
            </w:r>
            <w:r>
              <w:rPr>
                <w:rFonts w:hint="eastAsia"/>
                <w:color w:val="000000"/>
              </w:rPr>
              <w:t>年，指</w:t>
            </w:r>
            <w:r>
              <w:rPr>
                <w:rFonts w:hint="eastAsia"/>
                <w:color w:val="000000"/>
                <w:u w:val="single"/>
              </w:rPr>
              <w:t xml:space="preserve">2014 </w:t>
            </w:r>
            <w:r>
              <w:rPr>
                <w:rFonts w:hint="eastAsia"/>
                <w:color w:val="000000"/>
              </w:rPr>
              <w:t>年</w:t>
            </w:r>
            <w:r>
              <w:rPr>
                <w:rFonts w:hint="eastAsia"/>
                <w:color w:val="000000"/>
                <w:u w:val="single"/>
              </w:rPr>
              <w:t>11</w:t>
            </w:r>
            <w:r>
              <w:rPr>
                <w:rFonts w:hint="eastAsia"/>
                <w:color w:val="000000"/>
              </w:rPr>
              <w:t>月</w:t>
            </w:r>
            <w:r>
              <w:rPr>
                <w:rFonts w:hint="eastAsia"/>
                <w:color w:val="000000"/>
                <w:u w:val="single"/>
              </w:rPr>
              <w:t xml:space="preserve"> 1 </w:t>
            </w:r>
            <w:r>
              <w:rPr>
                <w:rFonts w:hint="eastAsia"/>
                <w:color w:val="000000"/>
              </w:rPr>
              <w:t>日起至</w:t>
            </w:r>
            <w:r>
              <w:rPr>
                <w:rFonts w:hint="eastAsia"/>
                <w:color w:val="000000"/>
                <w:u w:val="single"/>
              </w:rPr>
              <w:t xml:space="preserve"> 2016 </w:t>
            </w:r>
            <w:r>
              <w:rPr>
                <w:rFonts w:hint="eastAsia"/>
                <w:color w:val="000000"/>
              </w:rPr>
              <w:t>年</w:t>
            </w:r>
            <w:r>
              <w:rPr>
                <w:rFonts w:hint="eastAsia"/>
                <w:color w:val="000000"/>
                <w:u w:val="single"/>
              </w:rPr>
              <w:t>10</w:t>
            </w:r>
            <w:r>
              <w:rPr>
                <w:rFonts w:hint="eastAsia"/>
                <w:color w:val="000000"/>
              </w:rPr>
              <w:t>月</w:t>
            </w:r>
            <w:r>
              <w:rPr>
                <w:rFonts w:hint="eastAsia"/>
                <w:color w:val="000000"/>
                <w:u w:val="single"/>
              </w:rPr>
              <w:t xml:space="preserve"> 31  </w:t>
            </w:r>
            <w:r>
              <w:rPr>
                <w:rFonts w:hint="eastAsia"/>
                <w:color w:val="000000"/>
              </w:rPr>
              <w:t>日止。</w:t>
            </w:r>
          </w:p>
          <w:p>
            <w:pPr>
              <w:spacing w:line="440" w:lineRule="exact"/>
              <w:rPr>
                <w:color w:val="000000"/>
                <w:u w:val="single"/>
              </w:rPr>
            </w:pPr>
            <w:r>
              <w:rPr>
                <w:rFonts w:hint="eastAsia"/>
                <w:color w:val="000000"/>
                <w:spacing w:val="-6"/>
                <w:u w:val="single"/>
              </w:rPr>
              <w:t>（新成立企业不足2年的按已有年份计算）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85" w:hRule="atLeast"/>
        </w:trPr>
        <w:tc>
          <w:tcPr>
            <w:tcW w:w="889"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szCs w:val="21"/>
              </w:rPr>
            </w:pPr>
            <w:r>
              <w:rPr>
                <w:szCs w:val="21"/>
              </w:rPr>
              <w:t>3.</w:t>
            </w:r>
            <w:r>
              <w:rPr>
                <w:rFonts w:hint="eastAsia"/>
                <w:szCs w:val="21"/>
              </w:rPr>
              <w:t>6</w:t>
            </w:r>
            <w:r>
              <w:rPr>
                <w:szCs w:val="21"/>
              </w:rPr>
              <w:t>.3</w:t>
            </w:r>
          </w:p>
        </w:tc>
        <w:tc>
          <w:tcPr>
            <w:tcW w:w="3686"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jc w:val="center"/>
              <w:rPr>
                <w:szCs w:val="21"/>
              </w:rPr>
            </w:pPr>
            <w:r>
              <w:rPr>
                <w:szCs w:val="21"/>
              </w:rPr>
              <w:t>签字或盖章要求</w:t>
            </w:r>
          </w:p>
        </w:tc>
        <w:tc>
          <w:tcPr>
            <w:tcW w:w="4065" w:type="dxa"/>
            <w:gridSpan w:val="2"/>
            <w:tcBorders>
              <w:top w:val="single" w:color="auto" w:sz="4" w:space="0"/>
              <w:left w:val="single" w:color="auto" w:sz="4" w:space="0"/>
              <w:bottom w:val="single" w:color="auto" w:sz="4" w:space="0"/>
              <w:right w:val="single" w:color="auto" w:sz="4" w:space="0"/>
            </w:tcBorders>
            <w:vAlign w:val="center"/>
          </w:tcPr>
          <w:p>
            <w:pPr>
              <w:spacing w:line="380" w:lineRule="exact"/>
              <w:rPr>
                <w:szCs w:val="21"/>
              </w:rPr>
            </w:pPr>
            <w:r>
              <w:rPr>
                <w:rFonts w:hint="eastAsia"/>
                <w:szCs w:val="21"/>
              </w:rPr>
              <w:t>签字为法定代表人或法定代表人委托人签字，盖章为法人公章。签字不能用签字章代替。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889"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szCs w:val="21"/>
              </w:rPr>
            </w:pPr>
            <w:r>
              <w:rPr>
                <w:szCs w:val="21"/>
              </w:rPr>
              <w:t>3.</w:t>
            </w:r>
            <w:r>
              <w:rPr>
                <w:rFonts w:hint="eastAsia"/>
                <w:szCs w:val="21"/>
              </w:rPr>
              <w:t>6</w:t>
            </w:r>
            <w:r>
              <w:rPr>
                <w:szCs w:val="21"/>
              </w:rPr>
              <w:t>.4</w:t>
            </w:r>
          </w:p>
        </w:tc>
        <w:tc>
          <w:tcPr>
            <w:tcW w:w="3686"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jc w:val="center"/>
              <w:rPr>
                <w:szCs w:val="21"/>
              </w:rPr>
            </w:pPr>
            <w:r>
              <w:rPr>
                <w:szCs w:val="21"/>
              </w:rPr>
              <w:t>投标文件副本份数</w:t>
            </w:r>
          </w:p>
        </w:tc>
        <w:tc>
          <w:tcPr>
            <w:tcW w:w="4065"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rPr>
                <w:rFonts w:ascii="宋体" w:hAnsi="宋体"/>
                <w:szCs w:val="21"/>
              </w:rPr>
            </w:pPr>
            <w:r>
              <w:rPr>
                <w:rFonts w:hint="eastAsia"/>
                <w:b/>
                <w:szCs w:val="21"/>
              </w:rPr>
              <w:t>正本壹份，副本陆份。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889"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szCs w:val="21"/>
              </w:rPr>
            </w:pPr>
            <w:r>
              <w:rPr>
                <w:szCs w:val="21"/>
              </w:rPr>
              <w:t>3.</w:t>
            </w:r>
            <w:r>
              <w:rPr>
                <w:rFonts w:hint="eastAsia"/>
                <w:szCs w:val="21"/>
              </w:rPr>
              <w:t>6</w:t>
            </w:r>
            <w:r>
              <w:rPr>
                <w:szCs w:val="21"/>
              </w:rPr>
              <w:t>.5</w:t>
            </w:r>
          </w:p>
        </w:tc>
        <w:tc>
          <w:tcPr>
            <w:tcW w:w="3686"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jc w:val="center"/>
              <w:rPr>
                <w:szCs w:val="21"/>
              </w:rPr>
            </w:pPr>
            <w:r>
              <w:rPr>
                <w:szCs w:val="21"/>
              </w:rPr>
              <w:t>装订要求</w:t>
            </w:r>
          </w:p>
        </w:tc>
        <w:tc>
          <w:tcPr>
            <w:tcW w:w="406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rPr>
                <w:szCs w:val="21"/>
              </w:rPr>
            </w:pPr>
            <w:r>
              <w:rPr>
                <w:rFonts w:hint="eastAsia"/>
                <w:szCs w:val="21"/>
              </w:rPr>
              <w:t>投标文件的正本与副本应采用左侧胶粘方式装订，不得采用活页夹等可随时拆换的方式装订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889"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szCs w:val="21"/>
              </w:rPr>
            </w:pPr>
            <w:r>
              <w:rPr>
                <w:szCs w:val="21"/>
              </w:rPr>
              <w:t>4.1.2</w:t>
            </w:r>
          </w:p>
        </w:tc>
        <w:tc>
          <w:tcPr>
            <w:tcW w:w="3686"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jc w:val="center"/>
              <w:rPr>
                <w:szCs w:val="21"/>
              </w:rPr>
            </w:pPr>
            <w:r>
              <w:rPr>
                <w:szCs w:val="21"/>
              </w:rPr>
              <w:t>封套上</w:t>
            </w:r>
            <w:r>
              <w:rPr>
                <w:rFonts w:hint="eastAsia"/>
                <w:szCs w:val="21"/>
              </w:rPr>
              <w:t>应载明的信息</w:t>
            </w:r>
          </w:p>
        </w:tc>
        <w:tc>
          <w:tcPr>
            <w:tcW w:w="406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right"/>
              <w:rPr>
                <w:szCs w:val="21"/>
              </w:rPr>
            </w:pPr>
            <w:r>
              <w:rPr>
                <w:rFonts w:hint="eastAsia"/>
                <w:szCs w:val="21"/>
              </w:rPr>
              <w:t>正（副）本</w:t>
            </w:r>
          </w:p>
          <w:p>
            <w:pPr>
              <w:spacing w:line="400" w:lineRule="exact"/>
              <w:rPr>
                <w:szCs w:val="21"/>
              </w:rPr>
            </w:pPr>
            <w:r>
              <w:rPr>
                <w:szCs w:val="21"/>
              </w:rPr>
              <w:t>招标人地址：</w:t>
            </w:r>
          </w:p>
          <w:p>
            <w:pPr>
              <w:spacing w:line="400" w:lineRule="exact"/>
              <w:rPr>
                <w:szCs w:val="21"/>
              </w:rPr>
            </w:pPr>
            <w:r>
              <w:rPr>
                <w:szCs w:val="21"/>
              </w:rPr>
              <w:t>招标人名称：</w:t>
            </w:r>
          </w:p>
          <w:p>
            <w:pPr>
              <w:spacing w:line="400" w:lineRule="exact"/>
              <w:rPr>
                <w:szCs w:val="21"/>
              </w:rPr>
            </w:pPr>
            <w:r>
              <w:rPr>
                <w:rFonts w:hint="eastAsia"/>
                <w:szCs w:val="21"/>
                <w:u w:val="single"/>
              </w:rPr>
              <w:t xml:space="preserve">        </w:t>
            </w:r>
            <w:r>
              <w:rPr>
                <w:szCs w:val="21"/>
              </w:rPr>
              <w:t>（项目名称）投标文件</w:t>
            </w:r>
          </w:p>
          <w:p>
            <w:pPr>
              <w:spacing w:line="400" w:lineRule="exact"/>
              <w:rPr>
                <w:szCs w:val="21"/>
              </w:rPr>
            </w:pPr>
            <w:r>
              <w:rPr>
                <w:szCs w:val="21"/>
              </w:rPr>
              <w:t>在</w:t>
            </w:r>
            <w:r>
              <w:rPr>
                <w:rFonts w:hint="eastAsia"/>
                <w:szCs w:val="21"/>
                <w:u w:val="single"/>
              </w:rPr>
              <w:t xml:space="preserve">  </w:t>
            </w:r>
            <w:r>
              <w:rPr>
                <w:szCs w:val="21"/>
              </w:rPr>
              <w:t>年</w:t>
            </w:r>
            <w:r>
              <w:rPr>
                <w:rFonts w:hint="eastAsia"/>
                <w:szCs w:val="21"/>
                <w:u w:val="single"/>
              </w:rPr>
              <w:t xml:space="preserve">  </w:t>
            </w:r>
            <w:r>
              <w:rPr>
                <w:szCs w:val="21"/>
              </w:rPr>
              <w:t>月</w:t>
            </w:r>
            <w:r>
              <w:rPr>
                <w:rFonts w:hint="eastAsia"/>
                <w:szCs w:val="21"/>
                <w:u w:val="single"/>
              </w:rPr>
              <w:t xml:space="preserve">  </w:t>
            </w:r>
            <w:r>
              <w:rPr>
                <w:szCs w:val="21"/>
              </w:rPr>
              <w:t>日</w:t>
            </w:r>
            <w:r>
              <w:rPr>
                <w:rFonts w:hint="eastAsia"/>
                <w:szCs w:val="21"/>
                <w:u w:val="single"/>
              </w:rPr>
              <w:t xml:space="preserve">  </w:t>
            </w:r>
            <w:r>
              <w:rPr>
                <w:szCs w:val="21"/>
              </w:rPr>
              <w:t>时</w:t>
            </w:r>
            <w:r>
              <w:rPr>
                <w:rFonts w:hint="eastAsia"/>
                <w:szCs w:val="21"/>
                <w:u w:val="single"/>
              </w:rPr>
              <w:t xml:space="preserve">  </w:t>
            </w:r>
            <w:r>
              <w:rPr>
                <w:rFonts w:hint="eastAsia"/>
                <w:szCs w:val="21"/>
              </w:rPr>
              <w:t>分</w:t>
            </w:r>
            <w:r>
              <w:rPr>
                <w:szCs w:val="21"/>
              </w:rPr>
              <w:t>前不得开启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889"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szCs w:val="21"/>
              </w:rPr>
            </w:pPr>
            <w:r>
              <w:rPr>
                <w:szCs w:val="21"/>
              </w:rPr>
              <w:t>4.2.2</w:t>
            </w:r>
          </w:p>
        </w:tc>
        <w:tc>
          <w:tcPr>
            <w:tcW w:w="3686"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jc w:val="center"/>
              <w:rPr>
                <w:szCs w:val="21"/>
              </w:rPr>
            </w:pPr>
            <w:r>
              <w:rPr>
                <w:szCs w:val="21"/>
              </w:rPr>
              <w:t>递交投标文件地点</w:t>
            </w:r>
          </w:p>
        </w:tc>
        <w:tc>
          <w:tcPr>
            <w:tcW w:w="4065"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rPr>
                <w:szCs w:val="21"/>
              </w:rPr>
            </w:pPr>
            <w:r>
              <w:rPr>
                <w:rFonts w:hint="eastAsia"/>
                <w:color w:val="000000"/>
              </w:rPr>
              <w:t>温县公共资源交易中心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889"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szCs w:val="21"/>
              </w:rPr>
            </w:pPr>
            <w:r>
              <w:rPr>
                <w:szCs w:val="21"/>
              </w:rPr>
              <w:t>4.2.3</w:t>
            </w:r>
          </w:p>
        </w:tc>
        <w:tc>
          <w:tcPr>
            <w:tcW w:w="3686"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jc w:val="center"/>
              <w:rPr>
                <w:szCs w:val="21"/>
              </w:rPr>
            </w:pPr>
            <w:r>
              <w:rPr>
                <w:szCs w:val="21"/>
              </w:rPr>
              <w:t>是否退还投标文件</w:t>
            </w:r>
          </w:p>
        </w:tc>
        <w:tc>
          <w:tcPr>
            <w:tcW w:w="4065"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rPr>
                <w:szCs w:val="21"/>
              </w:rPr>
            </w:pPr>
            <w:r>
              <w:rPr>
                <w:rFonts w:hint="eastAsia"/>
                <w:szCs w:val="21"/>
              </w:rP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80" w:hRule="atLeast"/>
        </w:trPr>
        <w:tc>
          <w:tcPr>
            <w:tcW w:w="889"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szCs w:val="21"/>
              </w:rPr>
            </w:pPr>
            <w:r>
              <w:rPr>
                <w:szCs w:val="21"/>
              </w:rPr>
              <w:t>5.1</w:t>
            </w:r>
          </w:p>
        </w:tc>
        <w:tc>
          <w:tcPr>
            <w:tcW w:w="3686"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jc w:val="center"/>
              <w:rPr>
                <w:szCs w:val="21"/>
              </w:rPr>
            </w:pPr>
            <w:r>
              <w:rPr>
                <w:rFonts w:hint="eastAsia"/>
                <w:szCs w:val="21"/>
              </w:rPr>
              <w:t>开标时间和地点</w:t>
            </w:r>
          </w:p>
        </w:tc>
        <w:tc>
          <w:tcPr>
            <w:tcW w:w="4065" w:type="dxa"/>
            <w:gridSpan w:val="2"/>
            <w:tcBorders>
              <w:top w:val="single" w:color="auto" w:sz="4" w:space="0"/>
              <w:left w:val="single" w:color="auto" w:sz="4" w:space="0"/>
              <w:bottom w:val="single" w:color="auto" w:sz="4" w:space="0"/>
              <w:right w:val="single" w:color="auto" w:sz="4" w:space="0"/>
            </w:tcBorders>
            <w:vAlign w:val="center"/>
          </w:tcPr>
          <w:p>
            <w:pPr>
              <w:spacing w:line="288" w:lineRule="auto"/>
              <w:rPr>
                <w:color w:val="000000"/>
              </w:rPr>
            </w:pPr>
            <w:r>
              <w:rPr>
                <w:rFonts w:hint="eastAsia"/>
                <w:color w:val="000000"/>
              </w:rPr>
              <w:t>开标时间：同投标截止时间</w:t>
            </w:r>
          </w:p>
          <w:p>
            <w:pPr>
              <w:spacing w:line="440" w:lineRule="exact"/>
              <w:rPr>
                <w:szCs w:val="21"/>
              </w:rPr>
            </w:pPr>
            <w:r>
              <w:rPr>
                <w:rFonts w:hint="eastAsia"/>
                <w:color w:val="000000"/>
              </w:rPr>
              <w:t>开标地点：同投标文件递交地点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1" w:hRule="atLeast"/>
        </w:trPr>
        <w:tc>
          <w:tcPr>
            <w:tcW w:w="889"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szCs w:val="21"/>
              </w:rPr>
            </w:pPr>
            <w:r>
              <w:rPr>
                <w:rFonts w:hint="eastAsia"/>
                <w:szCs w:val="21"/>
              </w:rPr>
              <w:t>5.2</w:t>
            </w:r>
          </w:p>
        </w:tc>
        <w:tc>
          <w:tcPr>
            <w:tcW w:w="3686"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jc w:val="center"/>
              <w:rPr>
                <w:szCs w:val="21"/>
              </w:rPr>
            </w:pPr>
            <w:r>
              <w:rPr>
                <w:rFonts w:hint="eastAsia"/>
                <w:szCs w:val="21"/>
              </w:rPr>
              <w:t>开标程序</w:t>
            </w:r>
          </w:p>
        </w:tc>
        <w:tc>
          <w:tcPr>
            <w:tcW w:w="4065" w:type="dxa"/>
            <w:gridSpan w:val="2"/>
            <w:tcBorders>
              <w:top w:val="single" w:color="auto" w:sz="4" w:space="0"/>
              <w:left w:val="single" w:color="auto" w:sz="4" w:space="0"/>
              <w:bottom w:val="single" w:color="auto" w:sz="4" w:space="0"/>
              <w:right w:val="single" w:color="auto" w:sz="4" w:space="0"/>
            </w:tcBorders>
            <w:vAlign w:val="center"/>
          </w:tcPr>
          <w:p>
            <w:pPr>
              <w:spacing w:line="420" w:lineRule="exact"/>
              <w:rPr>
                <w:color w:val="000000"/>
              </w:rPr>
            </w:pPr>
            <w:r>
              <w:rPr>
                <w:rFonts w:hint="eastAsia"/>
                <w:color w:val="000000"/>
              </w:rPr>
              <w:t>（1）开标时投标单位法定代表人或委托人持本人身份证到开标现场，</w:t>
            </w:r>
            <w:r>
              <w:rPr>
                <w:rFonts w:hint="eastAsia"/>
                <w:b/>
              </w:rPr>
              <w:t>并携带1.4.1项中其他要求的相关证件，</w:t>
            </w:r>
            <w:r>
              <w:rPr>
                <w:rFonts w:hint="eastAsia"/>
                <w:color w:val="000000"/>
              </w:rPr>
              <w:t>经招标代理机构查验后，方可签到登记，接收投标文件；未提供以上原件的视为自动</w:t>
            </w:r>
            <w:r>
              <w:rPr>
                <w:rFonts w:hint="eastAsia"/>
              </w:rPr>
              <w:t>放弃投标，代理机构不再接收投标文件。（4）密封情况检查：现场随机抽取三名投标人代表（4名及以下时共同参加）共同对投标文件的密封情况进行查验，公布查验结果；</w:t>
            </w:r>
          </w:p>
          <w:p>
            <w:pPr>
              <w:spacing w:line="440" w:lineRule="exact"/>
              <w:rPr>
                <w:szCs w:val="21"/>
              </w:rPr>
            </w:pPr>
            <w:r>
              <w:rPr>
                <w:rFonts w:hint="eastAsia"/>
                <w:color w:val="000000"/>
              </w:rPr>
              <w:t>（5）开标顺序：</w:t>
            </w:r>
            <w:r>
              <w:rPr>
                <w:rFonts w:hint="eastAsia"/>
                <w:szCs w:val="21"/>
              </w:rPr>
              <w:t>按其递交投标文件签到的逆顺序。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 w:hRule="atLeast"/>
        </w:trPr>
        <w:tc>
          <w:tcPr>
            <w:tcW w:w="889" w:type="dxa"/>
            <w:tcBorders>
              <w:top w:val="single" w:color="auto" w:sz="4" w:space="0"/>
              <w:left w:val="single" w:color="auto" w:sz="4" w:space="0"/>
              <w:right w:val="single" w:color="auto" w:sz="4" w:space="0"/>
            </w:tcBorders>
            <w:vAlign w:val="center"/>
          </w:tcPr>
          <w:p>
            <w:pPr>
              <w:spacing w:line="440" w:lineRule="exact"/>
              <w:jc w:val="center"/>
              <w:rPr>
                <w:szCs w:val="21"/>
              </w:rPr>
            </w:pPr>
            <w:r>
              <w:rPr>
                <w:szCs w:val="21"/>
              </w:rPr>
              <w:t>6.1.1</w:t>
            </w:r>
          </w:p>
        </w:tc>
        <w:tc>
          <w:tcPr>
            <w:tcW w:w="3686" w:type="dxa"/>
            <w:gridSpan w:val="2"/>
            <w:tcBorders>
              <w:top w:val="single" w:color="auto" w:sz="4" w:space="0"/>
              <w:left w:val="single" w:color="auto" w:sz="4" w:space="0"/>
              <w:right w:val="single" w:color="auto" w:sz="4" w:space="0"/>
            </w:tcBorders>
            <w:vAlign w:val="center"/>
          </w:tcPr>
          <w:p>
            <w:pPr>
              <w:spacing w:line="440" w:lineRule="exact"/>
              <w:jc w:val="center"/>
              <w:rPr>
                <w:szCs w:val="21"/>
              </w:rPr>
            </w:pPr>
            <w:r>
              <w:rPr>
                <w:rFonts w:hint="eastAsia"/>
                <w:szCs w:val="21"/>
              </w:rPr>
              <w:t>评标委员会的组建</w:t>
            </w:r>
          </w:p>
        </w:tc>
        <w:tc>
          <w:tcPr>
            <w:tcW w:w="4065" w:type="dxa"/>
            <w:gridSpan w:val="2"/>
            <w:tcBorders>
              <w:top w:val="single" w:color="auto" w:sz="4" w:space="0"/>
              <w:left w:val="single" w:color="auto" w:sz="4" w:space="0"/>
              <w:right w:val="single" w:color="auto" w:sz="4" w:space="0"/>
            </w:tcBorders>
            <w:vAlign w:val="center"/>
          </w:tcPr>
          <w:p>
            <w:pPr>
              <w:spacing w:line="288" w:lineRule="auto"/>
              <w:ind w:left="282" w:hanging="282" w:hangingChars="150"/>
              <w:rPr>
                <w:color w:val="FF0000"/>
                <w:spacing w:val="-11"/>
                <w:shd w:val="clear" w:color="FFFFFF" w:fill="D9D9D9"/>
              </w:rPr>
            </w:pPr>
            <w:r>
              <w:rPr>
                <w:rFonts w:hint="eastAsia"/>
                <w:color w:val="000000"/>
                <w:spacing w:val="-11"/>
              </w:rPr>
              <w:t>评标委员会构成：有关技术、经济等专家</w:t>
            </w:r>
            <w:r>
              <w:rPr>
                <w:color w:val="000000"/>
                <w:spacing w:val="-11"/>
                <w:u w:val="single"/>
              </w:rPr>
              <w:t xml:space="preserve"> 5 </w:t>
            </w:r>
            <w:r>
              <w:rPr>
                <w:rFonts w:hint="eastAsia"/>
                <w:color w:val="000000"/>
                <w:spacing w:val="-11"/>
              </w:rPr>
              <w:t>人；</w:t>
            </w:r>
          </w:p>
          <w:p>
            <w:pPr>
              <w:spacing w:line="400" w:lineRule="exact"/>
              <w:jc w:val="left"/>
              <w:rPr>
                <w:szCs w:val="21"/>
              </w:rPr>
            </w:pPr>
            <w:r>
              <w:rPr>
                <w:rFonts w:hint="eastAsia"/>
                <w:color w:val="000000"/>
              </w:rPr>
              <w:t>评标专家确定方式：</w:t>
            </w:r>
            <w:r>
              <w:rPr>
                <w:rFonts w:hint="eastAsia"/>
                <w:color w:val="000000"/>
                <w:u w:val="single"/>
              </w:rPr>
              <w:t>技术、经济等专家应由招标人在开标前从有关评标专家库中随机抽取确定</w:t>
            </w:r>
            <w:r>
              <w:rPr>
                <w:rFonts w:hint="eastAsia"/>
                <w:color w:val="000000"/>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95" w:hRule="atLeast"/>
        </w:trPr>
        <w:tc>
          <w:tcPr>
            <w:tcW w:w="889" w:type="dxa"/>
            <w:tcBorders>
              <w:top w:val="single" w:color="auto" w:sz="4" w:space="0"/>
              <w:left w:val="single" w:color="auto" w:sz="4" w:space="0"/>
              <w:right w:val="single" w:color="auto" w:sz="4" w:space="0"/>
            </w:tcBorders>
            <w:vAlign w:val="center"/>
          </w:tcPr>
          <w:p>
            <w:pPr>
              <w:spacing w:line="440" w:lineRule="exact"/>
              <w:jc w:val="center"/>
              <w:rPr>
                <w:szCs w:val="21"/>
              </w:rPr>
            </w:pPr>
            <w:r>
              <w:rPr>
                <w:szCs w:val="21"/>
              </w:rPr>
              <w:t>7.1</w:t>
            </w:r>
          </w:p>
        </w:tc>
        <w:tc>
          <w:tcPr>
            <w:tcW w:w="3686" w:type="dxa"/>
            <w:gridSpan w:val="2"/>
            <w:tcBorders>
              <w:top w:val="single" w:color="auto" w:sz="4" w:space="0"/>
              <w:left w:val="single" w:color="auto" w:sz="4" w:space="0"/>
              <w:right w:val="single" w:color="auto" w:sz="4" w:space="0"/>
            </w:tcBorders>
            <w:vAlign w:val="center"/>
          </w:tcPr>
          <w:p>
            <w:pPr>
              <w:spacing w:line="440" w:lineRule="exact"/>
              <w:jc w:val="center"/>
              <w:rPr>
                <w:szCs w:val="21"/>
              </w:rPr>
            </w:pPr>
            <w:r>
              <w:rPr>
                <w:rFonts w:hint="eastAsia"/>
                <w:szCs w:val="21"/>
              </w:rPr>
              <w:t>是否授权评标委员会确定中标人</w:t>
            </w:r>
          </w:p>
        </w:tc>
        <w:tc>
          <w:tcPr>
            <w:tcW w:w="4065" w:type="dxa"/>
            <w:gridSpan w:val="2"/>
            <w:tcBorders>
              <w:top w:val="single" w:color="auto" w:sz="4" w:space="0"/>
              <w:left w:val="single" w:color="auto" w:sz="4" w:space="0"/>
              <w:right w:val="single" w:color="auto" w:sz="4" w:space="0"/>
            </w:tcBorders>
            <w:vAlign w:val="center"/>
          </w:tcPr>
          <w:p>
            <w:pPr>
              <w:spacing w:line="400" w:lineRule="exact"/>
              <w:rPr>
                <w:color w:val="000000"/>
                <w:u w:val="single"/>
              </w:rPr>
            </w:pPr>
            <w:r>
              <w:rPr>
                <w:rFonts w:hint="eastAsia"/>
                <w:color w:val="000000"/>
              </w:rPr>
              <w:t>否，推荐的中标候选人数：</w:t>
            </w:r>
            <w:r>
              <w:rPr>
                <w:rFonts w:hint="eastAsia"/>
                <w:color w:val="000000"/>
                <w:u w:val="single"/>
              </w:rPr>
              <w:t xml:space="preserve"> 1-3人 </w:t>
            </w:r>
          </w:p>
          <w:p>
            <w:pPr>
              <w:spacing w:line="400" w:lineRule="exact"/>
              <w:rPr>
                <w:szCs w:val="21"/>
              </w:rPr>
            </w:pPr>
            <w:r>
              <w:rPr>
                <w:rFonts w:hint="eastAsia" w:ascii="宋体" w:hAnsi="宋体"/>
                <w:szCs w:val="21"/>
              </w:rPr>
              <w:t>招标人应当确定排名第一的中标候选人为中标人。排名第一的中标候选人放弃中标、因不可抗拒力不能履行合同，不按照招标文件要求提交履约保证金，不按规定期限与业主签订合同，或者查实存在影响中标结果的违法行为、经行政主管部门依法认定并取消中标资格等情形的，招标人原则上应重新招标；确需顺延中标候选人的，由招标人写出书面申请，经县公共资源交易管理委员会集体研究决定。上述情形中除因不可抗力不能履行合同外，有其他情形的，该中标候选人的投标保证金不予退还，取消其1年内在温县的投标资格，并在温县公共资源交易中心网站进行通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13" w:hRule="atLeast"/>
        </w:trPr>
        <w:tc>
          <w:tcPr>
            <w:tcW w:w="889" w:type="dxa"/>
            <w:tcBorders>
              <w:top w:val="single" w:color="auto" w:sz="4" w:space="0"/>
              <w:left w:val="single" w:color="auto" w:sz="4" w:space="0"/>
              <w:right w:val="single" w:color="auto" w:sz="4" w:space="0"/>
            </w:tcBorders>
            <w:vAlign w:val="center"/>
          </w:tcPr>
          <w:p>
            <w:pPr>
              <w:spacing w:line="440" w:lineRule="exact"/>
              <w:jc w:val="center"/>
              <w:rPr>
                <w:szCs w:val="21"/>
              </w:rPr>
            </w:pPr>
            <w:r>
              <w:rPr>
                <w:rFonts w:hint="eastAsia"/>
                <w:szCs w:val="21"/>
              </w:rPr>
              <w:t>7.2</w:t>
            </w:r>
          </w:p>
        </w:tc>
        <w:tc>
          <w:tcPr>
            <w:tcW w:w="3686" w:type="dxa"/>
            <w:gridSpan w:val="2"/>
            <w:tcBorders>
              <w:top w:val="single" w:color="auto" w:sz="4" w:space="0"/>
              <w:left w:val="single" w:color="auto" w:sz="4" w:space="0"/>
              <w:right w:val="single" w:color="auto" w:sz="4" w:space="0"/>
            </w:tcBorders>
            <w:vAlign w:val="center"/>
          </w:tcPr>
          <w:p>
            <w:pPr>
              <w:spacing w:line="440" w:lineRule="exact"/>
              <w:jc w:val="center"/>
              <w:rPr>
                <w:szCs w:val="21"/>
              </w:rPr>
            </w:pPr>
            <w:r>
              <w:rPr>
                <w:rFonts w:hint="eastAsia"/>
                <w:szCs w:val="21"/>
              </w:rPr>
              <w:t>中标候选人公示媒介</w:t>
            </w:r>
          </w:p>
        </w:tc>
        <w:tc>
          <w:tcPr>
            <w:tcW w:w="4065" w:type="dxa"/>
            <w:gridSpan w:val="2"/>
            <w:tcBorders>
              <w:top w:val="single" w:color="auto" w:sz="4" w:space="0"/>
              <w:left w:val="single" w:color="auto" w:sz="4" w:space="0"/>
              <w:right w:val="single" w:color="auto" w:sz="4" w:space="0"/>
            </w:tcBorders>
            <w:vAlign w:val="center"/>
          </w:tcPr>
          <w:p>
            <w:pPr>
              <w:spacing w:line="440" w:lineRule="exact"/>
              <w:rPr>
                <w:sz w:val="32"/>
                <w:szCs w:val="32"/>
              </w:rPr>
            </w:pPr>
            <w:r>
              <w:rPr>
                <w:rFonts w:ascii="宋体" w:hAnsi="宋体"/>
                <w:color w:val="000000"/>
                <w:shd w:val="clear" w:color="auto" w:fill="FFFFFF"/>
              </w:rPr>
              <w:t>《中国采购与招标网》、《河南省政府采购网》</w:t>
            </w:r>
            <w:r>
              <w:rPr>
                <w:rFonts w:hint="eastAsia" w:ascii="宋体" w:hAnsi="宋体"/>
                <w:shd w:val="clear" w:color="auto" w:fill="FFFFFF"/>
              </w:rPr>
              <w:t>、</w:t>
            </w:r>
            <w:r>
              <w:rPr>
                <w:rFonts w:hint="eastAsia" w:ascii="宋体" w:hAnsi="宋体"/>
                <w:color w:val="000000"/>
                <w:shd w:val="clear" w:color="auto" w:fill="FFFFFF"/>
              </w:rPr>
              <w:t>《</w:t>
            </w:r>
            <w:r>
              <w:rPr>
                <w:rFonts w:ascii="宋体" w:hAnsi="宋体"/>
                <w:color w:val="000000"/>
                <w:shd w:val="clear" w:color="auto" w:fill="FFFFFF"/>
              </w:rPr>
              <w:t>温县公共资源交易中心网</w:t>
            </w:r>
            <w:r>
              <w:rPr>
                <w:rFonts w:hint="eastAsia" w:ascii="宋体" w:hAnsi="宋体"/>
                <w:color w:val="000000"/>
                <w:shd w:val="clear" w:color="auto" w:fill="FFFFFF"/>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889"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szCs w:val="21"/>
              </w:rPr>
            </w:pPr>
            <w:r>
              <w:rPr>
                <w:szCs w:val="21"/>
              </w:rPr>
              <w:t>7.</w:t>
            </w:r>
            <w:r>
              <w:rPr>
                <w:rFonts w:hint="eastAsia"/>
                <w:szCs w:val="21"/>
              </w:rPr>
              <w:t>4</w:t>
            </w:r>
            <w:r>
              <w:rPr>
                <w:szCs w:val="21"/>
              </w:rPr>
              <w:t>.1</w:t>
            </w:r>
          </w:p>
        </w:tc>
        <w:tc>
          <w:tcPr>
            <w:tcW w:w="3686"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jc w:val="center"/>
              <w:rPr>
                <w:szCs w:val="21"/>
              </w:rPr>
            </w:pPr>
            <w:r>
              <w:rPr>
                <w:szCs w:val="21"/>
              </w:rPr>
              <w:t>履约担保</w:t>
            </w:r>
          </w:p>
        </w:tc>
        <w:tc>
          <w:tcPr>
            <w:tcW w:w="4065"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rPr>
                <w:szCs w:val="21"/>
              </w:rPr>
            </w:pPr>
            <w:r>
              <w:rPr>
                <w:rFonts w:hint="eastAsia" w:ascii="宋体" w:hAnsi="宋体"/>
                <w:kern w:val="0"/>
                <w:szCs w:val="21"/>
              </w:rPr>
              <w:t>履约保证金：</w:t>
            </w:r>
            <w:r>
              <w:rPr>
                <w:rFonts w:hint="eastAsia"/>
                <w:szCs w:val="21"/>
              </w:rPr>
              <w:t>履约担保的形式：现金或转账。</w:t>
            </w:r>
          </w:p>
          <w:p>
            <w:pPr>
              <w:spacing w:line="360" w:lineRule="exact"/>
              <w:rPr>
                <w:szCs w:val="21"/>
              </w:rPr>
            </w:pPr>
            <w:r>
              <w:rPr>
                <w:rFonts w:hint="eastAsia"/>
                <w:szCs w:val="21"/>
              </w:rPr>
              <w:t>履约担保的金额：中标金额的 10 %</w:t>
            </w:r>
          </w:p>
          <w:p>
            <w:pPr>
              <w:spacing w:line="360" w:lineRule="exact"/>
              <w:rPr>
                <w:szCs w:val="21"/>
              </w:rPr>
            </w:pPr>
            <w:r>
              <w:rPr>
                <w:rFonts w:hint="eastAsia"/>
                <w:szCs w:val="21"/>
              </w:rPr>
              <w:t>中标人接到中标通知书五个工作日内以现金或转账方式交以下账户：</w:t>
            </w:r>
          </w:p>
          <w:p>
            <w:pPr>
              <w:spacing w:line="360" w:lineRule="exact"/>
              <w:rPr>
                <w:szCs w:val="21"/>
              </w:rPr>
            </w:pPr>
            <w:r>
              <w:rPr>
                <w:rFonts w:hint="eastAsia"/>
                <w:szCs w:val="21"/>
              </w:rPr>
              <w:t>收款单位名称：温县妇幼保健院</w:t>
            </w:r>
          </w:p>
          <w:p>
            <w:pPr>
              <w:spacing w:line="360" w:lineRule="exact"/>
              <w:rPr>
                <w:szCs w:val="21"/>
              </w:rPr>
            </w:pPr>
            <w:r>
              <w:rPr>
                <w:rFonts w:hint="eastAsia"/>
                <w:szCs w:val="21"/>
              </w:rPr>
              <w:t>收款单位帐号：248105926472</w:t>
            </w:r>
          </w:p>
          <w:p>
            <w:pPr>
              <w:spacing w:line="360" w:lineRule="exact"/>
              <w:rPr>
                <w:szCs w:val="21"/>
              </w:rPr>
            </w:pPr>
            <w:r>
              <w:rPr>
                <w:rFonts w:hint="eastAsia"/>
                <w:szCs w:val="21"/>
              </w:rPr>
              <w:t>收款单位开户行名称：中国银行温县支行营业部。</w:t>
            </w:r>
          </w:p>
          <w:p>
            <w:pPr>
              <w:spacing w:line="360" w:lineRule="exact"/>
              <w:rPr>
                <w:szCs w:val="21"/>
              </w:rPr>
            </w:pPr>
            <w:r>
              <w:rPr>
                <w:rFonts w:hint="eastAsia"/>
                <w:szCs w:val="21"/>
              </w:rPr>
              <w:t>逾期不按时缴纳的，按自动放弃中标资格处理。</w:t>
            </w:r>
          </w:p>
          <w:p>
            <w:pPr>
              <w:spacing w:line="400" w:lineRule="exact"/>
              <w:rPr>
                <w:color w:val="000000"/>
                <w:szCs w:val="21"/>
              </w:rPr>
            </w:pPr>
            <w:r>
              <w:rPr>
                <w:rFonts w:hint="eastAsia"/>
                <w:szCs w:val="21"/>
              </w:rPr>
              <w:t>履约担保金退还时间：综合业务楼和门诊楼完工退履约担保金的50%，设备主机到达施工现场验收合格履约担保金余额一次性退还（均为无息）。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889"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b/>
                <w:szCs w:val="21"/>
              </w:rPr>
            </w:pPr>
            <w:r>
              <w:rPr>
                <w:rFonts w:hint="eastAsia"/>
                <w:b/>
                <w:szCs w:val="21"/>
              </w:rPr>
              <w:t>9</w:t>
            </w:r>
          </w:p>
        </w:tc>
        <w:tc>
          <w:tcPr>
            <w:tcW w:w="7751" w:type="dxa"/>
            <w:gridSpan w:val="4"/>
            <w:tcBorders>
              <w:top w:val="single" w:color="auto" w:sz="4" w:space="0"/>
              <w:left w:val="single" w:color="auto" w:sz="4" w:space="0"/>
              <w:bottom w:val="single" w:color="auto" w:sz="4" w:space="0"/>
              <w:right w:val="single" w:color="auto" w:sz="4" w:space="0"/>
            </w:tcBorders>
            <w:vAlign w:val="center"/>
          </w:tcPr>
          <w:p>
            <w:pPr>
              <w:spacing w:line="440" w:lineRule="exact"/>
              <w:jc w:val="center"/>
              <w:rPr>
                <w:b/>
                <w:color w:val="000000"/>
                <w:szCs w:val="21"/>
              </w:rPr>
            </w:pPr>
            <w:r>
              <w:rPr>
                <w:rFonts w:hint="eastAsia"/>
                <w:b/>
                <w:color w:val="000000"/>
                <w:szCs w:val="21"/>
              </w:rPr>
              <w:t>需要</w:t>
            </w:r>
            <w:r>
              <w:rPr>
                <w:b/>
                <w:color w:val="000000"/>
                <w:szCs w:val="21"/>
              </w:rPr>
              <w:t>补充</w:t>
            </w:r>
            <w:r>
              <w:rPr>
                <w:rFonts w:hint="eastAsia"/>
                <w:b/>
                <w:color w:val="000000"/>
                <w:szCs w:val="21"/>
              </w:rPr>
              <w:t>的其他</w:t>
            </w:r>
            <w:r>
              <w:rPr>
                <w:b/>
                <w:color w:val="000000"/>
                <w:szCs w:val="21"/>
              </w:rPr>
              <w:t>内容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 w:hRule="atLeast"/>
        </w:trPr>
        <w:tc>
          <w:tcPr>
            <w:tcW w:w="8640" w:type="dxa"/>
            <w:gridSpan w:val="5"/>
            <w:tcBorders>
              <w:top w:val="single" w:color="auto" w:sz="4" w:space="0"/>
              <w:left w:val="single" w:color="auto" w:sz="4" w:space="0"/>
              <w:bottom w:val="single" w:color="auto" w:sz="4" w:space="0"/>
              <w:right w:val="single" w:color="auto" w:sz="4" w:space="0"/>
            </w:tcBorders>
            <w:vAlign w:val="center"/>
          </w:tcPr>
          <w:p>
            <w:pPr>
              <w:spacing w:line="312" w:lineRule="auto"/>
              <w:rPr>
                <w:color w:val="000000"/>
              </w:rPr>
            </w:pPr>
            <w:r>
              <w:rPr>
                <w:rFonts w:hint="eastAsia"/>
                <w:color w:val="000000"/>
              </w:rPr>
              <w:t>9.1  招标控制价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60" w:hRule="atLeast"/>
        </w:trPr>
        <w:tc>
          <w:tcPr>
            <w:tcW w:w="1018" w:type="dxa"/>
            <w:gridSpan w:val="2"/>
            <w:tcBorders>
              <w:top w:val="single" w:color="auto" w:sz="4" w:space="0"/>
              <w:left w:val="single" w:color="auto" w:sz="4" w:space="0"/>
              <w:bottom w:val="single" w:color="auto" w:sz="4" w:space="0"/>
              <w:right w:val="single" w:color="auto" w:sz="4" w:space="0"/>
            </w:tcBorders>
            <w:vAlign w:val="center"/>
          </w:tcPr>
          <w:p>
            <w:pPr>
              <w:spacing w:line="312" w:lineRule="auto"/>
              <w:jc w:val="center"/>
              <w:rPr>
                <w:color w:val="000000"/>
              </w:rPr>
            </w:pPr>
          </w:p>
        </w:tc>
        <w:tc>
          <w:tcPr>
            <w:tcW w:w="3876" w:type="dxa"/>
            <w:gridSpan w:val="2"/>
            <w:tcBorders>
              <w:top w:val="single" w:color="auto" w:sz="4" w:space="0"/>
              <w:left w:val="single" w:color="auto" w:sz="4" w:space="0"/>
              <w:bottom w:val="single" w:color="auto" w:sz="4" w:space="0"/>
              <w:right w:val="single" w:color="auto" w:sz="4" w:space="0"/>
            </w:tcBorders>
            <w:vAlign w:val="center"/>
          </w:tcPr>
          <w:p>
            <w:pPr>
              <w:spacing w:line="312" w:lineRule="auto"/>
            </w:pPr>
            <w:r>
              <w:rPr>
                <w:rFonts w:hint="eastAsia"/>
              </w:rPr>
              <w:t>招标控制价</w:t>
            </w:r>
          </w:p>
        </w:tc>
        <w:tc>
          <w:tcPr>
            <w:tcW w:w="3746" w:type="dxa"/>
            <w:tcBorders>
              <w:top w:val="single" w:color="auto" w:sz="4" w:space="0"/>
              <w:left w:val="single" w:color="auto" w:sz="4" w:space="0"/>
              <w:bottom w:val="single" w:color="auto" w:sz="4" w:space="0"/>
              <w:right w:val="single" w:color="auto" w:sz="4" w:space="0"/>
            </w:tcBorders>
            <w:vAlign w:val="center"/>
          </w:tcPr>
          <w:p>
            <w:pPr>
              <w:wordWrap w:val="0"/>
              <w:spacing w:line="312" w:lineRule="auto"/>
              <w:jc w:val="left"/>
              <w:rPr>
                <w:b/>
              </w:rPr>
            </w:pPr>
            <w:r>
              <w:rPr>
                <w:rFonts w:hint="eastAsia"/>
                <w:b/>
              </w:rPr>
              <w:t>868.51万元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16" w:hRule="atLeast"/>
        </w:trPr>
        <w:tc>
          <w:tcPr>
            <w:tcW w:w="8640" w:type="dxa"/>
            <w:gridSpan w:val="5"/>
            <w:tcBorders>
              <w:top w:val="single" w:color="auto" w:sz="4" w:space="0"/>
              <w:left w:val="single" w:color="auto" w:sz="4" w:space="0"/>
              <w:bottom w:val="single" w:color="auto" w:sz="4" w:space="0"/>
              <w:right w:val="single" w:color="auto" w:sz="4" w:space="0"/>
            </w:tcBorders>
            <w:vAlign w:val="center"/>
          </w:tcPr>
          <w:p>
            <w:pPr>
              <w:spacing w:line="312" w:lineRule="auto"/>
              <w:ind w:left="210" w:hanging="210" w:hangingChars="100"/>
              <w:rPr>
                <w:color w:val="000000"/>
              </w:rPr>
            </w:pPr>
            <w:r>
              <w:rPr>
                <w:rFonts w:hint="eastAsia"/>
                <w:color w:val="000000"/>
              </w:rPr>
              <w:t>9.2投标人代表出席开标会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586" w:hRule="atLeast"/>
        </w:trPr>
        <w:tc>
          <w:tcPr>
            <w:tcW w:w="1018" w:type="dxa"/>
            <w:gridSpan w:val="2"/>
            <w:tcBorders>
              <w:top w:val="single" w:color="auto" w:sz="4" w:space="0"/>
              <w:left w:val="single" w:color="auto" w:sz="4" w:space="0"/>
              <w:bottom w:val="single" w:color="auto" w:sz="4" w:space="0"/>
              <w:right w:val="single" w:color="auto" w:sz="4" w:space="0"/>
            </w:tcBorders>
            <w:vAlign w:val="center"/>
          </w:tcPr>
          <w:p>
            <w:pPr>
              <w:spacing w:line="312" w:lineRule="auto"/>
              <w:rPr>
                <w:color w:val="000000"/>
              </w:rPr>
            </w:pPr>
          </w:p>
        </w:tc>
        <w:tc>
          <w:tcPr>
            <w:tcW w:w="7622" w:type="dxa"/>
            <w:gridSpan w:val="3"/>
            <w:tcBorders>
              <w:top w:val="single" w:color="auto" w:sz="4" w:space="0"/>
              <w:left w:val="single" w:color="auto" w:sz="4" w:space="0"/>
              <w:bottom w:val="single" w:color="auto" w:sz="4" w:space="0"/>
              <w:right w:val="single" w:color="auto" w:sz="4" w:space="0"/>
            </w:tcBorders>
            <w:vAlign w:val="center"/>
          </w:tcPr>
          <w:p>
            <w:pPr>
              <w:spacing w:line="312" w:lineRule="auto"/>
              <w:rPr>
                <w:color w:val="000000"/>
              </w:rPr>
            </w:pPr>
            <w:r>
              <w:rPr>
                <w:rFonts w:hint="eastAsia"/>
                <w:color w:val="000000"/>
              </w:rPr>
              <w:t>按照本须知第5.1款的规定，投标人的法定代表人或其委托代理人应当按时参加开标会，投标人的法定代表人或其委托代理人不按时参加开标的，视同该投标人承认开标记录，不得事后对开标记录提出任何异议。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3" w:hRule="atLeast"/>
        </w:trPr>
        <w:tc>
          <w:tcPr>
            <w:tcW w:w="8640" w:type="dxa"/>
            <w:gridSpan w:val="5"/>
            <w:tcBorders>
              <w:top w:val="single" w:color="auto" w:sz="4" w:space="0"/>
              <w:left w:val="single" w:color="auto" w:sz="4" w:space="0"/>
              <w:bottom w:val="single" w:color="auto" w:sz="4" w:space="0"/>
              <w:right w:val="single" w:color="auto" w:sz="4" w:space="0"/>
            </w:tcBorders>
            <w:vAlign w:val="center"/>
          </w:tcPr>
          <w:p>
            <w:pPr>
              <w:rPr>
                <w:color w:val="000000"/>
              </w:rPr>
            </w:pPr>
            <w:r>
              <w:rPr>
                <w:rFonts w:hint="eastAsia"/>
                <w:color w:val="000000"/>
              </w:rPr>
              <w:t>9.3中标公示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45" w:hRule="atLeast"/>
        </w:trPr>
        <w:tc>
          <w:tcPr>
            <w:tcW w:w="1018" w:type="dxa"/>
            <w:gridSpan w:val="2"/>
            <w:tcBorders>
              <w:top w:val="single" w:color="auto" w:sz="4" w:space="0"/>
              <w:left w:val="single" w:color="auto" w:sz="4" w:space="0"/>
              <w:bottom w:val="single" w:color="auto" w:sz="4" w:space="0"/>
              <w:right w:val="single" w:color="auto" w:sz="4" w:space="0"/>
            </w:tcBorders>
            <w:vAlign w:val="center"/>
          </w:tcPr>
          <w:p>
            <w:pPr>
              <w:spacing w:line="312" w:lineRule="auto"/>
              <w:rPr>
                <w:color w:val="000000"/>
              </w:rPr>
            </w:pPr>
          </w:p>
        </w:tc>
        <w:tc>
          <w:tcPr>
            <w:tcW w:w="7622" w:type="dxa"/>
            <w:gridSpan w:val="3"/>
            <w:tcBorders>
              <w:top w:val="single" w:color="auto" w:sz="4" w:space="0"/>
              <w:left w:val="single" w:color="auto" w:sz="4" w:space="0"/>
              <w:bottom w:val="single" w:color="auto" w:sz="4" w:space="0"/>
              <w:right w:val="single" w:color="auto" w:sz="4" w:space="0"/>
            </w:tcBorders>
            <w:vAlign w:val="center"/>
          </w:tcPr>
          <w:p>
            <w:pPr>
              <w:spacing w:line="312" w:lineRule="auto"/>
              <w:rPr>
                <w:color w:val="000000"/>
              </w:rPr>
            </w:pPr>
            <w:r>
              <w:rPr>
                <w:rFonts w:hint="eastAsia" w:ascii="宋体" w:hAnsi="宋体"/>
                <w:szCs w:val="21"/>
              </w:rPr>
              <w:t>确定中标人后在《中国采购与招标网》、《河南省政府采购网》、《温县公共资源交易中心网》上进行公示，</w:t>
            </w:r>
            <w:r>
              <w:rPr>
                <w:rFonts w:hint="eastAsia"/>
                <w:color w:val="000000"/>
              </w:rPr>
              <w:t>公示期不少于3个工作日。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3" w:hRule="atLeast"/>
        </w:trPr>
        <w:tc>
          <w:tcPr>
            <w:tcW w:w="8640" w:type="dxa"/>
            <w:gridSpan w:val="5"/>
            <w:tcBorders>
              <w:top w:val="single" w:color="auto" w:sz="4" w:space="0"/>
              <w:left w:val="single" w:color="auto" w:sz="4" w:space="0"/>
              <w:bottom w:val="single" w:color="auto" w:sz="4" w:space="0"/>
              <w:right w:val="single" w:color="auto" w:sz="4" w:space="0"/>
            </w:tcBorders>
            <w:vAlign w:val="center"/>
          </w:tcPr>
          <w:p>
            <w:pPr>
              <w:spacing w:line="312" w:lineRule="auto"/>
              <w:ind w:left="210" w:hanging="210" w:hangingChars="100"/>
              <w:rPr>
                <w:color w:val="000000"/>
              </w:rPr>
            </w:pPr>
            <w:r>
              <w:rPr>
                <w:rFonts w:hint="eastAsia"/>
                <w:color w:val="000000"/>
              </w:rPr>
              <w:t>9.4知识产权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546" w:hRule="atLeast"/>
        </w:trPr>
        <w:tc>
          <w:tcPr>
            <w:tcW w:w="1018" w:type="dxa"/>
            <w:gridSpan w:val="2"/>
            <w:tcBorders>
              <w:top w:val="single" w:color="auto" w:sz="4" w:space="0"/>
              <w:left w:val="single" w:color="auto" w:sz="4" w:space="0"/>
              <w:bottom w:val="single" w:color="auto" w:sz="4" w:space="0"/>
              <w:right w:val="single" w:color="auto" w:sz="4" w:space="0"/>
            </w:tcBorders>
            <w:vAlign w:val="center"/>
          </w:tcPr>
          <w:p>
            <w:pPr>
              <w:spacing w:line="312" w:lineRule="auto"/>
              <w:rPr>
                <w:color w:val="000000"/>
              </w:rPr>
            </w:pPr>
          </w:p>
        </w:tc>
        <w:tc>
          <w:tcPr>
            <w:tcW w:w="7622" w:type="dxa"/>
            <w:gridSpan w:val="3"/>
            <w:tcBorders>
              <w:top w:val="single" w:color="auto" w:sz="4" w:space="0"/>
              <w:left w:val="single" w:color="auto" w:sz="4" w:space="0"/>
              <w:bottom w:val="single" w:color="auto" w:sz="4" w:space="0"/>
              <w:right w:val="single" w:color="auto" w:sz="4" w:space="0"/>
            </w:tcBorders>
            <w:vAlign w:val="center"/>
          </w:tcPr>
          <w:p>
            <w:pPr>
              <w:spacing w:line="312" w:lineRule="auto"/>
              <w:rPr>
                <w:color w:val="000000"/>
              </w:rPr>
            </w:pPr>
            <w:r>
              <w:rPr>
                <w:rFonts w:hint="eastAsia"/>
                <w:color w:val="000000"/>
              </w:rPr>
              <w:t>构成本招标文件各个组成部分的文件，未经招标人书面同意，投标人不得擅自复印和用于非本招标项目所需的其他目的。招标人全部或者部分使用未中标人投标文件中的技术成果或技术方案时，需征得其书面同意，并不得擅自复印或提供给第三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3" w:hRule="atLeast"/>
        </w:trPr>
        <w:tc>
          <w:tcPr>
            <w:tcW w:w="8640" w:type="dxa"/>
            <w:gridSpan w:val="5"/>
            <w:tcBorders>
              <w:top w:val="single" w:color="auto" w:sz="4" w:space="0"/>
              <w:left w:val="single" w:color="auto" w:sz="4" w:space="0"/>
              <w:bottom w:val="single" w:color="auto" w:sz="4" w:space="0"/>
              <w:right w:val="single" w:color="auto" w:sz="4" w:space="0"/>
            </w:tcBorders>
            <w:vAlign w:val="center"/>
          </w:tcPr>
          <w:p>
            <w:pPr>
              <w:rPr>
                <w:color w:val="000000"/>
              </w:rPr>
            </w:pPr>
            <w:r>
              <w:rPr>
                <w:rFonts w:hint="eastAsia"/>
                <w:color w:val="000000"/>
              </w:rPr>
              <w:t>9.5重新招标和不再招标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06" w:hRule="atLeast"/>
        </w:trPr>
        <w:tc>
          <w:tcPr>
            <w:tcW w:w="1018" w:type="dxa"/>
            <w:gridSpan w:val="2"/>
            <w:tcBorders>
              <w:top w:val="single" w:color="auto" w:sz="4" w:space="0"/>
              <w:left w:val="single" w:color="auto" w:sz="4" w:space="0"/>
              <w:bottom w:val="single" w:color="auto" w:sz="4" w:space="0"/>
              <w:right w:val="single" w:color="auto" w:sz="4" w:space="0"/>
            </w:tcBorders>
            <w:vAlign w:val="center"/>
          </w:tcPr>
          <w:p>
            <w:pPr>
              <w:spacing w:line="312" w:lineRule="auto"/>
              <w:rPr>
                <w:color w:val="000000"/>
              </w:rPr>
            </w:pPr>
          </w:p>
        </w:tc>
        <w:tc>
          <w:tcPr>
            <w:tcW w:w="7622" w:type="dxa"/>
            <w:gridSpan w:val="3"/>
            <w:tcBorders>
              <w:top w:val="single" w:color="auto" w:sz="4" w:space="0"/>
              <w:left w:val="single" w:color="auto" w:sz="4" w:space="0"/>
              <w:bottom w:val="single" w:color="auto" w:sz="4" w:space="0"/>
              <w:right w:val="single" w:color="auto" w:sz="4" w:space="0"/>
            </w:tcBorders>
            <w:vAlign w:val="center"/>
          </w:tcPr>
          <w:p>
            <w:pPr>
              <w:spacing w:line="360" w:lineRule="auto"/>
              <w:rPr>
                <w:rFonts w:ascii="宋体" w:hAnsi="宋体"/>
                <w:szCs w:val="21"/>
              </w:rPr>
            </w:pPr>
            <w:r>
              <w:rPr>
                <w:rFonts w:hint="eastAsia" w:ascii="宋体" w:hAnsi="宋体"/>
                <w:szCs w:val="21"/>
              </w:rPr>
              <w:t>有下列情形之一的，招标人将重新招标：</w:t>
            </w:r>
          </w:p>
          <w:p>
            <w:pPr>
              <w:spacing w:line="360" w:lineRule="auto"/>
              <w:rPr>
                <w:rFonts w:ascii="宋体" w:hAnsi="宋体"/>
                <w:szCs w:val="21"/>
              </w:rPr>
            </w:pPr>
            <w:r>
              <w:rPr>
                <w:rFonts w:hint="eastAsia" w:ascii="宋体" w:hAnsi="宋体"/>
                <w:szCs w:val="21"/>
              </w:rPr>
              <w:t>(l）投标截止时间止，投标人少于3 个的；</w:t>
            </w:r>
          </w:p>
          <w:p>
            <w:pPr>
              <w:spacing w:line="360" w:lineRule="auto"/>
              <w:rPr>
                <w:rFonts w:ascii="宋体" w:hAnsi="宋体"/>
                <w:szCs w:val="21"/>
              </w:rPr>
            </w:pPr>
            <w:r>
              <w:rPr>
                <w:rFonts w:hint="eastAsia" w:ascii="宋体" w:hAnsi="宋体"/>
                <w:szCs w:val="21"/>
              </w:rPr>
              <w:t>(2）经评标委员会评审后否决所有投标的。</w:t>
            </w:r>
          </w:p>
          <w:p>
            <w:pPr>
              <w:spacing w:line="360" w:lineRule="auto"/>
              <w:rPr>
                <w:rFonts w:ascii="宋体" w:hAnsi="宋体"/>
                <w:szCs w:val="21"/>
              </w:rPr>
            </w:pPr>
            <w:r>
              <w:rPr>
                <w:rFonts w:hint="eastAsia" w:ascii="宋体" w:hAnsi="宋体"/>
                <w:szCs w:val="21"/>
              </w:rPr>
              <w:t>有下列情形的，招标人将不再招标：</w:t>
            </w:r>
          </w:p>
          <w:p>
            <w:pPr>
              <w:spacing w:line="360" w:lineRule="auto"/>
              <w:rPr>
                <w:rFonts w:ascii="宋体" w:hAnsi="宋体"/>
                <w:szCs w:val="21"/>
              </w:rPr>
            </w:pPr>
            <w:r>
              <w:rPr>
                <w:rFonts w:hint="eastAsia" w:ascii="宋体" w:hAnsi="宋体"/>
                <w:szCs w:val="21"/>
              </w:rPr>
              <w:t>重新招标后投标人仍少于3 个或者所有投标被否决的，属于必须审批或核准的工程建设项目，经原审批或核准部门批准后不再进行招标。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3" w:hRule="atLeast"/>
        </w:trPr>
        <w:tc>
          <w:tcPr>
            <w:tcW w:w="8640" w:type="dxa"/>
            <w:gridSpan w:val="5"/>
            <w:tcBorders>
              <w:top w:val="single" w:color="auto" w:sz="4" w:space="0"/>
              <w:left w:val="single" w:color="auto" w:sz="4" w:space="0"/>
              <w:bottom w:val="single" w:color="auto" w:sz="4" w:space="0"/>
              <w:right w:val="single" w:color="auto" w:sz="4" w:space="0"/>
            </w:tcBorders>
            <w:vAlign w:val="center"/>
          </w:tcPr>
          <w:p>
            <w:pPr>
              <w:spacing w:line="312" w:lineRule="auto"/>
              <w:ind w:left="210" w:hanging="210" w:hangingChars="100"/>
              <w:rPr>
                <w:color w:val="000000"/>
              </w:rPr>
            </w:pPr>
            <w:r>
              <w:rPr>
                <w:rFonts w:hint="eastAsia"/>
                <w:color w:val="000000"/>
              </w:rPr>
              <w:t>9.6同义词语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99" w:hRule="atLeast"/>
        </w:trPr>
        <w:tc>
          <w:tcPr>
            <w:tcW w:w="1018" w:type="dxa"/>
            <w:gridSpan w:val="2"/>
            <w:tcBorders>
              <w:top w:val="single" w:color="auto" w:sz="4" w:space="0"/>
              <w:left w:val="single" w:color="auto" w:sz="4" w:space="0"/>
              <w:bottom w:val="single" w:color="auto" w:sz="4" w:space="0"/>
              <w:right w:val="single" w:color="auto" w:sz="4" w:space="0"/>
            </w:tcBorders>
            <w:vAlign w:val="center"/>
          </w:tcPr>
          <w:p>
            <w:pPr>
              <w:spacing w:line="312" w:lineRule="auto"/>
              <w:rPr>
                <w:color w:val="000000"/>
              </w:rPr>
            </w:pPr>
          </w:p>
        </w:tc>
        <w:tc>
          <w:tcPr>
            <w:tcW w:w="7622" w:type="dxa"/>
            <w:gridSpan w:val="3"/>
            <w:tcBorders>
              <w:top w:val="single" w:color="auto" w:sz="4" w:space="0"/>
              <w:left w:val="single" w:color="auto" w:sz="4" w:space="0"/>
              <w:bottom w:val="single" w:color="auto" w:sz="4" w:space="0"/>
              <w:right w:val="single" w:color="auto" w:sz="4" w:space="0"/>
            </w:tcBorders>
            <w:vAlign w:val="center"/>
          </w:tcPr>
          <w:p>
            <w:pPr>
              <w:rPr>
                <w:color w:val="000000"/>
              </w:rPr>
            </w:pPr>
            <w:r>
              <w:rPr>
                <w:rFonts w:hint="eastAsia"/>
                <w:color w:val="000000"/>
              </w:rPr>
              <w:t>构成招标文件组成部分的“通用合同条款”、“专用合同条款”、“技术标准和要求”</w:t>
            </w:r>
          </w:p>
          <w:p>
            <w:pPr>
              <w:rPr>
                <w:color w:val="000000"/>
              </w:rPr>
            </w:pPr>
            <w:r>
              <w:rPr>
                <w:rFonts w:hint="eastAsia"/>
                <w:color w:val="000000"/>
              </w:rPr>
              <w:t>和“工程量清单”等章节中出现的措辞“发包人”和“承包人”，在招标投标阶段</w:t>
            </w:r>
          </w:p>
          <w:p>
            <w:pPr>
              <w:rPr>
                <w:color w:val="000000"/>
              </w:rPr>
            </w:pPr>
            <w:r>
              <w:rPr>
                <w:rFonts w:hint="eastAsia"/>
                <w:color w:val="000000"/>
              </w:rPr>
              <w:t>应当分别按“招标人”和“投标人”进行理解。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3" w:hRule="atLeast"/>
        </w:trPr>
        <w:tc>
          <w:tcPr>
            <w:tcW w:w="8640" w:type="dxa"/>
            <w:gridSpan w:val="5"/>
            <w:tcBorders>
              <w:top w:val="single" w:color="auto" w:sz="4" w:space="0"/>
              <w:left w:val="single" w:color="auto" w:sz="4" w:space="0"/>
              <w:bottom w:val="single" w:color="auto" w:sz="4" w:space="0"/>
              <w:right w:val="single" w:color="auto" w:sz="4" w:space="0"/>
            </w:tcBorders>
            <w:vAlign w:val="center"/>
          </w:tcPr>
          <w:p>
            <w:pPr>
              <w:spacing w:line="312" w:lineRule="auto"/>
              <w:ind w:left="210" w:hanging="210" w:hangingChars="100"/>
              <w:rPr>
                <w:color w:val="000000"/>
              </w:rPr>
            </w:pPr>
            <w:r>
              <w:rPr>
                <w:rFonts w:hint="eastAsia"/>
                <w:color w:val="000000"/>
              </w:rPr>
              <w:t>9.7监  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47" w:hRule="atLeast"/>
        </w:trPr>
        <w:tc>
          <w:tcPr>
            <w:tcW w:w="1018" w:type="dxa"/>
            <w:gridSpan w:val="2"/>
            <w:tcBorders>
              <w:top w:val="single" w:color="auto" w:sz="4" w:space="0"/>
              <w:left w:val="single" w:color="auto" w:sz="4" w:space="0"/>
              <w:bottom w:val="single" w:color="auto" w:sz="4" w:space="0"/>
              <w:right w:val="single" w:color="auto" w:sz="4" w:space="0"/>
            </w:tcBorders>
            <w:vAlign w:val="center"/>
          </w:tcPr>
          <w:p>
            <w:pPr>
              <w:spacing w:line="312" w:lineRule="auto"/>
              <w:rPr>
                <w:color w:val="000000"/>
              </w:rPr>
            </w:pPr>
          </w:p>
        </w:tc>
        <w:tc>
          <w:tcPr>
            <w:tcW w:w="7622" w:type="dxa"/>
            <w:gridSpan w:val="3"/>
            <w:tcBorders>
              <w:top w:val="single" w:color="auto" w:sz="4" w:space="0"/>
              <w:left w:val="single" w:color="auto" w:sz="4" w:space="0"/>
              <w:bottom w:val="single" w:color="auto" w:sz="4" w:space="0"/>
              <w:right w:val="single" w:color="auto" w:sz="4" w:space="0"/>
            </w:tcBorders>
            <w:vAlign w:val="center"/>
          </w:tcPr>
          <w:p>
            <w:pPr>
              <w:spacing w:line="312" w:lineRule="auto"/>
              <w:ind w:left="-118" w:leftChars="-56"/>
              <w:rPr>
                <w:color w:val="000000"/>
              </w:rPr>
            </w:pPr>
            <w:r>
              <w:rPr>
                <w:rFonts w:hint="eastAsia"/>
                <w:color w:val="000000"/>
              </w:rPr>
              <w:t>本项目的招标投标活动及其相关当事人应当接受有管辖权的建设工程招标投标行政监督部门依法实施的监督。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3" w:hRule="atLeast"/>
        </w:trPr>
        <w:tc>
          <w:tcPr>
            <w:tcW w:w="8640" w:type="dxa"/>
            <w:gridSpan w:val="5"/>
            <w:tcBorders>
              <w:top w:val="single" w:color="auto" w:sz="4" w:space="0"/>
              <w:left w:val="single" w:color="auto" w:sz="4" w:space="0"/>
              <w:bottom w:val="single" w:color="auto" w:sz="4" w:space="0"/>
              <w:right w:val="single" w:color="auto" w:sz="4" w:space="0"/>
            </w:tcBorders>
            <w:vAlign w:val="center"/>
          </w:tcPr>
          <w:p>
            <w:pPr>
              <w:spacing w:line="312" w:lineRule="auto"/>
              <w:ind w:left="210" w:hanging="210" w:hangingChars="100"/>
              <w:rPr>
                <w:color w:val="000000"/>
              </w:rPr>
            </w:pPr>
            <w:r>
              <w:rPr>
                <w:rFonts w:hint="eastAsia"/>
                <w:color w:val="000000"/>
              </w:rPr>
              <w:t>9.8解释权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75" w:hRule="atLeast"/>
        </w:trPr>
        <w:tc>
          <w:tcPr>
            <w:tcW w:w="1018" w:type="dxa"/>
            <w:gridSpan w:val="2"/>
            <w:tcBorders>
              <w:top w:val="single" w:color="auto" w:sz="4" w:space="0"/>
              <w:left w:val="single" w:color="auto" w:sz="4" w:space="0"/>
              <w:bottom w:val="single" w:color="auto" w:sz="4" w:space="0"/>
              <w:right w:val="single" w:color="auto" w:sz="4" w:space="0"/>
            </w:tcBorders>
            <w:vAlign w:val="center"/>
          </w:tcPr>
          <w:p>
            <w:pPr>
              <w:spacing w:line="312" w:lineRule="auto"/>
              <w:rPr>
                <w:color w:val="000000"/>
              </w:rPr>
            </w:pPr>
          </w:p>
        </w:tc>
        <w:tc>
          <w:tcPr>
            <w:tcW w:w="7622" w:type="dxa"/>
            <w:gridSpan w:val="3"/>
            <w:tcBorders>
              <w:top w:val="single" w:color="auto" w:sz="4" w:space="0"/>
              <w:left w:val="single" w:color="auto" w:sz="4" w:space="0"/>
              <w:bottom w:val="single" w:color="auto" w:sz="4" w:space="0"/>
              <w:right w:val="single" w:color="auto" w:sz="4" w:space="0"/>
            </w:tcBorders>
            <w:vAlign w:val="center"/>
          </w:tcPr>
          <w:p>
            <w:pPr>
              <w:spacing w:line="312" w:lineRule="auto"/>
              <w:rPr>
                <w:color w:val="000000"/>
              </w:rPr>
            </w:pPr>
            <w:r>
              <w:rPr>
                <w:rFonts w:hint="eastAsia"/>
                <w:color w:val="000000"/>
              </w:rPr>
              <w:t>构成本招标文件的各个组成文件应互为解释，互为说明；如有不明确或不一致，构成合同文件组成内容的，以合同文件约定内容为准，且以专用合同条款约定的合同文件优先顺序解释；除招标文件中有特别规定外，仅适用于招标投标阶段的规定，按招标公告（投标邀请书）、投标人须知、评标办法、投标文件格式的先后顺序解释；同一组成文件中就同一事项的规定或约定不一致的，以编排顺序在后者为准；同一组成文件不同版本之间有不一致的，以形成时间在后者为准。按本款前述规定仍不能形成结论的，由招标人负责解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40" w:hRule="atLeast"/>
        </w:trPr>
        <w:tc>
          <w:tcPr>
            <w:tcW w:w="1018" w:type="dxa"/>
            <w:gridSpan w:val="2"/>
            <w:tcBorders>
              <w:top w:val="single" w:color="auto" w:sz="4" w:space="0"/>
              <w:left w:val="single" w:color="auto" w:sz="4" w:space="0"/>
              <w:bottom w:val="single" w:color="auto" w:sz="4" w:space="0"/>
              <w:right w:val="single" w:color="auto" w:sz="4" w:space="0"/>
            </w:tcBorders>
            <w:vAlign w:val="center"/>
          </w:tcPr>
          <w:p>
            <w:pPr>
              <w:spacing w:line="312" w:lineRule="auto"/>
              <w:rPr>
                <w:color w:val="000000"/>
              </w:rPr>
            </w:pPr>
            <w:r>
              <w:rPr>
                <w:rFonts w:hint="eastAsia"/>
                <w:color w:val="000000"/>
              </w:rPr>
              <w:t>9.9</w:t>
            </w:r>
          </w:p>
        </w:tc>
        <w:tc>
          <w:tcPr>
            <w:tcW w:w="7622" w:type="dxa"/>
            <w:gridSpan w:val="3"/>
            <w:tcBorders>
              <w:top w:val="single" w:color="auto" w:sz="4" w:space="0"/>
              <w:left w:val="single" w:color="auto" w:sz="4" w:space="0"/>
              <w:bottom w:val="single" w:color="auto" w:sz="4" w:space="0"/>
              <w:right w:val="single" w:color="auto" w:sz="4" w:space="0"/>
            </w:tcBorders>
            <w:vAlign w:val="center"/>
          </w:tcPr>
          <w:p>
            <w:pPr>
              <w:spacing w:line="312" w:lineRule="auto"/>
              <w:rPr>
                <w:color w:val="000000"/>
              </w:rPr>
            </w:pPr>
            <w:r>
              <w:rPr>
                <w:rFonts w:hint="eastAsia"/>
                <w:color w:val="000000"/>
              </w:rPr>
              <w:t>招标公告中所要求资格的原件和第三章评标办法中所需证件的原件，须在评标过程中全部向评标委员会提供、查验。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5" w:hRule="atLeast"/>
        </w:trPr>
        <w:tc>
          <w:tcPr>
            <w:tcW w:w="1018" w:type="dxa"/>
            <w:gridSpan w:val="2"/>
            <w:tcBorders>
              <w:top w:val="single" w:color="auto" w:sz="4" w:space="0"/>
              <w:left w:val="single" w:color="auto" w:sz="4" w:space="0"/>
              <w:bottom w:val="single" w:color="auto" w:sz="4" w:space="0"/>
              <w:right w:val="single" w:color="auto" w:sz="4" w:space="0"/>
            </w:tcBorders>
            <w:vAlign w:val="center"/>
          </w:tcPr>
          <w:p>
            <w:pPr>
              <w:spacing w:line="312" w:lineRule="auto"/>
              <w:rPr>
                <w:color w:val="000000"/>
              </w:rPr>
            </w:pPr>
            <w:r>
              <w:rPr>
                <w:rFonts w:hint="eastAsia"/>
                <w:color w:val="000000"/>
              </w:rPr>
              <w:t>9.10</w:t>
            </w:r>
          </w:p>
        </w:tc>
        <w:tc>
          <w:tcPr>
            <w:tcW w:w="7622" w:type="dxa"/>
            <w:gridSpan w:val="3"/>
            <w:tcBorders>
              <w:top w:val="single" w:color="auto" w:sz="4" w:space="0"/>
              <w:left w:val="single" w:color="auto" w:sz="4" w:space="0"/>
              <w:bottom w:val="single" w:color="auto" w:sz="4" w:space="0"/>
              <w:right w:val="single" w:color="auto" w:sz="4" w:space="0"/>
            </w:tcBorders>
            <w:vAlign w:val="center"/>
          </w:tcPr>
          <w:p>
            <w:pPr>
              <w:spacing w:line="312" w:lineRule="auto"/>
              <w:rPr>
                <w:color w:val="000000"/>
              </w:rPr>
            </w:pPr>
            <w:r>
              <w:rPr>
                <w:rFonts w:hint="eastAsia"/>
                <w:color w:val="000000"/>
              </w:rPr>
              <w:t>中标后，建设单位和中标施工企业应到温县住房和城乡建设局建筑市场管理科办理农民工工资保证金缴纳手续，足额将农民工工资保证金交至温县农民工工资保证金专用账户。缴纳标准：缴纳标准：建设单位按工程总造价的2%；中标的施工企业按工程总造价的2%。开户行：温县农行营业部；账号：16319101040010862（温县财政国库支付中心）。</w:t>
            </w:r>
          </w:p>
          <w:p>
            <w:pPr>
              <w:spacing w:line="312" w:lineRule="auto"/>
              <w:rPr>
                <w:color w:val="000000"/>
              </w:rPr>
            </w:pPr>
            <w:r>
              <w:rPr>
                <w:rFonts w:hint="eastAsia"/>
                <w:color w:val="000000"/>
              </w:rPr>
              <w:t>工程竣工验收合格后，经公示无拖欠农民工工资现象，到温县住房和城乡建设局建筑市场管理科返还农民工工资保证金（无息）。</w:t>
            </w:r>
          </w:p>
          <w:p>
            <w:pPr>
              <w:spacing w:line="312" w:lineRule="auto"/>
              <w:rPr>
                <w:rFonts w:ascii="宋体" w:hAnsi="宋体"/>
                <w:szCs w:val="21"/>
              </w:rPr>
            </w:pPr>
            <w:r>
              <w:rPr>
                <w:rFonts w:hint="eastAsia"/>
                <w:color w:val="000000"/>
              </w:rPr>
              <w:t>在确定中标单位后，建设单位和中标单位应在签订《项目建设合同书》的同时，由双方单位法定代表人或委托项目管理人（即项目法人或项目经理）签订《廉政建设责任书》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40" w:hRule="atLeast"/>
        </w:trPr>
        <w:tc>
          <w:tcPr>
            <w:tcW w:w="1018" w:type="dxa"/>
            <w:gridSpan w:val="2"/>
            <w:tcBorders>
              <w:top w:val="single" w:color="auto" w:sz="4" w:space="0"/>
              <w:left w:val="single" w:color="auto" w:sz="4" w:space="0"/>
              <w:bottom w:val="single" w:color="auto" w:sz="4" w:space="0"/>
              <w:right w:val="single" w:color="auto" w:sz="4" w:space="0"/>
            </w:tcBorders>
            <w:vAlign w:val="center"/>
          </w:tcPr>
          <w:p>
            <w:pPr>
              <w:spacing w:line="312" w:lineRule="auto"/>
              <w:rPr>
                <w:color w:val="000000"/>
              </w:rPr>
            </w:pPr>
            <w:r>
              <w:rPr>
                <w:rFonts w:hint="eastAsia"/>
                <w:color w:val="000000"/>
              </w:rPr>
              <w:t>9.11</w:t>
            </w:r>
          </w:p>
        </w:tc>
        <w:tc>
          <w:tcPr>
            <w:tcW w:w="7622" w:type="dxa"/>
            <w:gridSpan w:val="3"/>
            <w:tcBorders>
              <w:top w:val="single" w:color="auto" w:sz="4" w:space="0"/>
              <w:left w:val="single" w:color="auto" w:sz="4" w:space="0"/>
              <w:bottom w:val="single" w:color="auto" w:sz="4" w:space="0"/>
              <w:right w:val="single" w:color="auto" w:sz="4" w:space="0"/>
            </w:tcBorders>
            <w:vAlign w:val="center"/>
          </w:tcPr>
          <w:p>
            <w:pPr>
              <w:spacing w:line="288" w:lineRule="auto"/>
            </w:pPr>
            <w:r>
              <w:rPr>
                <w:rFonts w:hint="eastAsia"/>
              </w:rPr>
              <w:t>投标人还应对农民工工资问题作出以下承诺：</w:t>
            </w:r>
          </w:p>
          <w:p>
            <w:pPr>
              <w:spacing w:line="288" w:lineRule="auto"/>
            </w:pPr>
            <w:r>
              <w:rPr>
                <w:rFonts w:hint="eastAsia"/>
              </w:rPr>
              <w:t>（1）必须在标书中如实反映以前所承建工程的工资支付情况，需特别注明截止竞标之日止，是否存在拖欠或克扣农民工工资的行为。</w:t>
            </w:r>
          </w:p>
          <w:p>
            <w:pPr>
              <w:numPr>
                <w:ilvl w:val="0"/>
                <w:numId w:val="1"/>
              </w:numPr>
              <w:spacing w:line="288" w:lineRule="auto"/>
            </w:pPr>
            <w:r>
              <w:rPr>
                <w:rFonts w:hint="eastAsia"/>
              </w:rPr>
              <w:t>必须在标书中承诺中标后能够及时、足额缴纳农民工工资保障金。</w:t>
            </w:r>
          </w:p>
          <w:p>
            <w:pPr>
              <w:numPr>
                <w:ilvl w:val="0"/>
                <w:numId w:val="1"/>
              </w:numPr>
              <w:spacing w:line="288" w:lineRule="auto"/>
            </w:pPr>
            <w:r>
              <w:rPr>
                <w:rFonts w:hint="eastAsia"/>
              </w:rPr>
              <w:t>必须在标书中承诺：一旦其承包的建筑工程项目中出现拖欠农民工工资情况且限期未支付的，可由</w:t>
            </w:r>
            <w:r>
              <w:rPr>
                <w:rFonts w:hint="eastAsia"/>
                <w:color w:val="000000"/>
              </w:rPr>
              <w:t>温县住房和城乡建设局</w:t>
            </w:r>
            <w:r>
              <w:rPr>
                <w:rFonts w:hint="eastAsia"/>
              </w:rPr>
              <w:t>从工资保障金中先予划支，并在两个月内补缴到位。</w:t>
            </w:r>
          </w:p>
          <w:p>
            <w:pPr>
              <w:spacing w:line="312" w:lineRule="auto"/>
              <w:rPr>
                <w:color w:val="000000"/>
              </w:rPr>
            </w:pPr>
            <w:r>
              <w:rPr>
                <w:rFonts w:hint="eastAsia"/>
              </w:rPr>
              <w:t>注：投标人提交的投标文件不具备以上三项内容的，在资格审查时对其实行“一票否决”。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40" w:hRule="atLeast"/>
        </w:trPr>
        <w:tc>
          <w:tcPr>
            <w:tcW w:w="1018" w:type="dxa"/>
            <w:gridSpan w:val="2"/>
            <w:tcBorders>
              <w:top w:val="single" w:color="auto" w:sz="4" w:space="0"/>
              <w:left w:val="single" w:color="auto" w:sz="4" w:space="0"/>
              <w:bottom w:val="single" w:color="auto" w:sz="4" w:space="0"/>
              <w:right w:val="single" w:color="auto" w:sz="4" w:space="0"/>
            </w:tcBorders>
            <w:vAlign w:val="center"/>
          </w:tcPr>
          <w:p>
            <w:pPr>
              <w:spacing w:line="312" w:lineRule="auto"/>
              <w:rPr>
                <w:color w:val="000000"/>
              </w:rPr>
            </w:pPr>
            <w:r>
              <w:rPr>
                <w:rFonts w:hint="eastAsia"/>
                <w:color w:val="000000"/>
              </w:rPr>
              <w:t>9.12</w:t>
            </w:r>
          </w:p>
        </w:tc>
        <w:tc>
          <w:tcPr>
            <w:tcW w:w="7622" w:type="dxa"/>
            <w:gridSpan w:val="3"/>
            <w:tcBorders>
              <w:top w:val="single" w:color="auto" w:sz="4" w:space="0"/>
              <w:left w:val="single" w:color="auto" w:sz="4" w:space="0"/>
              <w:bottom w:val="single" w:color="auto" w:sz="4" w:space="0"/>
              <w:right w:val="single" w:color="auto" w:sz="4" w:space="0"/>
            </w:tcBorders>
            <w:vAlign w:val="center"/>
          </w:tcPr>
          <w:p>
            <w:pPr>
              <w:spacing w:line="312" w:lineRule="auto"/>
            </w:pPr>
            <w:r>
              <w:rPr>
                <w:rFonts w:hint="eastAsia"/>
              </w:rPr>
              <w:t xml:space="preserve">对于中标结果提出异议、投诉的事项，经招标人或行政监督部门查证属实的，按相关法律法规和招标文件规定，取消被异议人或被投诉人的中标资格。同时由行政监督部门对被取消中标资格的企业记录不良行为，限制一定期限内在温县从事招投标活动，并在温县公共资源交易中心网站予以公示。对于故意捏造事实、伪造证明材料的，或者以非法手段取得证明材料等进行恶意异议、投诉的企业，由招标人、行政监督部门驳回异议和投诉，同时由行政监督部门对其记录不良行为，限制一定期限内在温县从事招投标活动，并在温县公共资源交易中心网站予以公示。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20" w:hRule="atLeast"/>
        </w:trPr>
        <w:tc>
          <w:tcPr>
            <w:tcW w:w="1018" w:type="dxa"/>
            <w:gridSpan w:val="2"/>
            <w:tcBorders>
              <w:top w:val="single" w:color="auto" w:sz="4" w:space="0"/>
              <w:left w:val="single" w:color="auto" w:sz="4" w:space="0"/>
              <w:bottom w:val="single" w:color="auto" w:sz="4" w:space="0"/>
              <w:right w:val="single" w:color="auto" w:sz="4" w:space="0"/>
            </w:tcBorders>
            <w:vAlign w:val="center"/>
          </w:tcPr>
          <w:p>
            <w:pPr>
              <w:spacing w:line="312" w:lineRule="auto"/>
              <w:rPr>
                <w:color w:val="000000"/>
              </w:rPr>
            </w:pPr>
            <w:r>
              <w:rPr>
                <w:rFonts w:hint="eastAsia"/>
                <w:color w:val="000000"/>
              </w:rPr>
              <w:t>9.13</w:t>
            </w:r>
          </w:p>
        </w:tc>
        <w:tc>
          <w:tcPr>
            <w:tcW w:w="7622"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szCs w:val="21"/>
              </w:rPr>
            </w:pPr>
            <w:r>
              <w:rPr>
                <w:rFonts w:hint="eastAsia" w:ascii="宋体" w:hAnsi="宋体"/>
                <w:szCs w:val="21"/>
              </w:rPr>
              <w:t>其它未尽事宜，按国家有关法律、法规执行。</w:t>
            </w:r>
          </w:p>
        </w:tc>
      </w:tr>
    </w:tbl>
    <w:p/>
    <w:p>
      <w:pPr>
        <w:spacing w:line="400" w:lineRule="exact"/>
      </w:pPr>
    </w:p>
    <w:p>
      <w:pPr>
        <w:spacing w:line="400" w:lineRule="exact"/>
        <w:sectPr>
          <w:pgSz w:w="11906" w:h="16838"/>
          <w:pgMar w:top="1440" w:right="1800" w:bottom="1440" w:left="1800" w:header="851" w:footer="992" w:gutter="0"/>
          <w:pgNumType w:start="1"/>
          <w:cols w:space="720" w:num="1"/>
          <w:docGrid w:type="lines" w:linePitch="312" w:charSpace="0"/>
        </w:sectPr>
      </w:pPr>
      <w:bookmarkStart w:id="1289" w:name="_GoBack"/>
      <w:bookmarkEnd w:id="1289"/>
    </w:p>
    <w:p>
      <w:pPr>
        <w:pStyle w:val="3"/>
      </w:pPr>
      <w:bookmarkStart w:id="42" w:name="_Toc144974497"/>
      <w:bookmarkStart w:id="43" w:name="_Toc247085689"/>
      <w:bookmarkStart w:id="44" w:name="_Toc5179"/>
      <w:bookmarkStart w:id="45" w:name="_Toc152045529"/>
      <w:bookmarkStart w:id="46" w:name="_Toc179632546"/>
      <w:bookmarkStart w:id="47" w:name="_Toc152042305"/>
      <w:bookmarkStart w:id="48" w:name="_Toc246996918"/>
      <w:bookmarkStart w:id="49" w:name="_Toc246996175"/>
      <w:r>
        <w:rPr>
          <w:rFonts w:hint="eastAsia"/>
        </w:rPr>
        <w:t>1. 总则</w:t>
      </w:r>
      <w:bookmarkEnd w:id="42"/>
      <w:bookmarkEnd w:id="43"/>
      <w:bookmarkEnd w:id="44"/>
      <w:bookmarkEnd w:id="45"/>
      <w:bookmarkEnd w:id="46"/>
      <w:bookmarkEnd w:id="47"/>
      <w:bookmarkEnd w:id="48"/>
      <w:bookmarkEnd w:id="49"/>
    </w:p>
    <w:p>
      <w:pPr>
        <w:pStyle w:val="4"/>
      </w:pPr>
      <w:bookmarkStart w:id="50" w:name="_Toc152045530"/>
      <w:bookmarkStart w:id="51" w:name="_Toc247085690"/>
      <w:bookmarkStart w:id="52" w:name="_Toc152042306"/>
      <w:bookmarkStart w:id="53" w:name="_Toc144974498"/>
      <w:bookmarkStart w:id="54" w:name="_Toc246996176"/>
      <w:bookmarkStart w:id="55" w:name="_Toc10102"/>
      <w:bookmarkStart w:id="56" w:name="_Toc246996919"/>
      <w:bookmarkStart w:id="57" w:name="_Toc179632547"/>
      <w:r>
        <w:rPr>
          <w:rFonts w:hint="eastAsia"/>
        </w:rPr>
        <w:t>1.1 项目概况</w:t>
      </w:r>
      <w:bookmarkEnd w:id="50"/>
      <w:bookmarkEnd w:id="51"/>
      <w:bookmarkEnd w:id="52"/>
      <w:bookmarkEnd w:id="53"/>
      <w:bookmarkEnd w:id="54"/>
      <w:bookmarkEnd w:id="55"/>
      <w:bookmarkEnd w:id="56"/>
      <w:bookmarkEnd w:id="57"/>
    </w:p>
    <w:p>
      <w:pPr>
        <w:spacing w:line="400" w:lineRule="exact"/>
        <w:ind w:firstLine="420" w:firstLineChars="200"/>
      </w:pPr>
      <w:r>
        <w:rPr>
          <w:rFonts w:hint="eastAsia"/>
        </w:rPr>
        <w:t>1.1.1根据《中华人民共和国招标投标法》等有关法律、法规和规章的规定，本招标项目已具备招标条件，现对本项目施工进行招标。</w:t>
      </w:r>
    </w:p>
    <w:p>
      <w:pPr>
        <w:spacing w:line="400" w:lineRule="exact"/>
        <w:ind w:firstLine="420" w:firstLineChars="200"/>
      </w:pPr>
      <w:r>
        <w:rPr>
          <w:rFonts w:hint="eastAsia"/>
        </w:rPr>
        <w:t>1.1.2 本招标项目招标人：见投标人须知前附表。</w:t>
      </w:r>
    </w:p>
    <w:p>
      <w:pPr>
        <w:spacing w:line="400" w:lineRule="exact"/>
        <w:ind w:firstLine="420" w:firstLineChars="200"/>
      </w:pPr>
      <w:r>
        <w:rPr>
          <w:rFonts w:hint="eastAsia"/>
        </w:rPr>
        <w:t>1.1.3 本招标项目招标代理机构：见投标人须知前附表。</w:t>
      </w:r>
    </w:p>
    <w:p>
      <w:pPr>
        <w:spacing w:line="400" w:lineRule="exact"/>
        <w:ind w:firstLine="420" w:firstLineChars="200"/>
      </w:pPr>
      <w:r>
        <w:rPr>
          <w:rFonts w:hint="eastAsia"/>
        </w:rPr>
        <w:t>1.1.4 本招标项目名称：见投标人须知前附表。</w:t>
      </w:r>
    </w:p>
    <w:p>
      <w:pPr>
        <w:spacing w:line="400" w:lineRule="exact"/>
        <w:ind w:firstLine="420" w:firstLineChars="200"/>
      </w:pPr>
      <w:r>
        <w:rPr>
          <w:rFonts w:hint="eastAsia"/>
        </w:rPr>
        <w:t>1.1.5 本招标项目建设地点：见投标人须知前附表。</w:t>
      </w:r>
    </w:p>
    <w:p>
      <w:pPr>
        <w:pStyle w:val="4"/>
      </w:pPr>
      <w:bookmarkStart w:id="58" w:name="_Toc247085691"/>
      <w:bookmarkStart w:id="59" w:name="_Toc152042307"/>
      <w:bookmarkStart w:id="60" w:name="_Toc152045531"/>
      <w:bookmarkStart w:id="61" w:name="_Toc17122"/>
      <w:bookmarkStart w:id="62" w:name="_Toc246996177"/>
      <w:bookmarkStart w:id="63" w:name="_Toc144974499"/>
      <w:bookmarkStart w:id="64" w:name="_Toc179632548"/>
      <w:bookmarkStart w:id="65" w:name="_Toc246996920"/>
      <w:r>
        <w:rPr>
          <w:rFonts w:hint="eastAsia"/>
        </w:rPr>
        <w:t>1.2 资金来源和落实情况</w:t>
      </w:r>
      <w:bookmarkEnd w:id="58"/>
      <w:bookmarkEnd w:id="59"/>
      <w:bookmarkEnd w:id="60"/>
      <w:bookmarkEnd w:id="61"/>
      <w:bookmarkEnd w:id="62"/>
      <w:bookmarkEnd w:id="63"/>
      <w:bookmarkEnd w:id="64"/>
      <w:bookmarkEnd w:id="65"/>
    </w:p>
    <w:p>
      <w:pPr>
        <w:spacing w:line="400" w:lineRule="exact"/>
        <w:ind w:firstLine="420" w:firstLineChars="200"/>
      </w:pPr>
      <w:r>
        <w:rPr>
          <w:rFonts w:hint="eastAsia"/>
        </w:rPr>
        <w:t>1.2.1 本招标项目的资金来源及出资比例：见投标人须知前附表。</w:t>
      </w:r>
    </w:p>
    <w:p>
      <w:pPr>
        <w:spacing w:line="400" w:lineRule="exact"/>
        <w:ind w:firstLine="420" w:firstLineChars="200"/>
      </w:pPr>
      <w:r>
        <w:rPr>
          <w:rFonts w:hint="eastAsia"/>
        </w:rPr>
        <w:t>1.2.2 本招标项目的资金落实情况：见投标人须知前附表。</w:t>
      </w:r>
    </w:p>
    <w:p>
      <w:pPr>
        <w:pStyle w:val="4"/>
      </w:pPr>
      <w:bookmarkStart w:id="66" w:name="_Toc183"/>
      <w:bookmarkStart w:id="67" w:name="_Toc144974500"/>
      <w:bookmarkStart w:id="68" w:name="_Toc246996921"/>
      <w:bookmarkStart w:id="69" w:name="_Toc179632549"/>
      <w:bookmarkStart w:id="70" w:name="_Toc247085692"/>
      <w:bookmarkStart w:id="71" w:name="_Toc152045532"/>
      <w:bookmarkStart w:id="72" w:name="_Toc246996178"/>
      <w:bookmarkStart w:id="73" w:name="_Toc152042308"/>
      <w:r>
        <w:rPr>
          <w:rFonts w:hint="eastAsia"/>
        </w:rPr>
        <w:t>1.3 招标范围、计划工期、质量要求</w:t>
      </w:r>
      <w:bookmarkEnd w:id="66"/>
      <w:bookmarkEnd w:id="67"/>
      <w:bookmarkEnd w:id="68"/>
      <w:bookmarkEnd w:id="69"/>
      <w:bookmarkEnd w:id="70"/>
      <w:bookmarkEnd w:id="71"/>
      <w:bookmarkEnd w:id="72"/>
      <w:bookmarkEnd w:id="73"/>
    </w:p>
    <w:p>
      <w:pPr>
        <w:spacing w:line="400" w:lineRule="exact"/>
        <w:ind w:firstLine="420" w:firstLineChars="200"/>
      </w:pPr>
      <w:r>
        <w:rPr>
          <w:rFonts w:hint="eastAsia"/>
        </w:rPr>
        <w:t>1.3.1 本次招标范围：见投标人须知前附表。</w:t>
      </w:r>
    </w:p>
    <w:p>
      <w:pPr>
        <w:spacing w:line="400" w:lineRule="exact"/>
        <w:ind w:firstLine="420" w:firstLineChars="200"/>
      </w:pPr>
      <w:r>
        <w:rPr>
          <w:rFonts w:hint="eastAsia"/>
        </w:rPr>
        <w:t>1.3.2 本招标项目的计划工期：见投标人须知前附表。</w:t>
      </w:r>
    </w:p>
    <w:p>
      <w:pPr>
        <w:spacing w:line="400" w:lineRule="exact"/>
        <w:ind w:firstLine="420" w:firstLineChars="200"/>
      </w:pPr>
      <w:r>
        <w:rPr>
          <w:rFonts w:hint="eastAsia"/>
        </w:rPr>
        <w:t>1.3.3 本招标项目的质量要求：见投标人须知前附表。</w:t>
      </w:r>
    </w:p>
    <w:p>
      <w:pPr>
        <w:pStyle w:val="4"/>
      </w:pPr>
      <w:bookmarkStart w:id="74" w:name="_Toc152042310"/>
      <w:bookmarkStart w:id="75" w:name="_Toc179632551"/>
      <w:bookmarkStart w:id="76" w:name="_Toc246996179"/>
      <w:bookmarkStart w:id="77" w:name="_Toc152045534"/>
      <w:bookmarkStart w:id="78" w:name="_Toc144974502"/>
      <w:bookmarkStart w:id="79" w:name="_Toc10398"/>
      <w:bookmarkStart w:id="80" w:name="_Toc247085693"/>
      <w:bookmarkStart w:id="81" w:name="_Toc246996922"/>
      <w:r>
        <w:rPr>
          <w:rFonts w:hint="eastAsia"/>
        </w:rPr>
        <w:t>1.4 投标人资格要求</w:t>
      </w:r>
      <w:bookmarkEnd w:id="74"/>
      <w:bookmarkEnd w:id="75"/>
      <w:bookmarkEnd w:id="76"/>
      <w:bookmarkEnd w:id="77"/>
      <w:bookmarkEnd w:id="78"/>
      <w:bookmarkEnd w:id="79"/>
      <w:bookmarkEnd w:id="80"/>
      <w:bookmarkEnd w:id="81"/>
    </w:p>
    <w:p>
      <w:pPr>
        <w:spacing w:line="400" w:lineRule="exact"/>
        <w:ind w:firstLine="359" w:firstLineChars="171"/>
      </w:pPr>
      <w:r>
        <w:rPr>
          <w:rFonts w:hint="eastAsia"/>
        </w:rPr>
        <w:t>1.4.1 投标人应具备承担本项目施工的资质条件、能力和信誉。</w:t>
      </w:r>
    </w:p>
    <w:p>
      <w:pPr>
        <w:spacing w:line="400" w:lineRule="exact"/>
        <w:ind w:firstLine="359" w:firstLineChars="171"/>
      </w:pPr>
      <w:r>
        <w:rPr>
          <w:rFonts w:hint="eastAsia"/>
        </w:rPr>
        <w:t>（1）资质条件：见投标人须知前附表；</w:t>
      </w:r>
    </w:p>
    <w:p>
      <w:pPr>
        <w:spacing w:line="400" w:lineRule="exact"/>
        <w:ind w:firstLine="359" w:firstLineChars="171"/>
        <w:rPr>
          <w:color w:val="000000"/>
        </w:rPr>
      </w:pPr>
      <w:r>
        <w:rPr>
          <w:rFonts w:hint="eastAsia"/>
          <w:color w:val="000000"/>
        </w:rPr>
        <w:t>（2）项目经理资格：见投标人须知前附表；</w:t>
      </w:r>
    </w:p>
    <w:p>
      <w:pPr>
        <w:spacing w:line="400" w:lineRule="exact"/>
        <w:ind w:firstLine="359" w:firstLineChars="171"/>
        <w:rPr>
          <w:color w:val="000000"/>
        </w:rPr>
      </w:pPr>
      <w:r>
        <w:rPr>
          <w:rFonts w:hint="eastAsia"/>
          <w:color w:val="000000"/>
        </w:rPr>
        <w:t>（3）财务要求：见投标人须知前附表；</w:t>
      </w:r>
    </w:p>
    <w:p>
      <w:pPr>
        <w:spacing w:line="400" w:lineRule="exact"/>
        <w:ind w:firstLine="359" w:firstLineChars="171"/>
        <w:rPr>
          <w:color w:val="000000"/>
        </w:rPr>
      </w:pPr>
      <w:r>
        <w:rPr>
          <w:rFonts w:hint="eastAsia"/>
          <w:color w:val="000000"/>
        </w:rPr>
        <w:t>（4）业绩要求：见投标人须知前附表；</w:t>
      </w:r>
    </w:p>
    <w:p>
      <w:pPr>
        <w:spacing w:line="400" w:lineRule="exact"/>
        <w:ind w:firstLine="359" w:firstLineChars="171"/>
        <w:rPr>
          <w:color w:val="000000"/>
        </w:rPr>
      </w:pPr>
      <w:r>
        <w:rPr>
          <w:rFonts w:hint="eastAsia"/>
        </w:rPr>
        <w:t>（5）其他要求：见投标人须知前附表。</w:t>
      </w:r>
    </w:p>
    <w:p>
      <w:pPr>
        <w:spacing w:line="400" w:lineRule="exact"/>
      </w:pPr>
      <w:r>
        <w:rPr>
          <w:rFonts w:hint="eastAsia"/>
        </w:rPr>
        <w:t xml:space="preserve">   1.4.2 投标人不得存在下列情形之一：</w:t>
      </w:r>
    </w:p>
    <w:p>
      <w:pPr>
        <w:spacing w:line="400" w:lineRule="exact"/>
        <w:ind w:firstLine="359" w:firstLineChars="171"/>
      </w:pPr>
      <w:r>
        <w:rPr>
          <w:rFonts w:hint="eastAsia"/>
        </w:rPr>
        <w:t>（1）为招标人不具有独立法人资格的附属机构（单位）；</w:t>
      </w:r>
    </w:p>
    <w:p>
      <w:pPr>
        <w:spacing w:line="400" w:lineRule="exact"/>
        <w:ind w:firstLine="359" w:firstLineChars="171"/>
      </w:pPr>
      <w:r>
        <w:rPr>
          <w:rFonts w:hint="eastAsia"/>
        </w:rPr>
        <w:t xml:space="preserve">（2）为本招标项目前期准备提供设计或咨询服务的； </w:t>
      </w:r>
    </w:p>
    <w:p>
      <w:pPr>
        <w:spacing w:line="400" w:lineRule="exact"/>
        <w:ind w:firstLine="359" w:firstLineChars="171"/>
      </w:pPr>
      <w:r>
        <w:rPr>
          <w:rFonts w:hint="eastAsia"/>
        </w:rPr>
        <w:t>（3）为本招标项目的监理人；</w:t>
      </w:r>
    </w:p>
    <w:p>
      <w:pPr>
        <w:spacing w:line="400" w:lineRule="exact"/>
        <w:ind w:firstLine="359" w:firstLineChars="171"/>
      </w:pPr>
      <w:r>
        <w:rPr>
          <w:rFonts w:hint="eastAsia"/>
        </w:rPr>
        <w:t xml:space="preserve">（4）为本招标项目的代建人； </w:t>
      </w:r>
    </w:p>
    <w:p>
      <w:pPr>
        <w:spacing w:line="400" w:lineRule="exact"/>
        <w:ind w:firstLine="359" w:firstLineChars="171"/>
      </w:pPr>
      <w:r>
        <w:rPr>
          <w:rFonts w:hint="eastAsia"/>
        </w:rPr>
        <w:t xml:space="preserve">（5）为本招标项目提供招标代理服务的； </w:t>
      </w:r>
    </w:p>
    <w:p>
      <w:pPr>
        <w:spacing w:line="400" w:lineRule="exact"/>
        <w:ind w:firstLine="359" w:firstLineChars="171"/>
      </w:pPr>
      <w:r>
        <w:rPr>
          <w:rFonts w:hint="eastAsia"/>
        </w:rPr>
        <w:t>（6）与本招标项目的监理人或代建人或招标代理机构同为一个法定代表人的；</w:t>
      </w:r>
    </w:p>
    <w:p>
      <w:pPr>
        <w:spacing w:line="400" w:lineRule="exact"/>
        <w:ind w:firstLine="359" w:firstLineChars="171"/>
      </w:pPr>
      <w:r>
        <w:rPr>
          <w:rFonts w:hint="eastAsia"/>
        </w:rPr>
        <w:t>（7）与本招标项目的监理人或代建人或招标代理机构相互控股或参股的；</w:t>
      </w:r>
    </w:p>
    <w:p>
      <w:pPr>
        <w:spacing w:line="400" w:lineRule="exact"/>
        <w:ind w:firstLine="359" w:firstLineChars="171"/>
      </w:pPr>
      <w:r>
        <w:rPr>
          <w:rFonts w:hint="eastAsia"/>
        </w:rPr>
        <w:t>（8）与本招标项目的监理人或代建人或招标代理机构相互任职或工作的；</w:t>
      </w:r>
    </w:p>
    <w:p>
      <w:pPr>
        <w:spacing w:line="400" w:lineRule="exact"/>
        <w:ind w:firstLine="359" w:firstLineChars="171"/>
      </w:pPr>
      <w:r>
        <w:rPr>
          <w:rFonts w:hint="eastAsia"/>
        </w:rPr>
        <w:t xml:space="preserve">（9）被责令停业的； </w:t>
      </w:r>
    </w:p>
    <w:p>
      <w:pPr>
        <w:spacing w:line="400" w:lineRule="exact"/>
        <w:ind w:firstLine="359" w:firstLineChars="171"/>
      </w:pPr>
      <w:r>
        <w:rPr>
          <w:rFonts w:hint="eastAsia"/>
        </w:rPr>
        <w:t xml:space="preserve">（10）被暂停或取消投标资格的； </w:t>
      </w:r>
    </w:p>
    <w:p>
      <w:pPr>
        <w:spacing w:line="400" w:lineRule="exact"/>
        <w:ind w:firstLine="359" w:firstLineChars="171"/>
      </w:pPr>
      <w:r>
        <w:rPr>
          <w:rFonts w:hint="eastAsia"/>
        </w:rPr>
        <w:t>（11）财产被接管或冻结的；</w:t>
      </w:r>
    </w:p>
    <w:p>
      <w:pPr>
        <w:spacing w:line="400" w:lineRule="exact"/>
        <w:ind w:firstLine="359" w:firstLineChars="171"/>
      </w:pPr>
      <w:r>
        <w:rPr>
          <w:rFonts w:hint="eastAsia"/>
        </w:rPr>
        <w:t>（12）在最近三年内有骗取中标或严重违约或重大工程质量问题的。</w:t>
      </w:r>
    </w:p>
    <w:p>
      <w:pPr>
        <w:spacing w:line="400" w:lineRule="exact"/>
        <w:ind w:firstLine="420" w:firstLineChars="200"/>
      </w:pPr>
      <w:r>
        <w:rPr>
          <w:rFonts w:hint="eastAsia"/>
        </w:rPr>
        <w:t>1.4.3 单位负责人为同一人或者存在控股、管理关系的不同单位，不得同时参加本招标项目投标。</w:t>
      </w:r>
    </w:p>
    <w:p>
      <w:pPr>
        <w:pStyle w:val="4"/>
      </w:pPr>
      <w:bookmarkStart w:id="82" w:name="_Toc247085694"/>
      <w:bookmarkStart w:id="83" w:name="_Toc144974503"/>
      <w:bookmarkStart w:id="84" w:name="_Toc246996180"/>
      <w:bookmarkStart w:id="85" w:name="_Toc246996923"/>
      <w:bookmarkStart w:id="86" w:name="_Toc152045535"/>
      <w:bookmarkStart w:id="87" w:name="_Toc6053"/>
      <w:bookmarkStart w:id="88" w:name="_Toc179632552"/>
      <w:bookmarkStart w:id="89" w:name="_Toc152042311"/>
      <w:r>
        <w:rPr>
          <w:rFonts w:hint="eastAsia"/>
        </w:rPr>
        <w:t>1.5 费用承担</w:t>
      </w:r>
      <w:bookmarkEnd w:id="82"/>
      <w:bookmarkEnd w:id="83"/>
      <w:bookmarkEnd w:id="84"/>
      <w:bookmarkEnd w:id="85"/>
      <w:bookmarkEnd w:id="86"/>
      <w:bookmarkEnd w:id="87"/>
      <w:bookmarkEnd w:id="88"/>
      <w:bookmarkEnd w:id="89"/>
    </w:p>
    <w:p>
      <w:pPr>
        <w:spacing w:line="400" w:lineRule="exact"/>
        <w:ind w:firstLine="420" w:firstLineChars="200"/>
      </w:pPr>
      <w:r>
        <w:rPr>
          <w:rFonts w:hint="eastAsia"/>
        </w:rPr>
        <w:t>投标人准备和参加投标活动发生的费用自理。</w:t>
      </w:r>
    </w:p>
    <w:p>
      <w:pPr>
        <w:pStyle w:val="4"/>
      </w:pPr>
      <w:bookmarkStart w:id="90" w:name="_Toc179632553"/>
      <w:bookmarkStart w:id="91" w:name="_Toc246996181"/>
      <w:bookmarkStart w:id="92" w:name="_Toc152045536"/>
      <w:bookmarkStart w:id="93" w:name="_Toc246996924"/>
      <w:bookmarkStart w:id="94" w:name="_Toc144974504"/>
      <w:bookmarkStart w:id="95" w:name="_Toc13702"/>
      <w:bookmarkStart w:id="96" w:name="_Toc152042312"/>
      <w:bookmarkStart w:id="97" w:name="_Toc247085695"/>
      <w:r>
        <w:rPr>
          <w:rFonts w:hint="eastAsia"/>
        </w:rPr>
        <w:t>1.6 保密</w:t>
      </w:r>
      <w:bookmarkEnd w:id="90"/>
      <w:bookmarkEnd w:id="91"/>
      <w:bookmarkEnd w:id="92"/>
      <w:bookmarkEnd w:id="93"/>
      <w:bookmarkEnd w:id="94"/>
      <w:bookmarkEnd w:id="95"/>
      <w:bookmarkEnd w:id="96"/>
      <w:bookmarkEnd w:id="97"/>
    </w:p>
    <w:p>
      <w:pPr>
        <w:spacing w:line="400" w:lineRule="exact"/>
        <w:ind w:firstLine="420" w:firstLineChars="200"/>
      </w:pPr>
      <w:r>
        <w:rPr>
          <w:rFonts w:hint="eastAsia"/>
        </w:rPr>
        <w:t xml:space="preserve">参与招标投标活动的各方应对招标文件和投标文件中的商业和技术等秘密保密，违者应对由此造成的后果承担法律责任。 </w:t>
      </w:r>
    </w:p>
    <w:p>
      <w:pPr>
        <w:pStyle w:val="4"/>
      </w:pPr>
      <w:bookmarkStart w:id="98" w:name="_Toc144974505"/>
      <w:bookmarkStart w:id="99" w:name="_Toc247085696"/>
      <w:bookmarkStart w:id="100" w:name="_Toc32115"/>
      <w:bookmarkStart w:id="101" w:name="_Toc246996925"/>
      <w:bookmarkStart w:id="102" w:name="_Toc179632554"/>
      <w:bookmarkStart w:id="103" w:name="_Toc246996182"/>
      <w:bookmarkStart w:id="104" w:name="_Toc152042313"/>
      <w:bookmarkStart w:id="105" w:name="_Toc152045537"/>
      <w:r>
        <w:rPr>
          <w:rFonts w:hint="eastAsia"/>
        </w:rPr>
        <w:t>1.7 语言</w:t>
      </w:r>
      <w:bookmarkEnd w:id="98"/>
      <w:r>
        <w:rPr>
          <w:rFonts w:hint="eastAsia"/>
        </w:rPr>
        <w:t>文字</w:t>
      </w:r>
      <w:bookmarkEnd w:id="99"/>
      <w:bookmarkEnd w:id="100"/>
      <w:bookmarkEnd w:id="101"/>
      <w:bookmarkEnd w:id="102"/>
      <w:bookmarkEnd w:id="103"/>
      <w:bookmarkEnd w:id="104"/>
      <w:bookmarkEnd w:id="105"/>
    </w:p>
    <w:p>
      <w:pPr>
        <w:spacing w:line="400" w:lineRule="exact"/>
        <w:ind w:firstLine="420" w:firstLineChars="200"/>
      </w:pPr>
      <w:bookmarkStart w:id="106" w:name="_Toc179632555"/>
      <w:bookmarkStart w:id="107" w:name="_Toc246996183"/>
      <w:bookmarkStart w:id="108" w:name="_Toc246996926"/>
      <w:bookmarkStart w:id="109" w:name="_Toc247085697"/>
      <w:bookmarkStart w:id="110" w:name="_Toc152045538"/>
      <w:bookmarkStart w:id="111" w:name="_Toc152042314"/>
      <w:bookmarkStart w:id="112" w:name="_Toc144974506"/>
      <w:r>
        <w:rPr>
          <w:rFonts w:hint="eastAsia"/>
        </w:rPr>
        <w:t>招标投标文件使用的语言文字为中文。专用术语使用外文的，应附有中文注释。</w:t>
      </w:r>
    </w:p>
    <w:p>
      <w:pPr>
        <w:pStyle w:val="4"/>
      </w:pPr>
      <w:bookmarkStart w:id="113" w:name="_Toc22960"/>
      <w:r>
        <w:rPr>
          <w:rFonts w:hint="eastAsia"/>
        </w:rPr>
        <w:t>1.8 计量单位</w:t>
      </w:r>
      <w:bookmarkEnd w:id="106"/>
      <w:bookmarkEnd w:id="107"/>
      <w:bookmarkEnd w:id="108"/>
      <w:bookmarkEnd w:id="109"/>
      <w:bookmarkEnd w:id="110"/>
      <w:bookmarkEnd w:id="111"/>
      <w:bookmarkEnd w:id="112"/>
      <w:bookmarkEnd w:id="113"/>
    </w:p>
    <w:p>
      <w:pPr>
        <w:spacing w:line="400" w:lineRule="exact"/>
        <w:ind w:firstLine="420" w:firstLineChars="200"/>
      </w:pPr>
      <w:r>
        <w:rPr>
          <w:rFonts w:hint="eastAsia"/>
        </w:rPr>
        <w:t>所有计量均采用中华人民共和国法定计量单位。</w:t>
      </w:r>
    </w:p>
    <w:p>
      <w:pPr>
        <w:pStyle w:val="4"/>
      </w:pPr>
      <w:bookmarkStart w:id="114" w:name="_Toc144974507"/>
      <w:bookmarkStart w:id="115" w:name="_Toc152042315"/>
      <w:bookmarkStart w:id="116" w:name="_Toc152045539"/>
      <w:bookmarkStart w:id="117" w:name="_Toc247513962"/>
      <w:bookmarkStart w:id="118" w:name="_Toc247527563"/>
      <w:bookmarkStart w:id="119" w:name="_Toc247592876"/>
      <w:bookmarkStart w:id="120" w:name="_Toc7900"/>
      <w:r>
        <w:rPr>
          <w:rFonts w:hint="eastAsia"/>
        </w:rPr>
        <w:t>1.9 踏勘现场</w:t>
      </w:r>
      <w:bookmarkEnd w:id="114"/>
      <w:bookmarkEnd w:id="115"/>
      <w:bookmarkEnd w:id="116"/>
      <w:bookmarkEnd w:id="117"/>
      <w:bookmarkEnd w:id="118"/>
      <w:bookmarkEnd w:id="119"/>
      <w:bookmarkEnd w:id="120"/>
    </w:p>
    <w:p>
      <w:pPr>
        <w:spacing w:line="400" w:lineRule="exact"/>
        <w:ind w:firstLine="420" w:firstLineChars="200"/>
      </w:pPr>
      <w:r>
        <w:rPr>
          <w:rFonts w:hint="eastAsia"/>
        </w:rPr>
        <w:t xml:space="preserve">1.9.1 投标人须知前附表规定组织踏勘现场的，招标人按投标人须知前附表规定的时间、地点组织投标人踏勘项目现场。 </w:t>
      </w:r>
    </w:p>
    <w:p>
      <w:pPr>
        <w:spacing w:line="400" w:lineRule="exact"/>
        <w:ind w:firstLine="420" w:firstLineChars="200"/>
      </w:pPr>
      <w:r>
        <w:rPr>
          <w:rFonts w:hint="eastAsia"/>
        </w:rPr>
        <w:t>1.9.2 投标人踏勘现场发生的费用自理。</w:t>
      </w:r>
    </w:p>
    <w:p>
      <w:pPr>
        <w:spacing w:line="400" w:lineRule="exact"/>
        <w:ind w:firstLine="420" w:firstLineChars="200"/>
      </w:pPr>
      <w:r>
        <w:rPr>
          <w:rFonts w:hint="eastAsia"/>
        </w:rPr>
        <w:t>1.9.3 除招标人的原因外，投标人自行负责在踏勘现场中所发生的人员伤亡和财产损失。</w:t>
      </w:r>
    </w:p>
    <w:p>
      <w:pPr>
        <w:spacing w:line="400" w:lineRule="exact"/>
        <w:ind w:firstLine="420" w:firstLineChars="200"/>
      </w:pPr>
      <w:r>
        <w:rPr>
          <w:rFonts w:hint="eastAsia"/>
        </w:rPr>
        <w:t>1.9.4 招标人在踏勘现场中介绍的工程场地和相关的周边环境情况，供投标人在编制投标文件时参考，招标人不对投标人据此作出的判断和决策负责。</w:t>
      </w:r>
    </w:p>
    <w:p>
      <w:pPr>
        <w:pStyle w:val="4"/>
      </w:pPr>
      <w:bookmarkStart w:id="121" w:name="_Toc144974508"/>
      <w:bookmarkStart w:id="122" w:name="_Toc152042316"/>
      <w:bookmarkStart w:id="123" w:name="_Toc152045540"/>
      <w:bookmarkStart w:id="124" w:name="_Toc247513963"/>
      <w:bookmarkStart w:id="125" w:name="_Toc247527564"/>
      <w:bookmarkStart w:id="126" w:name="_Toc247592877"/>
      <w:bookmarkStart w:id="127" w:name="_Toc8162"/>
      <w:r>
        <w:rPr>
          <w:rFonts w:hint="eastAsia"/>
        </w:rPr>
        <w:t>1.10 投标预备会</w:t>
      </w:r>
      <w:bookmarkEnd w:id="121"/>
      <w:bookmarkEnd w:id="122"/>
      <w:bookmarkEnd w:id="123"/>
      <w:bookmarkEnd w:id="124"/>
      <w:bookmarkEnd w:id="125"/>
      <w:bookmarkEnd w:id="126"/>
      <w:bookmarkEnd w:id="127"/>
    </w:p>
    <w:p>
      <w:pPr>
        <w:spacing w:line="400" w:lineRule="exact"/>
        <w:ind w:firstLine="420" w:firstLineChars="200"/>
      </w:pPr>
      <w:r>
        <w:rPr>
          <w:rFonts w:hint="eastAsia"/>
        </w:rPr>
        <w:t>1.10.1 投标人须知前附表规定召开投标预备会的，招标人按投标人须知前附表规定的时间和地点召开投标预备会，澄清投标人提出的问题。</w:t>
      </w:r>
    </w:p>
    <w:p>
      <w:pPr>
        <w:spacing w:line="400" w:lineRule="exact"/>
        <w:ind w:firstLine="420" w:firstLineChars="200"/>
      </w:pPr>
      <w:r>
        <w:rPr>
          <w:rFonts w:hint="eastAsia"/>
        </w:rPr>
        <w:t>1.10.2 投标人应在投标人须知前附表规定的时间前，以书面形式将提出的问题送达招标人，以便招标人在会议期间澄清。</w:t>
      </w:r>
    </w:p>
    <w:p>
      <w:pPr>
        <w:spacing w:line="400" w:lineRule="exact"/>
        <w:ind w:firstLine="420" w:firstLineChars="200"/>
      </w:pPr>
      <w:r>
        <w:rPr>
          <w:rFonts w:hint="eastAsia"/>
        </w:rPr>
        <w:t>1.10.3 投标预备会后，招标人在投标人须知前附表规定的时间内，将对投标人所提问题的澄清，以书面形式通知所有购买招标文件的投标人。该澄清内容为招标文件的组成部分。</w:t>
      </w:r>
    </w:p>
    <w:p>
      <w:pPr>
        <w:pStyle w:val="4"/>
      </w:pPr>
      <w:bookmarkStart w:id="128" w:name="_Toc20639"/>
      <w:r>
        <w:rPr>
          <w:rFonts w:hint="eastAsia"/>
        </w:rPr>
        <w:t>1.11 偏离</w:t>
      </w:r>
      <w:bookmarkEnd w:id="128"/>
    </w:p>
    <w:p>
      <w:pPr>
        <w:spacing w:line="400" w:lineRule="exact"/>
        <w:ind w:firstLine="420" w:firstLineChars="200"/>
      </w:pPr>
      <w:r>
        <w:rPr>
          <w:rFonts w:hint="eastAsia"/>
        </w:rPr>
        <w:t>投标人须知前附表允许投标文件偏离招标文件某些要求的，偏离应当符合招标文件规定的偏离范围和幅度。</w:t>
      </w:r>
    </w:p>
    <w:p>
      <w:pPr>
        <w:pStyle w:val="3"/>
      </w:pPr>
      <w:bookmarkStart w:id="129" w:name="_Toc179632560"/>
      <w:bookmarkStart w:id="130" w:name="_Toc144974510"/>
      <w:bookmarkStart w:id="131" w:name="_Toc152042318"/>
      <w:bookmarkStart w:id="132" w:name="_Toc152045542"/>
      <w:bookmarkStart w:id="133" w:name="_Toc246996930"/>
      <w:bookmarkStart w:id="134" w:name="_Toc247085701"/>
      <w:bookmarkStart w:id="135" w:name="_Toc29352"/>
      <w:bookmarkStart w:id="136" w:name="_Toc246996187"/>
      <w:r>
        <w:rPr>
          <w:rFonts w:hint="eastAsia"/>
        </w:rPr>
        <w:t>2. 招标文件</w:t>
      </w:r>
      <w:bookmarkEnd w:id="129"/>
      <w:bookmarkEnd w:id="130"/>
      <w:bookmarkEnd w:id="131"/>
      <w:bookmarkEnd w:id="132"/>
      <w:bookmarkEnd w:id="133"/>
      <w:bookmarkEnd w:id="134"/>
      <w:bookmarkEnd w:id="135"/>
      <w:bookmarkEnd w:id="136"/>
    </w:p>
    <w:p>
      <w:pPr>
        <w:pStyle w:val="4"/>
      </w:pPr>
      <w:bookmarkStart w:id="137" w:name="_Toc16574"/>
      <w:bookmarkStart w:id="138" w:name="_Toc247085702"/>
      <w:bookmarkStart w:id="139" w:name="_Toc246996931"/>
      <w:bookmarkStart w:id="140" w:name="_Toc246996188"/>
      <w:bookmarkStart w:id="141" w:name="_Toc152042319"/>
      <w:bookmarkStart w:id="142" w:name="_Toc179632561"/>
      <w:bookmarkStart w:id="143" w:name="_Toc152045543"/>
      <w:bookmarkStart w:id="144" w:name="_Toc144974511"/>
      <w:r>
        <w:rPr>
          <w:rFonts w:hint="eastAsia"/>
        </w:rPr>
        <w:t>2.1 招标文件的组成</w:t>
      </w:r>
      <w:bookmarkEnd w:id="137"/>
      <w:bookmarkEnd w:id="138"/>
      <w:bookmarkEnd w:id="139"/>
      <w:bookmarkEnd w:id="140"/>
      <w:bookmarkEnd w:id="141"/>
      <w:bookmarkEnd w:id="142"/>
      <w:bookmarkEnd w:id="143"/>
      <w:bookmarkEnd w:id="144"/>
    </w:p>
    <w:p>
      <w:pPr>
        <w:spacing w:line="400" w:lineRule="exact"/>
      </w:pPr>
      <w:r>
        <w:rPr>
          <w:rFonts w:hint="eastAsia"/>
        </w:rPr>
        <w:t>　　2.1.1 本招标文件包括：</w:t>
      </w:r>
    </w:p>
    <w:p>
      <w:pPr>
        <w:spacing w:line="400" w:lineRule="exact"/>
        <w:ind w:firstLine="359" w:firstLineChars="171"/>
      </w:pPr>
      <w:r>
        <w:rPr>
          <w:rFonts w:hint="eastAsia"/>
        </w:rPr>
        <w:t>（1）招标公告；</w:t>
      </w:r>
    </w:p>
    <w:p>
      <w:pPr>
        <w:spacing w:line="400" w:lineRule="exact"/>
        <w:ind w:firstLine="359" w:firstLineChars="171"/>
      </w:pPr>
      <w:r>
        <w:rPr>
          <w:rFonts w:hint="eastAsia"/>
        </w:rPr>
        <w:t>（2）投标人须知；</w:t>
      </w:r>
    </w:p>
    <w:p>
      <w:pPr>
        <w:spacing w:line="400" w:lineRule="exact"/>
        <w:ind w:firstLine="359" w:firstLineChars="171"/>
      </w:pPr>
      <w:r>
        <w:rPr>
          <w:rFonts w:hint="eastAsia"/>
        </w:rPr>
        <w:t>（3）评标办法；</w:t>
      </w:r>
    </w:p>
    <w:p>
      <w:pPr>
        <w:spacing w:line="400" w:lineRule="exact"/>
        <w:ind w:firstLine="359" w:firstLineChars="171"/>
      </w:pPr>
      <w:r>
        <w:rPr>
          <w:rFonts w:hint="eastAsia"/>
        </w:rPr>
        <w:t>（4）合同条款及格式；</w:t>
      </w:r>
    </w:p>
    <w:p>
      <w:pPr>
        <w:spacing w:line="400" w:lineRule="exact"/>
        <w:ind w:firstLine="359" w:firstLineChars="171"/>
      </w:pPr>
      <w:r>
        <w:rPr>
          <w:rFonts w:hint="eastAsia"/>
        </w:rPr>
        <w:t>（5）工程量清单；</w:t>
      </w:r>
    </w:p>
    <w:p>
      <w:pPr>
        <w:spacing w:line="400" w:lineRule="exact"/>
        <w:ind w:firstLine="359" w:firstLineChars="171"/>
      </w:pPr>
      <w:r>
        <w:rPr>
          <w:rFonts w:hint="eastAsia"/>
        </w:rPr>
        <w:t>（6）技术标准和要求；</w:t>
      </w:r>
    </w:p>
    <w:p>
      <w:pPr>
        <w:spacing w:line="400" w:lineRule="exact"/>
        <w:ind w:firstLine="359" w:firstLineChars="171"/>
      </w:pPr>
      <w:r>
        <w:rPr>
          <w:rFonts w:hint="eastAsia"/>
        </w:rPr>
        <w:t>（7）图纸；</w:t>
      </w:r>
    </w:p>
    <w:p>
      <w:pPr>
        <w:spacing w:line="400" w:lineRule="exact"/>
        <w:ind w:firstLine="359" w:firstLineChars="171"/>
      </w:pPr>
      <w:r>
        <w:rPr>
          <w:rFonts w:hint="eastAsia"/>
        </w:rPr>
        <w:t>（8）投标文件格式；</w:t>
      </w:r>
    </w:p>
    <w:p>
      <w:pPr>
        <w:spacing w:line="400" w:lineRule="exact"/>
        <w:ind w:firstLine="359" w:firstLineChars="171"/>
      </w:pPr>
      <w:r>
        <w:rPr>
          <w:rFonts w:hint="eastAsia"/>
        </w:rPr>
        <w:t>（9）投标人须知前附表规定的其他材料。</w:t>
      </w:r>
    </w:p>
    <w:p>
      <w:pPr>
        <w:spacing w:line="400" w:lineRule="exact"/>
        <w:ind w:firstLine="420" w:firstLineChars="200"/>
      </w:pPr>
      <w:r>
        <w:rPr>
          <w:rFonts w:hint="eastAsia"/>
        </w:rPr>
        <w:t>2.1.2 根据本章第1.10款、第2.2款和第2.3款对招标文件所作的澄清、修改，构成招标文件的组成部分。</w:t>
      </w:r>
    </w:p>
    <w:p>
      <w:pPr>
        <w:pStyle w:val="4"/>
      </w:pPr>
      <w:bookmarkStart w:id="145" w:name="_Toc247085703"/>
      <w:bookmarkStart w:id="146" w:name="_Toc1817"/>
      <w:bookmarkStart w:id="147" w:name="_Toc246996932"/>
      <w:bookmarkStart w:id="148" w:name="_Toc246996189"/>
      <w:bookmarkStart w:id="149" w:name="_Toc179632562"/>
      <w:bookmarkStart w:id="150" w:name="_Toc152045544"/>
      <w:bookmarkStart w:id="151" w:name="_Toc144974512"/>
      <w:bookmarkStart w:id="152" w:name="_Toc152042320"/>
      <w:r>
        <w:rPr>
          <w:rFonts w:hint="eastAsia"/>
        </w:rPr>
        <w:t>2.2 招标文件的澄清</w:t>
      </w:r>
      <w:bookmarkEnd w:id="145"/>
      <w:bookmarkEnd w:id="146"/>
      <w:bookmarkEnd w:id="147"/>
      <w:bookmarkEnd w:id="148"/>
      <w:bookmarkEnd w:id="149"/>
      <w:bookmarkEnd w:id="150"/>
      <w:bookmarkEnd w:id="151"/>
      <w:bookmarkEnd w:id="152"/>
    </w:p>
    <w:p>
      <w:pPr>
        <w:spacing w:line="400" w:lineRule="exact"/>
        <w:ind w:firstLine="420" w:firstLineChars="200"/>
      </w:pPr>
      <w:r>
        <w:rPr>
          <w:rFonts w:hint="eastAsia"/>
        </w:rPr>
        <w:t>2.2.1 投标人应仔细阅读和检查招标文件的全部内容。</w:t>
      </w:r>
      <w:r>
        <w:rPr>
          <w:rFonts w:hint="eastAsia" w:ascii="宋体" w:hAnsi="宋体"/>
          <w:szCs w:val="21"/>
        </w:rPr>
        <w:t>如发现缺页或附件不全，应及时向招标人提出，以便补齐。</w:t>
      </w:r>
      <w:r>
        <w:rPr>
          <w:rFonts w:hint="eastAsia"/>
        </w:rPr>
        <w:t>如有疑问，应在投标人须知前附表规定的时间前以书面形式（包括信函、电报、传真等可以有形地表现所载内容的形式，下同），要求招标人对招标文件予以澄清。</w:t>
      </w:r>
    </w:p>
    <w:p>
      <w:pPr>
        <w:spacing w:line="400" w:lineRule="exact"/>
        <w:ind w:firstLine="420" w:firstLineChars="200"/>
        <w:rPr>
          <w:rFonts w:ascii="仿宋_GB2312" w:hAnsi="仿宋_GB2312" w:eastAsia="仿宋_GB2312"/>
          <w:sz w:val="32"/>
          <w:szCs w:val="32"/>
        </w:rPr>
      </w:pPr>
      <w:r>
        <w:rPr>
          <w:rFonts w:hint="eastAsia"/>
        </w:rPr>
        <w:t>2.2.2 招标文件的澄清将以书面形式发给所有购买招标文件的投标人，但不指明澄清问题的来源。如果澄清发出的时间距投标人须知前附表规定的投标截止时间不足15天，并且澄清内容影响投标文件编制的，将相应延长投标截止时间。</w:t>
      </w:r>
    </w:p>
    <w:p>
      <w:pPr>
        <w:spacing w:line="400" w:lineRule="exact"/>
        <w:ind w:firstLine="420" w:firstLineChars="200"/>
      </w:pPr>
      <w:r>
        <w:rPr>
          <w:rFonts w:hint="eastAsia"/>
        </w:rPr>
        <w:t>2.2.3 投标人在收到澄清后，应在投标人须知前附表规定的时间内以书面形式通知招标人，确认已收到该澄清。</w:t>
      </w:r>
    </w:p>
    <w:p>
      <w:pPr>
        <w:pStyle w:val="4"/>
      </w:pPr>
      <w:bookmarkStart w:id="153" w:name="_Toc144974513"/>
      <w:bookmarkStart w:id="154" w:name="_Toc152042321"/>
      <w:bookmarkStart w:id="155" w:name="_Toc152045545"/>
      <w:bookmarkStart w:id="156" w:name="_Toc179632563"/>
      <w:bookmarkStart w:id="157" w:name="_Toc246996190"/>
      <w:bookmarkStart w:id="158" w:name="_Toc246996933"/>
      <w:bookmarkStart w:id="159" w:name="_Toc247085704"/>
      <w:bookmarkStart w:id="160" w:name="_Toc31397"/>
      <w:r>
        <w:rPr>
          <w:rFonts w:hint="eastAsia"/>
        </w:rPr>
        <w:t>2.3 招标文件的修改</w:t>
      </w:r>
      <w:bookmarkEnd w:id="153"/>
      <w:bookmarkEnd w:id="154"/>
      <w:bookmarkEnd w:id="155"/>
      <w:bookmarkEnd w:id="156"/>
      <w:bookmarkEnd w:id="157"/>
      <w:bookmarkEnd w:id="158"/>
      <w:bookmarkEnd w:id="159"/>
      <w:bookmarkEnd w:id="160"/>
    </w:p>
    <w:p>
      <w:pPr>
        <w:spacing w:line="400" w:lineRule="exact"/>
        <w:ind w:firstLine="420" w:firstLineChars="200"/>
      </w:pPr>
      <w:r>
        <w:rPr>
          <w:rFonts w:hint="eastAsia"/>
        </w:rPr>
        <w:t>2.3.1招标人可以书面形式修改招标文件，并通知所有已购买招标文件的投标人。但如果修改招标文件的时间距投标截止时间不足15天，并且修改内容影响投标文件编制的，将相应延长投标截止时间。</w:t>
      </w:r>
    </w:p>
    <w:p>
      <w:pPr>
        <w:spacing w:line="400" w:lineRule="exact"/>
        <w:ind w:firstLine="420" w:firstLineChars="200"/>
      </w:pPr>
      <w:r>
        <w:rPr>
          <w:rFonts w:hint="eastAsia"/>
        </w:rPr>
        <w:t>2.3.2 投标人收到修改内容后，应在投标人须知前附表规定的时间内以书面形式通知招标人，确认已收到该修改。</w:t>
      </w:r>
    </w:p>
    <w:p>
      <w:pPr>
        <w:pStyle w:val="3"/>
      </w:pPr>
      <w:bookmarkStart w:id="161" w:name="_Toc728"/>
      <w:bookmarkStart w:id="162" w:name="_Toc247085705"/>
      <w:bookmarkStart w:id="163" w:name="_Toc246996934"/>
      <w:bookmarkStart w:id="164" w:name="_Toc246996191"/>
      <w:bookmarkStart w:id="165" w:name="_Toc179632564"/>
      <w:bookmarkStart w:id="166" w:name="_Toc152045546"/>
      <w:bookmarkStart w:id="167" w:name="_Toc152042322"/>
      <w:bookmarkStart w:id="168" w:name="_Toc144974514"/>
      <w:r>
        <w:rPr>
          <w:rFonts w:hint="eastAsia"/>
        </w:rPr>
        <w:t>3. 投标文件</w:t>
      </w:r>
      <w:bookmarkEnd w:id="161"/>
      <w:bookmarkEnd w:id="162"/>
      <w:bookmarkEnd w:id="163"/>
      <w:bookmarkEnd w:id="164"/>
      <w:bookmarkEnd w:id="165"/>
      <w:bookmarkEnd w:id="166"/>
      <w:bookmarkEnd w:id="167"/>
      <w:bookmarkEnd w:id="168"/>
    </w:p>
    <w:p>
      <w:pPr>
        <w:pStyle w:val="4"/>
      </w:pPr>
      <w:bookmarkStart w:id="169" w:name="_Toc246996192"/>
      <w:bookmarkStart w:id="170" w:name="_Toc152045547"/>
      <w:bookmarkStart w:id="171" w:name="_Toc152042323"/>
      <w:bookmarkStart w:id="172" w:name="_Toc144974515"/>
      <w:bookmarkStart w:id="173" w:name="_Toc179632565"/>
      <w:bookmarkStart w:id="174" w:name="_Toc247085706"/>
      <w:bookmarkStart w:id="175" w:name="_Toc23981"/>
      <w:bookmarkStart w:id="176" w:name="_Toc246996935"/>
      <w:r>
        <w:rPr>
          <w:rFonts w:hint="eastAsia"/>
        </w:rPr>
        <w:t>3.1 投标文件的组成</w:t>
      </w:r>
      <w:bookmarkEnd w:id="169"/>
      <w:bookmarkEnd w:id="170"/>
      <w:bookmarkEnd w:id="171"/>
      <w:bookmarkEnd w:id="172"/>
      <w:bookmarkEnd w:id="173"/>
      <w:bookmarkEnd w:id="174"/>
      <w:bookmarkEnd w:id="175"/>
      <w:bookmarkEnd w:id="176"/>
    </w:p>
    <w:p>
      <w:pPr>
        <w:spacing w:line="400" w:lineRule="exact"/>
        <w:ind w:firstLine="420" w:firstLineChars="200"/>
      </w:pPr>
      <w:r>
        <w:rPr>
          <w:rFonts w:hint="eastAsia"/>
        </w:rPr>
        <w:t>投标文件应包括下列内容：</w:t>
      </w:r>
    </w:p>
    <w:p>
      <w:pPr>
        <w:spacing w:line="400" w:lineRule="exact"/>
        <w:ind w:firstLine="359" w:firstLineChars="171"/>
      </w:pPr>
      <w:r>
        <w:rPr>
          <w:rFonts w:hint="eastAsia"/>
        </w:rPr>
        <w:t>（1）投标函及投标函附录；</w:t>
      </w:r>
    </w:p>
    <w:p>
      <w:pPr>
        <w:spacing w:line="400" w:lineRule="exact"/>
        <w:ind w:firstLine="359" w:firstLineChars="171"/>
      </w:pPr>
      <w:r>
        <w:rPr>
          <w:rFonts w:hint="eastAsia"/>
        </w:rPr>
        <w:t>（2）法定代表人身份证明或附有法定代表人身份证明的授权委托书；</w:t>
      </w:r>
    </w:p>
    <w:p>
      <w:pPr>
        <w:spacing w:line="400" w:lineRule="exact"/>
        <w:ind w:firstLine="359" w:firstLineChars="171"/>
      </w:pPr>
      <w:r>
        <w:rPr>
          <w:rFonts w:hint="eastAsia"/>
        </w:rPr>
        <w:t>（3）投标保证金；</w:t>
      </w:r>
    </w:p>
    <w:p>
      <w:pPr>
        <w:spacing w:line="400" w:lineRule="exact"/>
        <w:ind w:firstLine="359" w:firstLineChars="171"/>
      </w:pPr>
      <w:r>
        <w:rPr>
          <w:rFonts w:hint="eastAsia"/>
        </w:rPr>
        <w:t>（4）已标价工程量清单；</w:t>
      </w:r>
    </w:p>
    <w:p>
      <w:pPr>
        <w:spacing w:line="400" w:lineRule="exact"/>
        <w:ind w:firstLine="359" w:firstLineChars="171"/>
      </w:pPr>
      <w:r>
        <w:rPr>
          <w:rFonts w:hint="eastAsia"/>
        </w:rPr>
        <w:t>（5）施工组织设计；</w:t>
      </w:r>
    </w:p>
    <w:p>
      <w:pPr>
        <w:spacing w:line="400" w:lineRule="exact"/>
        <w:ind w:firstLine="359" w:firstLineChars="171"/>
      </w:pPr>
      <w:r>
        <w:rPr>
          <w:rFonts w:hint="eastAsia"/>
        </w:rPr>
        <w:t>（6）项目管理机构；</w:t>
      </w:r>
    </w:p>
    <w:p>
      <w:pPr>
        <w:spacing w:line="400" w:lineRule="exact"/>
        <w:ind w:firstLine="359" w:firstLineChars="171"/>
      </w:pPr>
      <w:r>
        <w:rPr>
          <w:rFonts w:hint="eastAsia"/>
        </w:rPr>
        <w:t>（7）资格审查资料；</w:t>
      </w:r>
    </w:p>
    <w:p>
      <w:pPr>
        <w:spacing w:line="400" w:lineRule="exact"/>
        <w:ind w:firstLine="359" w:firstLineChars="171"/>
      </w:pPr>
      <w:r>
        <w:rPr>
          <w:rFonts w:hint="eastAsia"/>
        </w:rPr>
        <w:t>（8）投标人须知前附表规定的其他材料。</w:t>
      </w:r>
    </w:p>
    <w:p>
      <w:pPr>
        <w:pStyle w:val="4"/>
        <w:rPr>
          <w:rFonts w:ascii="宋体" w:hAnsi="宋体"/>
          <w:sz w:val="21"/>
          <w:szCs w:val="21"/>
        </w:rPr>
      </w:pPr>
      <w:bookmarkStart w:id="177" w:name="_Toc246996936"/>
      <w:bookmarkStart w:id="178" w:name="_Toc246996193"/>
      <w:bookmarkStart w:id="179" w:name="_Toc152045548"/>
      <w:bookmarkStart w:id="180" w:name="_Toc144974516"/>
      <w:bookmarkStart w:id="181" w:name="_Toc152042324"/>
      <w:bookmarkStart w:id="182" w:name="_Toc247085707"/>
      <w:bookmarkStart w:id="183" w:name="_Toc24340"/>
      <w:bookmarkStart w:id="184" w:name="_Toc179632566"/>
      <w:r>
        <w:rPr>
          <w:rFonts w:hint="eastAsia"/>
        </w:rPr>
        <w:t>3.2 投标报价</w:t>
      </w:r>
      <w:bookmarkEnd w:id="177"/>
      <w:bookmarkEnd w:id="178"/>
      <w:bookmarkEnd w:id="179"/>
      <w:bookmarkEnd w:id="180"/>
      <w:bookmarkEnd w:id="181"/>
      <w:bookmarkEnd w:id="182"/>
      <w:bookmarkEnd w:id="183"/>
      <w:bookmarkEnd w:id="184"/>
    </w:p>
    <w:p>
      <w:pPr>
        <w:spacing w:line="400" w:lineRule="exact"/>
        <w:ind w:firstLine="420" w:firstLineChars="200"/>
      </w:pPr>
      <w:r>
        <w:rPr>
          <w:rFonts w:hint="eastAsia"/>
        </w:rPr>
        <w:t>3.2.1 投标人应按第五章“工程量清单”的要求填写相应表格。</w:t>
      </w:r>
    </w:p>
    <w:p>
      <w:pPr>
        <w:spacing w:line="400" w:lineRule="exact"/>
        <w:ind w:firstLine="420" w:firstLineChars="200"/>
      </w:pPr>
      <w:r>
        <w:rPr>
          <w:rFonts w:hint="eastAsia"/>
        </w:rPr>
        <w:t>3.2.2 投标人在投标截止时间前修改投标函中的投标报价总额，应同时修改“已标价工程量清单”中的相应报价，投标报价总额为各分项金额之和。此修改须符合本章第4.3款的有关要求。</w:t>
      </w:r>
      <w:bookmarkStart w:id="185" w:name="_Toc152045549"/>
      <w:bookmarkStart w:id="186" w:name="_Toc144974517"/>
      <w:bookmarkStart w:id="187" w:name="_Toc179632567"/>
      <w:bookmarkStart w:id="188" w:name="_Toc152042325"/>
    </w:p>
    <w:p>
      <w:pPr>
        <w:pStyle w:val="4"/>
      </w:pPr>
      <w:bookmarkStart w:id="189" w:name="_Toc247085708"/>
      <w:bookmarkStart w:id="190" w:name="_Toc8343"/>
      <w:bookmarkStart w:id="191" w:name="_Toc246996194"/>
      <w:bookmarkStart w:id="192" w:name="_Toc246996937"/>
      <w:r>
        <w:rPr>
          <w:rFonts w:hint="eastAsia"/>
        </w:rPr>
        <w:t>3.3 投标有效期</w:t>
      </w:r>
      <w:bookmarkEnd w:id="185"/>
      <w:bookmarkEnd w:id="186"/>
      <w:bookmarkEnd w:id="187"/>
      <w:bookmarkEnd w:id="188"/>
      <w:bookmarkEnd w:id="189"/>
      <w:bookmarkEnd w:id="190"/>
      <w:bookmarkEnd w:id="191"/>
      <w:bookmarkEnd w:id="192"/>
    </w:p>
    <w:p>
      <w:pPr>
        <w:spacing w:line="400" w:lineRule="exact"/>
        <w:ind w:firstLine="420" w:firstLineChars="200"/>
      </w:pPr>
      <w:r>
        <w:rPr>
          <w:rFonts w:hint="eastAsia"/>
        </w:rPr>
        <w:t>3.3.1 除投标人须知前附表另有规定外，投标有效期为60天。</w:t>
      </w:r>
    </w:p>
    <w:p>
      <w:pPr>
        <w:spacing w:line="400" w:lineRule="exact"/>
        <w:ind w:firstLine="420" w:firstLineChars="200"/>
      </w:pPr>
      <w:r>
        <w:rPr>
          <w:rFonts w:hint="eastAsia"/>
        </w:rPr>
        <w:t>3.3.2在投标有效期内，投标人撤销或修改其投标文件的，应承担招标文件和法律规定的责任。</w:t>
      </w:r>
    </w:p>
    <w:p>
      <w:pPr>
        <w:spacing w:line="400" w:lineRule="exact"/>
        <w:ind w:firstLine="420" w:firstLineChars="200"/>
        <w:rPr>
          <w:rFonts w:ascii="楷体_GB2312" w:hAnsi="宋体" w:eastAsia="楷体_GB2312"/>
          <w:szCs w:val="21"/>
        </w:rPr>
      </w:pPr>
      <w:r>
        <w:rPr>
          <w:rFonts w:hint="eastAsia"/>
        </w:rPr>
        <w:t>3.3.3出现特殊情况需要延长投标有效期的，招标人以书面形式通知所有投标人延长投标有效期。投标人同意延长的，应相应延长其投标保证金的有效期，但不得要求或被允许修改或撤销其投标文件；投标人拒绝延长的，其投标失效，但投标人有权收回其投标保证金。</w:t>
      </w:r>
    </w:p>
    <w:p>
      <w:pPr>
        <w:pStyle w:val="4"/>
      </w:pPr>
      <w:bookmarkStart w:id="193" w:name="_Toc152045550"/>
      <w:bookmarkStart w:id="194" w:name="_Toc246996938"/>
      <w:bookmarkStart w:id="195" w:name="_Toc22679"/>
      <w:bookmarkStart w:id="196" w:name="_Toc247085709"/>
      <w:bookmarkStart w:id="197" w:name="_Toc152042326"/>
      <w:bookmarkStart w:id="198" w:name="_Toc246996195"/>
      <w:bookmarkStart w:id="199" w:name="_Toc179632568"/>
      <w:bookmarkStart w:id="200" w:name="_Toc144974518"/>
      <w:r>
        <w:rPr>
          <w:rFonts w:hint="eastAsia"/>
        </w:rPr>
        <w:t>3.4 投标保证金</w:t>
      </w:r>
      <w:bookmarkEnd w:id="193"/>
      <w:bookmarkEnd w:id="194"/>
      <w:bookmarkEnd w:id="195"/>
      <w:bookmarkEnd w:id="196"/>
      <w:bookmarkEnd w:id="197"/>
      <w:bookmarkEnd w:id="198"/>
      <w:bookmarkEnd w:id="199"/>
      <w:bookmarkEnd w:id="200"/>
    </w:p>
    <w:p>
      <w:pPr>
        <w:spacing w:line="400" w:lineRule="exact"/>
        <w:ind w:firstLine="420" w:firstLineChars="200"/>
      </w:pPr>
      <w:r>
        <w:rPr>
          <w:rFonts w:hint="eastAsia"/>
        </w:rPr>
        <w:t>3.4.1 投标人须知前附表规定递交投标保证金的，投标人在递交投标文件的同时，应按投标人须知前附表规定的金额和第八章“投标文件格式”规定的或者事先经过招标人认可的投标保证金格式递交投标保证金，并作为其投标文件的组成部分。</w:t>
      </w:r>
    </w:p>
    <w:p>
      <w:pPr>
        <w:spacing w:line="400" w:lineRule="exact"/>
        <w:ind w:firstLine="420" w:firstLineChars="200"/>
      </w:pPr>
      <w:r>
        <w:rPr>
          <w:rFonts w:hint="eastAsia"/>
        </w:rPr>
        <w:t>3.4.2 投标人不按本章第3.4.1项要求提交投标保证金的，评标委员会将否决其投标。</w:t>
      </w:r>
    </w:p>
    <w:p>
      <w:pPr>
        <w:spacing w:line="400" w:lineRule="exact"/>
        <w:ind w:firstLine="420" w:firstLineChars="200"/>
      </w:pPr>
      <w:r>
        <w:rPr>
          <w:rFonts w:hint="eastAsia"/>
        </w:rPr>
        <w:t>3.4.3 招标人与中标人签订合同后5日内，向未中标的投标人和中标人退还投标保证金。</w:t>
      </w:r>
    </w:p>
    <w:p>
      <w:pPr>
        <w:spacing w:line="400" w:lineRule="exact"/>
        <w:ind w:firstLine="420" w:firstLineChars="200"/>
      </w:pPr>
      <w:r>
        <w:rPr>
          <w:rFonts w:hint="eastAsia"/>
        </w:rPr>
        <w:t xml:space="preserve">3.4.4 有下列情形之一的，投标保证金将不予退还： </w:t>
      </w:r>
    </w:p>
    <w:p>
      <w:pPr>
        <w:spacing w:line="400" w:lineRule="exact"/>
        <w:ind w:firstLine="718" w:firstLineChars="342"/>
      </w:pPr>
      <w:r>
        <w:rPr>
          <w:rFonts w:hint="eastAsia"/>
        </w:rPr>
        <w:t>（1）投标人在规定的投标有效期内撤销或修改其投标文件；</w:t>
      </w:r>
    </w:p>
    <w:p>
      <w:pPr>
        <w:spacing w:line="400" w:lineRule="exact"/>
        <w:ind w:firstLine="718" w:firstLineChars="342"/>
      </w:pPr>
      <w:r>
        <w:rPr>
          <w:rFonts w:hint="eastAsia"/>
        </w:rPr>
        <w:t>（2）中标人在收到中标通知书后，无正当理由拒签合同协议书或未按招标文件规定提交履约担保。</w:t>
      </w:r>
    </w:p>
    <w:p>
      <w:pPr>
        <w:pStyle w:val="4"/>
      </w:pPr>
      <w:bookmarkStart w:id="201" w:name="_Toc144974520"/>
      <w:bookmarkStart w:id="202" w:name="_Toc152042328"/>
      <w:bookmarkStart w:id="203" w:name="_Toc152045552"/>
      <w:bookmarkStart w:id="204" w:name="_Toc179632570"/>
      <w:bookmarkStart w:id="205" w:name="_Toc246996196"/>
      <w:bookmarkStart w:id="206" w:name="_Toc246996939"/>
      <w:bookmarkStart w:id="207" w:name="_Toc247085710"/>
      <w:bookmarkStart w:id="208" w:name="_Toc4590"/>
      <w:r>
        <w:rPr>
          <w:rFonts w:hint="eastAsia"/>
        </w:rPr>
        <w:t>3.5 资格审查资料</w:t>
      </w:r>
      <w:bookmarkEnd w:id="201"/>
      <w:bookmarkEnd w:id="202"/>
      <w:bookmarkEnd w:id="203"/>
      <w:bookmarkEnd w:id="204"/>
      <w:bookmarkEnd w:id="205"/>
      <w:bookmarkEnd w:id="206"/>
      <w:bookmarkEnd w:id="207"/>
      <w:bookmarkEnd w:id="208"/>
    </w:p>
    <w:p>
      <w:pPr>
        <w:spacing w:line="400" w:lineRule="exact"/>
        <w:ind w:firstLine="420" w:firstLineChars="200"/>
      </w:pPr>
      <w:r>
        <w:rPr>
          <w:rFonts w:hint="eastAsia"/>
        </w:rPr>
        <w:t>3.5.1 “投标人基本情况表”应附投标人营业执照及其年检合格的证明材料、资质证书副本和安全生产许可证等材料的复印件。</w:t>
      </w:r>
    </w:p>
    <w:p>
      <w:pPr>
        <w:spacing w:line="400" w:lineRule="exact"/>
        <w:ind w:firstLine="420" w:firstLineChars="200"/>
      </w:pPr>
      <w:r>
        <w:rPr>
          <w:rFonts w:hint="eastAsia"/>
        </w:rPr>
        <w:t>3.5.2 “近年财务状况表”应附经会计师事务所或审计机构审计的财务会计报表，包括资产负债表、现金流量表、利润表和财务情况说明书等复印件，具体年份要求见投标人须知前附表。</w:t>
      </w:r>
    </w:p>
    <w:p>
      <w:pPr>
        <w:spacing w:line="360" w:lineRule="exact"/>
        <w:ind w:firstLine="420" w:firstLineChars="200"/>
        <w:rPr>
          <w:color w:val="000000"/>
        </w:rPr>
      </w:pPr>
      <w:r>
        <w:rPr>
          <w:rFonts w:hint="eastAsia"/>
        </w:rPr>
        <w:t>3.5.3 “近年完成的类似项目情况表”应附中标通知书和合同协议书、工程接收</w:t>
      </w:r>
      <w:r>
        <w:rPr>
          <w:rFonts w:hint="eastAsia"/>
          <w:color w:val="000000"/>
        </w:rPr>
        <w:t>证书（工程竣工验收证书）复印件，具体年份要求见投标人须知前附表。每张表格只填写一个项目，并标明序号。</w:t>
      </w:r>
    </w:p>
    <w:p>
      <w:pPr>
        <w:spacing w:line="400" w:lineRule="exact"/>
        <w:ind w:firstLine="420" w:firstLineChars="200"/>
      </w:pPr>
      <w:r>
        <w:rPr>
          <w:rFonts w:hint="eastAsia"/>
        </w:rPr>
        <w:t>3.5.4 “正在施工和新承接的项目情况表”应附中标通知书、合同协议书复印件。每张表格只填写一个项目，并标明序号。</w:t>
      </w:r>
    </w:p>
    <w:p>
      <w:pPr>
        <w:spacing w:line="400" w:lineRule="exact"/>
        <w:ind w:firstLine="420" w:firstLineChars="200"/>
      </w:pPr>
      <w:r>
        <w:rPr>
          <w:rFonts w:hint="eastAsia"/>
        </w:rPr>
        <w:t>3.5.5</w:t>
      </w:r>
      <w:r>
        <w:rPr>
          <w:rFonts w:hint="eastAsia" w:ascii="宋体" w:hAnsi="宋体"/>
          <w:szCs w:val="21"/>
        </w:rPr>
        <w:t>“近年发生的诉讼及仲裁情况”应说明相关情况，并附法院或仲裁机构作出的判决、裁决等有关法律文书复印件，具体年份要求见投标人须知前附表。</w:t>
      </w:r>
    </w:p>
    <w:p>
      <w:pPr>
        <w:pStyle w:val="4"/>
      </w:pPr>
      <w:bookmarkStart w:id="209" w:name="_Toc32026"/>
      <w:bookmarkStart w:id="210" w:name="_Toc246996197"/>
      <w:bookmarkStart w:id="211" w:name="_Toc179632571"/>
      <w:bookmarkStart w:id="212" w:name="_Toc144974521"/>
      <w:bookmarkStart w:id="213" w:name="_Toc152042329"/>
      <w:bookmarkStart w:id="214" w:name="_Toc152045553"/>
      <w:bookmarkStart w:id="215" w:name="_Toc247085711"/>
      <w:bookmarkStart w:id="216" w:name="_Toc246996940"/>
      <w:r>
        <w:rPr>
          <w:rFonts w:hint="eastAsia"/>
        </w:rPr>
        <w:t>3.6投标文件的编制</w:t>
      </w:r>
      <w:bookmarkEnd w:id="209"/>
    </w:p>
    <w:p>
      <w:pPr>
        <w:spacing w:line="400" w:lineRule="exact"/>
        <w:ind w:firstLine="420" w:firstLineChars="200"/>
      </w:pPr>
      <w:r>
        <w:rPr>
          <w:rFonts w:hint="eastAsia"/>
        </w:rPr>
        <w:t>3.6.1投标文件应按第八章“投标文件格式”进行编写，如有必要，可以增加附页，作为投标文件的组成部分。其中，投标函附录在满足招标文件实质性要求的基础上，可以提出比招标文件要求更有利于招标人的承诺。</w:t>
      </w:r>
    </w:p>
    <w:p>
      <w:pPr>
        <w:spacing w:line="400" w:lineRule="exact"/>
        <w:ind w:firstLine="420" w:firstLineChars="200"/>
        <w:rPr>
          <w:szCs w:val="21"/>
        </w:rPr>
      </w:pPr>
      <w:r>
        <w:rPr>
          <w:rFonts w:hint="eastAsia"/>
        </w:rPr>
        <w:t>3.6.2 投标文件应当对招标文件有关</w:t>
      </w:r>
      <w:r>
        <w:rPr>
          <w:rFonts w:hint="eastAsia"/>
          <w:szCs w:val="21"/>
        </w:rPr>
        <w:t>工期、投标有效期、质量要求、技术标准和要求、招标范围等实质性内容作出响应。</w:t>
      </w:r>
    </w:p>
    <w:p>
      <w:pPr>
        <w:spacing w:line="400" w:lineRule="exact"/>
        <w:ind w:firstLine="420" w:firstLineChars="200"/>
      </w:pPr>
      <w:r>
        <w:rPr>
          <w:rFonts w:hint="eastAsia"/>
        </w:rPr>
        <w:t>3.6.3投标文件应用不褪色的材料书写或打印，并由投标人的法定代表人或其委托代理人签字或盖单位章。委托代理人签字的，投标文件应附法定代表人签署的授权委托书。投标文件应尽量避免涂改、行间插字或删除。如果出现上述情况，改动之处应加盖单位章或由投标人的法定代表人或其授权的代理人签字确认。签字或盖章的具体要求见投标人须知前附表。</w:t>
      </w:r>
    </w:p>
    <w:p>
      <w:pPr>
        <w:spacing w:line="400" w:lineRule="exact"/>
        <w:ind w:firstLine="420" w:firstLineChars="200"/>
      </w:pPr>
      <w:r>
        <w:rPr>
          <w:rFonts w:hint="eastAsia"/>
        </w:rPr>
        <w:t>3.6.4 投标文件正本一份, 副本份数见投标人须知前附表。正本和副本的封面上应清楚地标记“正本”或“副本”的字样。当副本和正本不一致时，以正本为准。</w:t>
      </w:r>
    </w:p>
    <w:p>
      <w:pPr>
        <w:spacing w:line="400" w:lineRule="exact"/>
        <w:ind w:firstLine="420" w:firstLineChars="200"/>
      </w:pPr>
      <w:r>
        <w:rPr>
          <w:rFonts w:hint="eastAsia"/>
        </w:rPr>
        <w:t>3.6.5 投标文件的正本与副本应分别装订成册，具体装订要求见投标人须知前附表规定。</w:t>
      </w:r>
      <w:bookmarkEnd w:id="210"/>
      <w:bookmarkEnd w:id="211"/>
      <w:bookmarkEnd w:id="212"/>
      <w:bookmarkEnd w:id="213"/>
      <w:bookmarkEnd w:id="214"/>
      <w:bookmarkEnd w:id="215"/>
      <w:bookmarkEnd w:id="216"/>
      <w:bookmarkStart w:id="217" w:name="_Toc144974523"/>
      <w:bookmarkStart w:id="218" w:name="_Toc152045555"/>
      <w:bookmarkStart w:id="219" w:name="_Toc152042331"/>
      <w:bookmarkStart w:id="220" w:name="_Toc179632573"/>
      <w:bookmarkStart w:id="221" w:name="_Toc246996199"/>
      <w:bookmarkStart w:id="222" w:name="_Toc247085713"/>
      <w:bookmarkStart w:id="223" w:name="_Toc246996942"/>
    </w:p>
    <w:p>
      <w:pPr>
        <w:pStyle w:val="3"/>
      </w:pPr>
      <w:bookmarkStart w:id="224" w:name="_Toc1139"/>
      <w:r>
        <w:rPr>
          <w:rFonts w:hint="eastAsia"/>
        </w:rPr>
        <w:t>4. 投标</w:t>
      </w:r>
      <w:bookmarkEnd w:id="217"/>
      <w:bookmarkEnd w:id="218"/>
      <w:bookmarkEnd w:id="219"/>
      <w:bookmarkEnd w:id="220"/>
      <w:bookmarkEnd w:id="221"/>
      <w:bookmarkEnd w:id="222"/>
      <w:bookmarkEnd w:id="223"/>
      <w:bookmarkEnd w:id="224"/>
    </w:p>
    <w:p>
      <w:pPr>
        <w:pStyle w:val="4"/>
      </w:pPr>
      <w:bookmarkStart w:id="225" w:name="_Toc10366"/>
      <w:bookmarkStart w:id="226" w:name="_Toc247085714"/>
      <w:bookmarkStart w:id="227" w:name="_Toc246996943"/>
      <w:bookmarkStart w:id="228" w:name="_Toc246996200"/>
      <w:bookmarkStart w:id="229" w:name="_Toc152042332"/>
      <w:bookmarkStart w:id="230" w:name="_Toc179632574"/>
      <w:bookmarkStart w:id="231" w:name="_Toc152045556"/>
      <w:bookmarkStart w:id="232" w:name="_Toc144974524"/>
      <w:r>
        <w:rPr>
          <w:rFonts w:hint="eastAsia"/>
        </w:rPr>
        <w:t>4.1 投标文件的密封和标记</w:t>
      </w:r>
      <w:bookmarkEnd w:id="225"/>
      <w:bookmarkEnd w:id="226"/>
      <w:bookmarkEnd w:id="227"/>
      <w:bookmarkEnd w:id="228"/>
      <w:bookmarkEnd w:id="229"/>
      <w:bookmarkEnd w:id="230"/>
      <w:bookmarkEnd w:id="231"/>
      <w:bookmarkEnd w:id="232"/>
    </w:p>
    <w:p>
      <w:pPr>
        <w:spacing w:line="400" w:lineRule="exact"/>
        <w:ind w:firstLine="420" w:firstLineChars="200"/>
      </w:pPr>
      <w:bookmarkStart w:id="233" w:name="_Toc247085715"/>
      <w:bookmarkStart w:id="234" w:name="_Toc246996944"/>
      <w:bookmarkStart w:id="235" w:name="_Toc246996201"/>
      <w:bookmarkStart w:id="236" w:name="_Toc152042333"/>
      <w:bookmarkStart w:id="237" w:name="_Toc179632575"/>
      <w:bookmarkStart w:id="238" w:name="_Toc152045557"/>
      <w:bookmarkStart w:id="239" w:name="_Toc144974525"/>
      <w:r>
        <w:rPr>
          <w:rFonts w:hint="eastAsia"/>
        </w:rPr>
        <w:t>4.1.1 投标文件的正本与副本应分开包装、加贴封条，封套上注明正（副）本标记，并在封套的封口处加盖投标单位公章。</w:t>
      </w:r>
    </w:p>
    <w:p>
      <w:pPr>
        <w:spacing w:line="400" w:lineRule="exact"/>
        <w:ind w:firstLine="420" w:firstLineChars="200"/>
        <w:rPr>
          <w:rFonts w:ascii="宋体" w:hAnsi="宋体" w:cs="宋体"/>
        </w:rPr>
      </w:pPr>
      <w:r>
        <w:rPr>
          <w:rFonts w:hint="eastAsia"/>
        </w:rPr>
        <w:t>4.1.2投标文件封套上应写明的内容见投标人须知前附表。</w:t>
      </w:r>
    </w:p>
    <w:p>
      <w:pPr>
        <w:spacing w:line="400" w:lineRule="exact"/>
        <w:ind w:firstLine="420" w:firstLineChars="200"/>
      </w:pPr>
      <w:r>
        <w:rPr>
          <w:rFonts w:hint="eastAsia"/>
        </w:rPr>
        <w:t>4.1.3投标</w:t>
      </w:r>
      <w:r>
        <w:rPr>
          <w:rFonts w:hint="eastAsia" w:ascii="宋体" w:hAnsi="宋体" w:cs="宋体"/>
        </w:rPr>
        <w:t>文件的封套上除封口处加盖投标单位公章外，不得添加任何印鉴。</w:t>
      </w:r>
    </w:p>
    <w:p>
      <w:pPr>
        <w:spacing w:line="400" w:lineRule="exact"/>
        <w:ind w:firstLine="420" w:firstLineChars="200"/>
      </w:pPr>
      <w:r>
        <w:rPr>
          <w:rFonts w:hint="eastAsia"/>
        </w:rPr>
        <w:t>4.1.4未按本章第4.1.1项、4.1.3项要求密封和加写标记的投标文件，</w:t>
      </w:r>
      <w:r>
        <w:rPr>
          <w:rFonts w:hint="eastAsia" w:ascii="宋体" w:hAnsi="宋体" w:cs="宋体"/>
        </w:rPr>
        <w:t>招标人不予受理。</w:t>
      </w:r>
    </w:p>
    <w:p>
      <w:pPr>
        <w:pStyle w:val="4"/>
      </w:pPr>
      <w:bookmarkStart w:id="240" w:name="_Toc4103"/>
      <w:r>
        <w:rPr>
          <w:rFonts w:hint="eastAsia"/>
        </w:rPr>
        <w:t>4.2 投标文件的递交</w:t>
      </w:r>
      <w:bookmarkEnd w:id="233"/>
      <w:bookmarkEnd w:id="234"/>
      <w:bookmarkEnd w:id="235"/>
      <w:bookmarkEnd w:id="236"/>
      <w:bookmarkEnd w:id="237"/>
      <w:bookmarkEnd w:id="238"/>
      <w:bookmarkEnd w:id="239"/>
      <w:bookmarkEnd w:id="240"/>
    </w:p>
    <w:p>
      <w:pPr>
        <w:spacing w:line="400" w:lineRule="exact"/>
        <w:ind w:firstLine="420" w:firstLineChars="200"/>
      </w:pPr>
      <w:r>
        <w:rPr>
          <w:rFonts w:hint="eastAsia"/>
        </w:rPr>
        <w:t>4.2.1 投标人应在本章第2.2.2项规定的投标截止时间前递交投标文件。</w:t>
      </w:r>
    </w:p>
    <w:p>
      <w:pPr>
        <w:spacing w:line="400" w:lineRule="exact"/>
        <w:ind w:firstLine="420" w:firstLineChars="200"/>
      </w:pPr>
      <w:r>
        <w:rPr>
          <w:rFonts w:hint="eastAsia"/>
        </w:rPr>
        <w:t>4.2.2 投标人递交投标文件的地点：见投标人须知前附表。</w:t>
      </w:r>
    </w:p>
    <w:p>
      <w:pPr>
        <w:spacing w:line="400" w:lineRule="exact"/>
        <w:ind w:firstLine="420" w:firstLineChars="200"/>
      </w:pPr>
      <w:r>
        <w:rPr>
          <w:rFonts w:hint="eastAsia"/>
        </w:rPr>
        <w:t>4.2.3 除投标人须知前附表另有规定外，投标人所递交的投标文件不予退还。</w:t>
      </w:r>
    </w:p>
    <w:p>
      <w:pPr>
        <w:spacing w:line="400" w:lineRule="exact"/>
        <w:ind w:firstLine="420" w:firstLineChars="200"/>
      </w:pPr>
      <w:r>
        <w:rPr>
          <w:rFonts w:hint="eastAsia"/>
        </w:rPr>
        <w:t>4.2.4 招标人收到投标文件后，向投标人出具签收凭证。</w:t>
      </w:r>
    </w:p>
    <w:p>
      <w:pPr>
        <w:spacing w:line="400" w:lineRule="exact"/>
        <w:ind w:firstLine="420" w:firstLineChars="200"/>
      </w:pPr>
      <w:r>
        <w:rPr>
          <w:rFonts w:hint="eastAsia"/>
        </w:rPr>
        <w:t>4.2.5 逾期送达的或者未送达指定地点的投标文件，招标人不予受理。</w:t>
      </w:r>
    </w:p>
    <w:p>
      <w:pPr>
        <w:pStyle w:val="4"/>
      </w:pPr>
      <w:bookmarkStart w:id="241" w:name="_Toc6304"/>
      <w:bookmarkStart w:id="242" w:name="_Toc247085716"/>
      <w:bookmarkStart w:id="243" w:name="_Toc246996945"/>
      <w:bookmarkStart w:id="244" w:name="_Toc246996202"/>
      <w:bookmarkStart w:id="245" w:name="_Toc179632576"/>
      <w:bookmarkStart w:id="246" w:name="_Toc152045558"/>
      <w:bookmarkStart w:id="247" w:name="_Toc152042334"/>
      <w:bookmarkStart w:id="248" w:name="_Toc144974526"/>
      <w:r>
        <w:rPr>
          <w:rFonts w:hint="eastAsia"/>
        </w:rPr>
        <w:t>4.3 投标文件的修改与撤回</w:t>
      </w:r>
      <w:bookmarkEnd w:id="241"/>
      <w:bookmarkEnd w:id="242"/>
      <w:bookmarkEnd w:id="243"/>
      <w:bookmarkEnd w:id="244"/>
      <w:bookmarkEnd w:id="245"/>
      <w:bookmarkEnd w:id="246"/>
      <w:bookmarkEnd w:id="247"/>
      <w:bookmarkEnd w:id="248"/>
    </w:p>
    <w:p>
      <w:pPr>
        <w:spacing w:line="400" w:lineRule="exact"/>
        <w:ind w:firstLine="420" w:firstLineChars="200"/>
      </w:pPr>
      <w:r>
        <w:rPr>
          <w:rFonts w:hint="eastAsia"/>
        </w:rPr>
        <w:t>4.3.1 在本章第2.2.2项规定的投标截止时间前，投标人可以修改或撤回已递交的投标文件，但应以书面形式通知招标人。</w:t>
      </w:r>
    </w:p>
    <w:p>
      <w:pPr>
        <w:spacing w:line="400" w:lineRule="exact"/>
        <w:ind w:firstLine="420" w:firstLineChars="200"/>
      </w:pPr>
      <w:r>
        <w:rPr>
          <w:rFonts w:hint="eastAsia"/>
        </w:rPr>
        <w:t>4.3.2 投标人修改或撤回已递交投标文件的书面通知应按照本章第3.6.3项的要求签字或盖章。招标人收到书面通知后，向投标人出具签收凭证。</w:t>
      </w:r>
    </w:p>
    <w:p>
      <w:pPr>
        <w:spacing w:line="400" w:lineRule="exact"/>
        <w:ind w:firstLine="420" w:firstLineChars="200"/>
      </w:pPr>
      <w:r>
        <w:rPr>
          <w:rFonts w:hint="eastAsia"/>
        </w:rPr>
        <w:t>4.3.3 投标人撤回投标文件的，招标人自收到投标人书面撤回通知之日起5日内退还已收取的投标保证金。</w:t>
      </w:r>
    </w:p>
    <w:p>
      <w:pPr>
        <w:spacing w:line="400" w:lineRule="exact"/>
        <w:ind w:firstLine="420" w:firstLineChars="200"/>
      </w:pPr>
      <w:r>
        <w:rPr>
          <w:rFonts w:hint="eastAsia"/>
        </w:rPr>
        <w:t>4.3.4 修改的内容为投标文件的组成部分。修改的投标文件应按照本章第3条、第4条规定进行编制、密封、标记和递交，并标明“修改”字样。</w:t>
      </w:r>
    </w:p>
    <w:p>
      <w:pPr>
        <w:pStyle w:val="3"/>
      </w:pPr>
      <w:bookmarkStart w:id="249" w:name="_Toc21158"/>
      <w:bookmarkStart w:id="250" w:name="_Toc247085717"/>
      <w:bookmarkStart w:id="251" w:name="_Toc246996946"/>
      <w:bookmarkStart w:id="252" w:name="_Toc246996203"/>
      <w:bookmarkStart w:id="253" w:name="_Toc152045559"/>
      <w:bookmarkStart w:id="254" w:name="_Toc179632577"/>
      <w:bookmarkStart w:id="255" w:name="_Toc152042335"/>
      <w:bookmarkStart w:id="256" w:name="_Toc144974527"/>
      <w:r>
        <w:rPr>
          <w:rFonts w:hint="eastAsia"/>
        </w:rPr>
        <w:t>5. 开标</w:t>
      </w:r>
      <w:bookmarkEnd w:id="249"/>
      <w:bookmarkEnd w:id="250"/>
      <w:bookmarkEnd w:id="251"/>
      <w:bookmarkEnd w:id="252"/>
      <w:bookmarkEnd w:id="253"/>
      <w:bookmarkEnd w:id="254"/>
      <w:bookmarkEnd w:id="255"/>
      <w:bookmarkEnd w:id="256"/>
    </w:p>
    <w:p>
      <w:pPr>
        <w:pStyle w:val="4"/>
      </w:pPr>
      <w:bookmarkStart w:id="257" w:name="_Toc247085718"/>
      <w:bookmarkStart w:id="258" w:name="_Toc179632578"/>
      <w:bookmarkStart w:id="259" w:name="_Toc246996947"/>
      <w:bookmarkStart w:id="260" w:name="_Toc152045560"/>
      <w:bookmarkStart w:id="261" w:name="_Toc152042336"/>
      <w:bookmarkStart w:id="262" w:name="_Toc144974528"/>
      <w:bookmarkStart w:id="263" w:name="_Toc246996204"/>
      <w:bookmarkStart w:id="264" w:name="_Toc13527"/>
      <w:r>
        <w:rPr>
          <w:rFonts w:hint="eastAsia"/>
        </w:rPr>
        <w:t>5.1 开标时间和地点</w:t>
      </w:r>
      <w:bookmarkEnd w:id="257"/>
      <w:bookmarkEnd w:id="258"/>
      <w:bookmarkEnd w:id="259"/>
      <w:bookmarkEnd w:id="260"/>
      <w:bookmarkEnd w:id="261"/>
      <w:bookmarkEnd w:id="262"/>
      <w:bookmarkEnd w:id="263"/>
      <w:bookmarkEnd w:id="264"/>
    </w:p>
    <w:p>
      <w:pPr>
        <w:spacing w:line="400" w:lineRule="exact"/>
        <w:ind w:firstLine="420" w:firstLineChars="200"/>
      </w:pPr>
      <w:r>
        <w:rPr>
          <w:rFonts w:hint="eastAsia"/>
        </w:rPr>
        <w:t>招标人在本章第2.2.2项规定的投标截止时间（开标时间）和投标人须知前附表规定的地点公开开标，并邀请所有投标人的法定代表人或其委托代理人准时参加。</w:t>
      </w:r>
    </w:p>
    <w:p>
      <w:pPr>
        <w:pStyle w:val="4"/>
      </w:pPr>
      <w:bookmarkStart w:id="265" w:name="_Toc246996948"/>
      <w:bookmarkStart w:id="266" w:name="_Toc246996205"/>
      <w:bookmarkStart w:id="267" w:name="_Toc179632579"/>
      <w:bookmarkStart w:id="268" w:name="_Toc152045561"/>
      <w:bookmarkStart w:id="269" w:name="_Toc152042337"/>
      <w:bookmarkStart w:id="270" w:name="_Toc144974529"/>
      <w:bookmarkStart w:id="271" w:name="_Toc247085719"/>
      <w:bookmarkStart w:id="272" w:name="_Toc31340"/>
      <w:r>
        <w:rPr>
          <w:rFonts w:hint="eastAsia"/>
        </w:rPr>
        <w:t>5.2 开标程序</w:t>
      </w:r>
      <w:bookmarkEnd w:id="265"/>
      <w:bookmarkEnd w:id="266"/>
      <w:bookmarkEnd w:id="267"/>
      <w:bookmarkEnd w:id="268"/>
      <w:bookmarkEnd w:id="269"/>
      <w:bookmarkEnd w:id="270"/>
      <w:bookmarkEnd w:id="271"/>
      <w:bookmarkEnd w:id="272"/>
    </w:p>
    <w:p>
      <w:pPr>
        <w:spacing w:line="400" w:lineRule="exact"/>
        <w:ind w:firstLine="420" w:firstLineChars="200"/>
      </w:pPr>
      <w:r>
        <w:rPr>
          <w:rFonts w:hint="eastAsia"/>
        </w:rPr>
        <w:t>主持人按下列程序进行开标：</w:t>
      </w:r>
    </w:p>
    <w:p>
      <w:pPr>
        <w:spacing w:line="400" w:lineRule="exact"/>
        <w:ind w:firstLine="359" w:firstLineChars="171"/>
      </w:pPr>
      <w:r>
        <w:rPr>
          <w:rFonts w:hint="eastAsia"/>
        </w:rPr>
        <w:t>（1）宣布开标纪律；</w:t>
      </w:r>
    </w:p>
    <w:p>
      <w:pPr>
        <w:spacing w:line="400" w:lineRule="exact"/>
        <w:ind w:firstLine="359" w:firstLineChars="171"/>
      </w:pPr>
      <w:r>
        <w:rPr>
          <w:rFonts w:hint="eastAsia"/>
        </w:rPr>
        <w:t>（2）公布在投标截止时间前递交投标文件的投标人名称，并点名确认投标人是否派人到场；</w:t>
      </w:r>
    </w:p>
    <w:p>
      <w:pPr>
        <w:spacing w:line="400" w:lineRule="exact"/>
        <w:ind w:firstLine="359" w:firstLineChars="171"/>
      </w:pPr>
      <w:r>
        <w:rPr>
          <w:rFonts w:hint="eastAsia"/>
        </w:rPr>
        <w:t>（3）宣布开标人、唱标人、记录人、监标人等有关人员姓名；</w:t>
      </w:r>
    </w:p>
    <w:p>
      <w:pPr>
        <w:spacing w:line="400" w:lineRule="exact"/>
        <w:ind w:firstLine="359" w:firstLineChars="171"/>
      </w:pPr>
      <w:r>
        <w:rPr>
          <w:rFonts w:hint="eastAsia"/>
        </w:rPr>
        <w:t>（4）按照投标人须知前附表规定检查投标文件的密封情况；</w:t>
      </w:r>
    </w:p>
    <w:p>
      <w:pPr>
        <w:spacing w:line="400" w:lineRule="exact"/>
        <w:ind w:firstLine="359" w:firstLineChars="171"/>
      </w:pPr>
      <w:r>
        <w:rPr>
          <w:rFonts w:hint="eastAsia"/>
        </w:rPr>
        <w:t>（5）按照投标人须知前附表的规定确定并宣布投标文件开标顺序；</w:t>
      </w:r>
    </w:p>
    <w:p>
      <w:pPr>
        <w:spacing w:line="400" w:lineRule="exact"/>
        <w:ind w:firstLine="359" w:firstLineChars="171"/>
      </w:pPr>
      <w:r>
        <w:rPr>
          <w:rFonts w:hint="eastAsia"/>
        </w:rPr>
        <w:t>（6）设有招标控制价的，公布招标控制价；</w:t>
      </w:r>
    </w:p>
    <w:p>
      <w:pPr>
        <w:spacing w:line="400" w:lineRule="exact"/>
        <w:ind w:firstLine="359" w:firstLineChars="171"/>
      </w:pPr>
      <w:r>
        <w:rPr>
          <w:rFonts w:hint="eastAsia"/>
        </w:rPr>
        <w:t>（7）按照宣布的开标顺序当众开标，公布投标人名称、投标保证金的递交情况、投标报价、质量目标、工期及其他内容，并记录在案；</w:t>
      </w:r>
    </w:p>
    <w:p>
      <w:pPr>
        <w:spacing w:line="400" w:lineRule="exact"/>
        <w:ind w:firstLine="359" w:firstLineChars="171"/>
      </w:pPr>
      <w:r>
        <w:rPr>
          <w:rFonts w:hint="eastAsia"/>
        </w:rPr>
        <w:t>（8）规定最高投标限价计算方法的，计算并公布最高投标限价；</w:t>
      </w:r>
    </w:p>
    <w:p>
      <w:pPr>
        <w:spacing w:line="400" w:lineRule="exact"/>
        <w:ind w:firstLine="359" w:firstLineChars="171"/>
      </w:pPr>
      <w:r>
        <w:rPr>
          <w:rFonts w:hint="eastAsia"/>
        </w:rPr>
        <w:t>（9）投标人代表、招标人代表、监标人、记录人等有关人员在开标记录上签字确认；</w:t>
      </w:r>
    </w:p>
    <w:p>
      <w:pPr>
        <w:spacing w:line="400" w:lineRule="exact"/>
        <w:ind w:firstLine="359" w:firstLineChars="171"/>
      </w:pPr>
      <w:r>
        <w:rPr>
          <w:rFonts w:hint="eastAsia"/>
        </w:rPr>
        <w:t>（10）开标结束。</w:t>
      </w:r>
    </w:p>
    <w:p>
      <w:pPr>
        <w:pStyle w:val="4"/>
      </w:pPr>
      <w:bookmarkStart w:id="273" w:name="_Toc20066"/>
      <w:r>
        <w:rPr>
          <w:rFonts w:hint="eastAsia"/>
        </w:rPr>
        <w:t>5.3 开标异议</w:t>
      </w:r>
      <w:bookmarkEnd w:id="273"/>
    </w:p>
    <w:p>
      <w:pPr>
        <w:spacing w:line="400" w:lineRule="exact"/>
        <w:ind w:firstLine="359" w:firstLineChars="171"/>
      </w:pPr>
      <w:r>
        <w:rPr>
          <w:rFonts w:hint="eastAsia"/>
        </w:rPr>
        <w:t>投标人对开标有异议的，应当在开标现场提出，招标人当场作出答复，并制作记录。</w:t>
      </w:r>
    </w:p>
    <w:p>
      <w:pPr>
        <w:pStyle w:val="3"/>
      </w:pPr>
      <w:bookmarkStart w:id="274" w:name="_Toc179632580"/>
      <w:bookmarkStart w:id="275" w:name="_Toc152042338"/>
      <w:bookmarkStart w:id="276" w:name="_Toc144974530"/>
      <w:bookmarkStart w:id="277" w:name="_Toc247085720"/>
      <w:bookmarkStart w:id="278" w:name="_Toc152045562"/>
      <w:bookmarkStart w:id="279" w:name="_Toc246996949"/>
      <w:bookmarkStart w:id="280" w:name="_Toc26830"/>
      <w:bookmarkStart w:id="281" w:name="_Toc246996206"/>
      <w:r>
        <w:rPr>
          <w:rFonts w:hint="eastAsia"/>
        </w:rPr>
        <w:t>6. 评标</w:t>
      </w:r>
      <w:bookmarkEnd w:id="274"/>
      <w:bookmarkEnd w:id="275"/>
      <w:bookmarkEnd w:id="276"/>
      <w:bookmarkEnd w:id="277"/>
      <w:bookmarkEnd w:id="278"/>
      <w:bookmarkEnd w:id="279"/>
      <w:bookmarkEnd w:id="280"/>
      <w:bookmarkEnd w:id="281"/>
    </w:p>
    <w:p>
      <w:pPr>
        <w:pStyle w:val="4"/>
      </w:pPr>
      <w:bookmarkStart w:id="282" w:name="_Toc247085721"/>
      <w:bookmarkStart w:id="283" w:name="_Toc2386"/>
      <w:bookmarkStart w:id="284" w:name="_Toc152042339"/>
      <w:bookmarkStart w:id="285" w:name="_Toc246996207"/>
      <w:bookmarkStart w:id="286" w:name="_Toc246996950"/>
      <w:bookmarkStart w:id="287" w:name="_Toc144974531"/>
      <w:bookmarkStart w:id="288" w:name="_Toc179632581"/>
      <w:bookmarkStart w:id="289" w:name="_Toc152045563"/>
      <w:r>
        <w:rPr>
          <w:rFonts w:hint="eastAsia"/>
        </w:rPr>
        <w:t>6.1 评标委员会</w:t>
      </w:r>
      <w:bookmarkEnd w:id="282"/>
      <w:bookmarkEnd w:id="283"/>
      <w:bookmarkEnd w:id="284"/>
      <w:bookmarkEnd w:id="285"/>
      <w:bookmarkEnd w:id="286"/>
      <w:bookmarkEnd w:id="287"/>
      <w:bookmarkEnd w:id="288"/>
      <w:bookmarkEnd w:id="289"/>
    </w:p>
    <w:p>
      <w:pPr>
        <w:spacing w:line="400" w:lineRule="exact"/>
        <w:ind w:firstLine="420" w:firstLineChars="200"/>
      </w:pPr>
      <w:r>
        <w:rPr>
          <w:rFonts w:hint="eastAsia"/>
        </w:rPr>
        <w:t>6.1.1 评标由招标人依法组建的评标委员会负责。评标委员会由有关技术、经济等方面的专家组成。评标委员会成员人数以及技术、经济等方面专家的确定方式见投标人须知前附表。</w:t>
      </w:r>
    </w:p>
    <w:p>
      <w:pPr>
        <w:spacing w:line="400" w:lineRule="exact"/>
        <w:ind w:firstLine="420" w:firstLineChars="200"/>
      </w:pPr>
      <w:r>
        <w:rPr>
          <w:rFonts w:hint="eastAsia"/>
        </w:rPr>
        <w:t>6.1.2 评标委员会成员有下列情形之一的，应当回避：</w:t>
      </w:r>
    </w:p>
    <w:p>
      <w:pPr>
        <w:spacing w:line="400" w:lineRule="exact"/>
        <w:ind w:firstLine="359" w:firstLineChars="171"/>
      </w:pPr>
      <w:r>
        <w:rPr>
          <w:rFonts w:hint="eastAsia"/>
        </w:rPr>
        <w:t>（1）投标人或投标人主要负责人的近亲属；</w:t>
      </w:r>
    </w:p>
    <w:p>
      <w:pPr>
        <w:spacing w:line="400" w:lineRule="exact"/>
        <w:ind w:firstLine="359" w:firstLineChars="171"/>
      </w:pPr>
      <w:r>
        <w:rPr>
          <w:rFonts w:hint="eastAsia"/>
        </w:rPr>
        <w:t>（2）项目主管部门或者行政监督部门的人员；</w:t>
      </w:r>
    </w:p>
    <w:p>
      <w:pPr>
        <w:spacing w:line="400" w:lineRule="exact"/>
        <w:ind w:firstLine="359" w:firstLineChars="171"/>
      </w:pPr>
      <w:r>
        <w:rPr>
          <w:rFonts w:hint="eastAsia"/>
        </w:rPr>
        <w:t>（3）与投标人有经济利益关系；</w:t>
      </w:r>
    </w:p>
    <w:p>
      <w:pPr>
        <w:spacing w:line="400" w:lineRule="exact"/>
        <w:ind w:firstLine="359" w:firstLineChars="171"/>
      </w:pPr>
      <w:r>
        <w:rPr>
          <w:rFonts w:hint="eastAsia"/>
        </w:rPr>
        <w:t>（4）曾因在招标、评标以及其他与招标投标有关活动中从事违法行为而受过行政处罚或刑事处罚的；</w:t>
      </w:r>
    </w:p>
    <w:p>
      <w:pPr>
        <w:spacing w:line="400" w:lineRule="exact"/>
        <w:ind w:firstLine="359" w:firstLineChars="171"/>
      </w:pPr>
      <w:r>
        <w:rPr>
          <w:rFonts w:hint="eastAsia"/>
        </w:rPr>
        <w:t>（5）与投标人有其他利害关系。</w:t>
      </w:r>
    </w:p>
    <w:p>
      <w:pPr>
        <w:pStyle w:val="4"/>
      </w:pPr>
      <w:bookmarkStart w:id="290" w:name="_Toc91"/>
      <w:bookmarkStart w:id="291" w:name="_Toc246996951"/>
      <w:bookmarkStart w:id="292" w:name="_Toc179632582"/>
      <w:bookmarkStart w:id="293" w:name="_Toc246996208"/>
      <w:bookmarkStart w:id="294" w:name="_Toc144974532"/>
      <w:bookmarkStart w:id="295" w:name="_Toc152042340"/>
      <w:bookmarkStart w:id="296" w:name="_Toc247085722"/>
      <w:bookmarkStart w:id="297" w:name="_Toc152045564"/>
      <w:r>
        <w:rPr>
          <w:rFonts w:hint="eastAsia"/>
        </w:rPr>
        <w:t>6.2 评标原则</w:t>
      </w:r>
      <w:bookmarkEnd w:id="290"/>
      <w:bookmarkEnd w:id="291"/>
      <w:bookmarkEnd w:id="292"/>
      <w:bookmarkEnd w:id="293"/>
      <w:bookmarkEnd w:id="294"/>
      <w:bookmarkEnd w:id="295"/>
      <w:bookmarkEnd w:id="296"/>
      <w:bookmarkEnd w:id="297"/>
    </w:p>
    <w:p>
      <w:pPr>
        <w:spacing w:line="400" w:lineRule="exact"/>
        <w:ind w:firstLine="420" w:firstLineChars="200"/>
      </w:pPr>
      <w:r>
        <w:rPr>
          <w:rFonts w:hint="eastAsia"/>
        </w:rPr>
        <w:t>评标活动遵循公平、公正、科学和择优的原则。</w:t>
      </w:r>
    </w:p>
    <w:p>
      <w:pPr>
        <w:pStyle w:val="4"/>
      </w:pPr>
      <w:bookmarkStart w:id="298" w:name="_Toc246996209"/>
      <w:bookmarkStart w:id="299" w:name="_Toc22962"/>
      <w:bookmarkStart w:id="300" w:name="_Toc247085723"/>
      <w:bookmarkStart w:id="301" w:name="_Toc246996952"/>
      <w:bookmarkStart w:id="302" w:name="_Toc179632583"/>
      <w:bookmarkStart w:id="303" w:name="_Toc152042341"/>
      <w:bookmarkStart w:id="304" w:name="_Toc152045565"/>
      <w:bookmarkStart w:id="305" w:name="_Toc144974533"/>
      <w:r>
        <w:rPr>
          <w:rFonts w:hint="eastAsia"/>
        </w:rPr>
        <w:t>6.3 评标</w:t>
      </w:r>
      <w:bookmarkEnd w:id="298"/>
      <w:bookmarkEnd w:id="299"/>
      <w:bookmarkEnd w:id="300"/>
      <w:bookmarkEnd w:id="301"/>
      <w:bookmarkEnd w:id="302"/>
      <w:bookmarkEnd w:id="303"/>
      <w:bookmarkEnd w:id="304"/>
      <w:bookmarkEnd w:id="305"/>
    </w:p>
    <w:p>
      <w:pPr>
        <w:spacing w:line="400" w:lineRule="exact"/>
        <w:ind w:firstLine="420" w:firstLineChars="200"/>
      </w:pPr>
      <w:r>
        <w:rPr>
          <w:rFonts w:hint="eastAsia"/>
        </w:rPr>
        <w:t>评标委员会按照第三章“评标办法”规定的方法、评审因素、标准和程序对投标文件进行评审。第三章“评标办法”没有规定的方法、评审因素和标准，不作为评标依据。</w:t>
      </w:r>
    </w:p>
    <w:p>
      <w:pPr>
        <w:pStyle w:val="3"/>
      </w:pPr>
      <w:bookmarkStart w:id="306" w:name="_Toc246996210"/>
      <w:bookmarkStart w:id="307" w:name="_Toc247085724"/>
      <w:bookmarkStart w:id="308" w:name="_Toc246996953"/>
      <w:bookmarkStart w:id="309" w:name="_Toc31172"/>
      <w:bookmarkStart w:id="310" w:name="_Toc144974534"/>
      <w:bookmarkStart w:id="311" w:name="_Toc152045566"/>
      <w:bookmarkStart w:id="312" w:name="_Toc179632584"/>
      <w:bookmarkStart w:id="313" w:name="_Toc152042342"/>
      <w:r>
        <w:rPr>
          <w:rFonts w:hint="eastAsia"/>
        </w:rPr>
        <w:t>7. 合同授予</w:t>
      </w:r>
      <w:bookmarkEnd w:id="306"/>
      <w:bookmarkEnd w:id="307"/>
      <w:bookmarkEnd w:id="308"/>
      <w:bookmarkEnd w:id="309"/>
      <w:bookmarkEnd w:id="310"/>
      <w:bookmarkEnd w:id="311"/>
      <w:bookmarkEnd w:id="312"/>
      <w:bookmarkEnd w:id="313"/>
    </w:p>
    <w:p>
      <w:pPr>
        <w:pStyle w:val="4"/>
      </w:pPr>
      <w:bookmarkStart w:id="314" w:name="_Toc7930"/>
      <w:bookmarkStart w:id="315" w:name="_Toc247085725"/>
      <w:bookmarkStart w:id="316" w:name="_Toc246996954"/>
      <w:bookmarkStart w:id="317" w:name="_Toc246996211"/>
      <w:bookmarkStart w:id="318" w:name="_Toc179632585"/>
      <w:bookmarkStart w:id="319" w:name="_Toc144974535"/>
      <w:bookmarkStart w:id="320" w:name="_Toc152045567"/>
      <w:bookmarkStart w:id="321" w:name="_Toc152042343"/>
      <w:r>
        <w:rPr>
          <w:rFonts w:hint="eastAsia"/>
        </w:rPr>
        <w:t>7.1 定标方式</w:t>
      </w:r>
      <w:bookmarkEnd w:id="314"/>
      <w:bookmarkEnd w:id="315"/>
      <w:bookmarkEnd w:id="316"/>
      <w:bookmarkEnd w:id="317"/>
      <w:bookmarkEnd w:id="318"/>
      <w:bookmarkEnd w:id="319"/>
      <w:bookmarkEnd w:id="320"/>
      <w:bookmarkEnd w:id="321"/>
    </w:p>
    <w:p>
      <w:pPr>
        <w:spacing w:line="400" w:lineRule="exact"/>
        <w:ind w:firstLine="420" w:firstLineChars="200"/>
      </w:pPr>
      <w:r>
        <w:rPr>
          <w:rFonts w:hint="eastAsia"/>
        </w:rPr>
        <w:t>除投标人须知前附表规定评标委员会直接确定中标人外，招标人依据评标委员会推荐的中标候选人确定中标人，评标委员会推荐中标候选人的人数见投标人须知前附表。</w:t>
      </w:r>
    </w:p>
    <w:p>
      <w:pPr>
        <w:pStyle w:val="4"/>
      </w:pPr>
      <w:bookmarkStart w:id="322" w:name="_Toc16901"/>
      <w:r>
        <w:rPr>
          <w:rFonts w:hint="eastAsia"/>
        </w:rPr>
        <w:t>7.2 中标候选人公示</w:t>
      </w:r>
      <w:bookmarkEnd w:id="322"/>
    </w:p>
    <w:p>
      <w:pPr>
        <w:spacing w:line="400" w:lineRule="exact"/>
        <w:ind w:firstLine="420" w:firstLineChars="200"/>
      </w:pPr>
      <w:r>
        <w:rPr>
          <w:rFonts w:hint="eastAsia"/>
        </w:rPr>
        <w:t>招标人在投标人须知前附表规定的媒介公示中标候选人。</w:t>
      </w:r>
    </w:p>
    <w:p>
      <w:pPr>
        <w:pStyle w:val="4"/>
      </w:pPr>
      <w:bookmarkStart w:id="323" w:name="_Toc30736"/>
      <w:bookmarkStart w:id="324" w:name="_Toc247085726"/>
      <w:bookmarkStart w:id="325" w:name="_Toc246996955"/>
      <w:bookmarkStart w:id="326" w:name="_Toc246996212"/>
      <w:bookmarkStart w:id="327" w:name="_Toc179632586"/>
      <w:bookmarkStart w:id="328" w:name="_Toc152045568"/>
      <w:bookmarkStart w:id="329" w:name="_Toc152042344"/>
      <w:bookmarkStart w:id="330" w:name="_Toc144974536"/>
      <w:r>
        <w:rPr>
          <w:rFonts w:hint="eastAsia"/>
        </w:rPr>
        <w:t>7.3 中标通知</w:t>
      </w:r>
      <w:bookmarkEnd w:id="323"/>
      <w:bookmarkEnd w:id="324"/>
      <w:bookmarkEnd w:id="325"/>
      <w:bookmarkEnd w:id="326"/>
      <w:bookmarkEnd w:id="327"/>
      <w:bookmarkEnd w:id="328"/>
      <w:bookmarkEnd w:id="329"/>
      <w:bookmarkEnd w:id="330"/>
    </w:p>
    <w:p>
      <w:pPr>
        <w:spacing w:line="400" w:lineRule="exact"/>
        <w:ind w:firstLine="420" w:firstLineChars="200"/>
      </w:pPr>
      <w:r>
        <w:rPr>
          <w:rFonts w:hint="eastAsia"/>
        </w:rPr>
        <w:t>在本章第3.3款规定的投标有效期内，招标人以书面形式向中标人发出中标通知书，同时将中标结果通知未中标的投标人。</w:t>
      </w:r>
    </w:p>
    <w:p>
      <w:pPr>
        <w:pStyle w:val="4"/>
      </w:pPr>
      <w:bookmarkStart w:id="331" w:name="_Toc247085727"/>
      <w:bookmarkStart w:id="332" w:name="_Toc13018"/>
      <w:bookmarkStart w:id="333" w:name="_Toc246996956"/>
      <w:bookmarkStart w:id="334" w:name="_Toc152042345"/>
      <w:bookmarkStart w:id="335" w:name="_Toc246996213"/>
      <w:bookmarkStart w:id="336" w:name="_Toc179632587"/>
      <w:bookmarkStart w:id="337" w:name="_Toc152045569"/>
      <w:bookmarkStart w:id="338" w:name="_Toc144974537"/>
      <w:r>
        <w:rPr>
          <w:rFonts w:hint="eastAsia"/>
        </w:rPr>
        <w:t>7.4 履约担保</w:t>
      </w:r>
      <w:bookmarkEnd w:id="331"/>
      <w:bookmarkEnd w:id="332"/>
      <w:bookmarkEnd w:id="333"/>
      <w:bookmarkEnd w:id="334"/>
      <w:bookmarkEnd w:id="335"/>
      <w:bookmarkEnd w:id="336"/>
      <w:bookmarkEnd w:id="337"/>
      <w:bookmarkEnd w:id="338"/>
    </w:p>
    <w:p>
      <w:pPr>
        <w:spacing w:line="400" w:lineRule="exact"/>
        <w:ind w:firstLine="420" w:firstLineChars="200"/>
      </w:pPr>
      <w:r>
        <w:rPr>
          <w:rFonts w:hint="eastAsia"/>
        </w:rPr>
        <w:t>7.4.1在签订合同前，中标人应按投标人须知前附表规定的担保形式和招标文件第四章“合同条款及格式”规定的或者事先经过招标人书面认可的履约担保格式向招标人提交履约担保。除投标人须知前附表另有规定外，履约担保金额为中标合同金额的10%。</w:t>
      </w:r>
    </w:p>
    <w:p>
      <w:pPr>
        <w:spacing w:line="400" w:lineRule="exact"/>
        <w:ind w:firstLine="420" w:firstLineChars="200"/>
      </w:pPr>
      <w:r>
        <w:rPr>
          <w:rFonts w:hint="eastAsia"/>
        </w:rPr>
        <w:t>7.4.2 中标人不能按本章第7.4.1项要求提交履约担保的，视为放弃中标，其投标保证金不予退还，给招标人造成的损失超过投标保证金数额的，中标人还应当对超过部分予以赔偿。</w:t>
      </w:r>
    </w:p>
    <w:p>
      <w:pPr>
        <w:pStyle w:val="4"/>
      </w:pPr>
      <w:bookmarkStart w:id="339" w:name="_Toc247085728"/>
      <w:bookmarkStart w:id="340" w:name="_Toc31848"/>
      <w:bookmarkStart w:id="341" w:name="_Toc152045570"/>
      <w:bookmarkStart w:id="342" w:name="_Toc144974538"/>
      <w:bookmarkStart w:id="343" w:name="_Toc152042346"/>
      <w:bookmarkStart w:id="344" w:name="_Toc246996957"/>
      <w:bookmarkStart w:id="345" w:name="_Toc179632588"/>
      <w:bookmarkStart w:id="346" w:name="_Toc246996214"/>
      <w:r>
        <w:rPr>
          <w:rFonts w:hint="eastAsia"/>
        </w:rPr>
        <w:t>7.5 签订合同</w:t>
      </w:r>
      <w:bookmarkEnd w:id="339"/>
      <w:bookmarkEnd w:id="340"/>
      <w:bookmarkEnd w:id="341"/>
      <w:bookmarkEnd w:id="342"/>
      <w:bookmarkEnd w:id="343"/>
      <w:bookmarkEnd w:id="344"/>
      <w:bookmarkEnd w:id="345"/>
      <w:bookmarkEnd w:id="346"/>
    </w:p>
    <w:p>
      <w:pPr>
        <w:spacing w:line="400" w:lineRule="exact"/>
        <w:ind w:firstLine="420" w:firstLineChars="200"/>
      </w:pPr>
      <w:r>
        <w:rPr>
          <w:rFonts w:hint="eastAsia"/>
        </w:rPr>
        <w:t>7.5.1招标人和中标人应当自中标通知书发出之日起30天内，根据招标文件和中标人的投标文件订立书面合同。中标人无正当理由拒签合同的，招标人取消其中标资格，其投标保证金不予退还；给招标人造成的损失超过投标保证金数额的，中标人还应当对超过部分予以赔偿。</w:t>
      </w:r>
    </w:p>
    <w:p>
      <w:pPr>
        <w:spacing w:line="400" w:lineRule="exact"/>
        <w:ind w:firstLine="420" w:firstLineChars="200"/>
      </w:pPr>
      <w:r>
        <w:rPr>
          <w:rFonts w:hint="eastAsia"/>
        </w:rPr>
        <w:t>7.5.2 发出中标通知书后，招标人无正当理由拒签合同的，招标人向中标人退还投标保证金；给中标人造成损失的，还应当赔偿损失。</w:t>
      </w:r>
    </w:p>
    <w:p>
      <w:pPr>
        <w:pStyle w:val="3"/>
      </w:pPr>
      <w:bookmarkStart w:id="347" w:name="_Toc16366"/>
      <w:r>
        <w:rPr>
          <w:rFonts w:hint="eastAsia"/>
        </w:rPr>
        <w:t>8. 纪律和监督</w:t>
      </w:r>
      <w:bookmarkEnd w:id="347"/>
    </w:p>
    <w:p>
      <w:pPr>
        <w:pStyle w:val="4"/>
      </w:pPr>
      <w:bookmarkStart w:id="348" w:name="_Toc11004"/>
      <w:bookmarkStart w:id="349" w:name="_Toc296590983"/>
      <w:bookmarkStart w:id="350" w:name="_Toc247085733"/>
      <w:bookmarkStart w:id="351" w:name="_Toc246996962"/>
      <w:bookmarkStart w:id="352" w:name="_Toc246996219"/>
      <w:bookmarkStart w:id="353" w:name="_Toc179632593"/>
      <w:bookmarkStart w:id="354" w:name="_Toc152045575"/>
      <w:bookmarkStart w:id="355" w:name="_Toc152042351"/>
      <w:bookmarkStart w:id="356" w:name="_Toc144974543"/>
      <w:r>
        <w:rPr>
          <w:rFonts w:hint="eastAsia"/>
        </w:rPr>
        <w:t>8.1 对招标人的纪律要求</w:t>
      </w:r>
      <w:bookmarkEnd w:id="348"/>
      <w:bookmarkEnd w:id="349"/>
      <w:bookmarkEnd w:id="350"/>
      <w:bookmarkEnd w:id="351"/>
      <w:bookmarkEnd w:id="352"/>
      <w:bookmarkEnd w:id="353"/>
      <w:bookmarkEnd w:id="354"/>
      <w:bookmarkEnd w:id="355"/>
      <w:bookmarkEnd w:id="356"/>
    </w:p>
    <w:p>
      <w:pPr>
        <w:spacing w:line="400" w:lineRule="exact"/>
        <w:ind w:firstLine="420" w:firstLineChars="200"/>
      </w:pPr>
      <w:r>
        <w:rPr>
          <w:rFonts w:hint="eastAsia"/>
        </w:rPr>
        <w:t>招标人不得泄漏招标投标活动中应当保密的情况和资料，不得与投标人串通损害国家利益、社会公共利益或者他人合法权益。</w:t>
      </w:r>
    </w:p>
    <w:p>
      <w:pPr>
        <w:pStyle w:val="4"/>
      </w:pPr>
      <w:bookmarkStart w:id="357" w:name="_Toc18017"/>
      <w:bookmarkStart w:id="358" w:name="_Toc247085734"/>
      <w:bookmarkStart w:id="359" w:name="_Toc246996963"/>
      <w:bookmarkStart w:id="360" w:name="_Toc246996220"/>
      <w:bookmarkStart w:id="361" w:name="_Toc179632594"/>
      <w:bookmarkStart w:id="362" w:name="_Toc152045576"/>
      <w:bookmarkStart w:id="363" w:name="_Toc152042352"/>
      <w:bookmarkStart w:id="364" w:name="_Toc144974544"/>
      <w:r>
        <w:rPr>
          <w:rFonts w:hint="eastAsia"/>
        </w:rPr>
        <w:t>8.2 对投标人的纪律要求</w:t>
      </w:r>
      <w:bookmarkEnd w:id="357"/>
      <w:bookmarkEnd w:id="358"/>
      <w:bookmarkEnd w:id="359"/>
      <w:bookmarkEnd w:id="360"/>
      <w:bookmarkEnd w:id="361"/>
      <w:bookmarkEnd w:id="362"/>
      <w:bookmarkEnd w:id="363"/>
      <w:bookmarkEnd w:id="364"/>
    </w:p>
    <w:p>
      <w:pPr>
        <w:spacing w:line="400" w:lineRule="exact"/>
        <w:ind w:firstLine="420" w:firstLineChars="200"/>
      </w:pPr>
      <w:r>
        <w:rPr>
          <w:rFonts w:hint="eastAsia"/>
        </w:rPr>
        <w:t>投标人不得相互串通投标或者与招标人串通投标，不得向招标人或者评标委员会成员行贿谋取中标，不得以他人名义投标或者以其他方式弄虚作假骗取中标；投标人不得以任何方式干扰、影响评标工作。</w:t>
      </w:r>
    </w:p>
    <w:p>
      <w:pPr>
        <w:pStyle w:val="4"/>
      </w:pPr>
      <w:bookmarkStart w:id="365" w:name="_Toc9782"/>
      <w:bookmarkStart w:id="366" w:name="_Toc144974545"/>
      <w:bookmarkStart w:id="367" w:name="_Toc152042353"/>
      <w:bookmarkStart w:id="368" w:name="_Toc152045577"/>
      <w:bookmarkStart w:id="369" w:name="_Toc179632595"/>
      <w:bookmarkStart w:id="370" w:name="_Toc246996221"/>
      <w:bookmarkStart w:id="371" w:name="_Toc246996964"/>
      <w:bookmarkStart w:id="372" w:name="_Toc247085735"/>
      <w:r>
        <w:rPr>
          <w:rFonts w:hint="eastAsia"/>
        </w:rPr>
        <w:t>8.3 对评标委员会成员的纪律要求</w:t>
      </w:r>
      <w:bookmarkEnd w:id="365"/>
      <w:bookmarkEnd w:id="366"/>
      <w:bookmarkEnd w:id="367"/>
      <w:bookmarkEnd w:id="368"/>
      <w:bookmarkEnd w:id="369"/>
      <w:bookmarkEnd w:id="370"/>
      <w:bookmarkEnd w:id="371"/>
      <w:bookmarkEnd w:id="372"/>
    </w:p>
    <w:p>
      <w:pPr>
        <w:spacing w:line="400" w:lineRule="exact"/>
        <w:ind w:firstLine="420" w:firstLineChars="200"/>
      </w:pPr>
      <w:r>
        <w:rPr>
          <w:rFonts w:hint="eastAsia"/>
        </w:rPr>
        <w:t>评标委员会成员不得收受他人的财物或者其他好处，不得向他人透漏对投标文件的评审和比较、中标候选人的推荐情况以及评标有关的其他情况。在评标活动中，评标委员会成员应当客观、公正地履行职责，遵守职业道德，不得擅离职守，影响评标程序正常进行，不得使用第三章“评标办法”没有规定的评审因素和标准进行评标。</w:t>
      </w:r>
    </w:p>
    <w:p>
      <w:pPr>
        <w:pStyle w:val="4"/>
      </w:pPr>
      <w:bookmarkStart w:id="373" w:name="_Toc246996222"/>
      <w:bookmarkStart w:id="374" w:name="_Toc152045578"/>
      <w:bookmarkStart w:id="375" w:name="_Toc179632596"/>
      <w:bookmarkStart w:id="376" w:name="_Toc152042354"/>
      <w:bookmarkStart w:id="377" w:name="_Toc246996965"/>
      <w:bookmarkStart w:id="378" w:name="_Toc247085736"/>
      <w:bookmarkStart w:id="379" w:name="_Toc22934"/>
      <w:bookmarkStart w:id="380" w:name="_Toc144974546"/>
      <w:r>
        <w:rPr>
          <w:rFonts w:hint="eastAsia"/>
        </w:rPr>
        <w:t>8.4 对与评标活动有关的工作人员的纪律要求</w:t>
      </w:r>
      <w:bookmarkEnd w:id="373"/>
      <w:bookmarkEnd w:id="374"/>
      <w:bookmarkEnd w:id="375"/>
      <w:bookmarkEnd w:id="376"/>
      <w:bookmarkEnd w:id="377"/>
      <w:bookmarkEnd w:id="378"/>
      <w:bookmarkEnd w:id="379"/>
    </w:p>
    <w:p>
      <w:pPr>
        <w:spacing w:line="400" w:lineRule="exact"/>
        <w:ind w:firstLine="420" w:firstLineChars="200"/>
      </w:pPr>
      <w:bookmarkStart w:id="381" w:name="_Toc152042355"/>
      <w:r>
        <w:rPr>
          <w:rFonts w:hint="eastAsia"/>
        </w:rPr>
        <w:t>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bookmarkEnd w:id="381"/>
    </w:p>
    <w:p>
      <w:pPr>
        <w:pStyle w:val="4"/>
      </w:pPr>
      <w:bookmarkStart w:id="382" w:name="_Toc152042356"/>
      <w:bookmarkStart w:id="383" w:name="_Toc152045579"/>
      <w:bookmarkStart w:id="384" w:name="_Toc179632597"/>
      <w:bookmarkStart w:id="385" w:name="_Toc246996223"/>
      <w:bookmarkStart w:id="386" w:name="_Toc246996966"/>
      <w:bookmarkStart w:id="387" w:name="_Toc247085737"/>
      <w:bookmarkStart w:id="388" w:name="_Toc19464"/>
      <w:r>
        <w:rPr>
          <w:rFonts w:hint="eastAsia"/>
        </w:rPr>
        <w:t>8.5 投诉</w:t>
      </w:r>
      <w:bookmarkEnd w:id="380"/>
      <w:bookmarkEnd w:id="382"/>
      <w:bookmarkEnd w:id="383"/>
      <w:bookmarkEnd w:id="384"/>
      <w:bookmarkEnd w:id="385"/>
      <w:bookmarkEnd w:id="386"/>
      <w:bookmarkEnd w:id="387"/>
      <w:bookmarkEnd w:id="388"/>
    </w:p>
    <w:p>
      <w:pPr>
        <w:spacing w:line="400" w:lineRule="exact"/>
        <w:ind w:firstLine="420" w:firstLineChars="200"/>
      </w:pPr>
      <w:r>
        <w:rPr>
          <w:rFonts w:hint="eastAsia"/>
        </w:rPr>
        <w:t>投标人和其他利害关系人认为本次招标活动违反法律、法规和规章规定的，有权向有关行政监督部门投诉。</w:t>
      </w:r>
    </w:p>
    <w:p>
      <w:pPr>
        <w:pStyle w:val="3"/>
      </w:pPr>
      <w:bookmarkStart w:id="389" w:name="_Toc144974547"/>
      <w:bookmarkStart w:id="390" w:name="_Toc152042357"/>
      <w:bookmarkStart w:id="391" w:name="_Toc152045580"/>
      <w:bookmarkStart w:id="392" w:name="_Toc179632598"/>
      <w:bookmarkStart w:id="393" w:name="_Toc246996224"/>
      <w:bookmarkStart w:id="394" w:name="_Toc246996967"/>
      <w:bookmarkStart w:id="395" w:name="_Toc247085738"/>
      <w:bookmarkStart w:id="396" w:name="_Toc32623"/>
      <w:r>
        <w:rPr>
          <w:rFonts w:hint="eastAsia"/>
        </w:rPr>
        <w:t>9. 需要补充的其他内容</w:t>
      </w:r>
      <w:bookmarkEnd w:id="389"/>
      <w:bookmarkEnd w:id="390"/>
      <w:bookmarkEnd w:id="391"/>
      <w:bookmarkEnd w:id="392"/>
      <w:bookmarkEnd w:id="393"/>
      <w:bookmarkEnd w:id="394"/>
      <w:bookmarkEnd w:id="395"/>
      <w:bookmarkEnd w:id="396"/>
    </w:p>
    <w:p>
      <w:pPr>
        <w:spacing w:line="400" w:lineRule="exact"/>
      </w:pPr>
      <w:r>
        <w:rPr>
          <w:rFonts w:hint="eastAsia"/>
        </w:rPr>
        <w:t>需要补充的其他内容：见投标人须知前附表。</w:t>
      </w:r>
    </w:p>
    <w:p>
      <w:pPr>
        <w:spacing w:line="400" w:lineRule="exact"/>
      </w:pPr>
    </w:p>
    <w:p>
      <w:pPr>
        <w:spacing w:line="400" w:lineRule="exact"/>
        <w:sectPr>
          <w:pgSz w:w="11906" w:h="16838"/>
          <w:pgMar w:top="1440" w:right="1797" w:bottom="1402" w:left="1797" w:header="851" w:footer="992" w:gutter="0"/>
          <w:cols w:space="720" w:num="1"/>
          <w:docGrid w:type="lines" w:linePitch="312" w:charSpace="0"/>
        </w:sectPr>
      </w:pPr>
    </w:p>
    <w:p>
      <w:pPr>
        <w:pStyle w:val="3"/>
        <w:rPr>
          <w:rFonts w:hint="eastAsia"/>
        </w:rPr>
      </w:pPr>
      <w:bookmarkStart w:id="397" w:name="_Toc144974548"/>
      <w:bookmarkStart w:id="398" w:name="_Toc152042358"/>
      <w:bookmarkStart w:id="399" w:name="_Toc152045581"/>
      <w:bookmarkStart w:id="400" w:name="_Toc179632599"/>
      <w:bookmarkStart w:id="401" w:name="_Toc247085739"/>
      <w:bookmarkStart w:id="402" w:name="_Toc296602469"/>
      <w:bookmarkStart w:id="403" w:name="_Toc29623"/>
      <w:r>
        <w:rPr>
          <w:rFonts w:hint="eastAsia"/>
        </w:rPr>
        <w:t>附</w:t>
      </w:r>
      <w:bookmarkEnd w:id="397"/>
      <w:bookmarkEnd w:id="398"/>
      <w:bookmarkEnd w:id="399"/>
      <w:bookmarkEnd w:id="400"/>
      <w:bookmarkEnd w:id="401"/>
      <w:bookmarkEnd w:id="402"/>
      <w:bookmarkEnd w:id="403"/>
      <w:r>
        <w:rPr>
          <w:rFonts w:hint="eastAsia"/>
        </w:rPr>
        <w:t>件一：开标记录表</w:t>
      </w:r>
    </w:p>
    <w:p>
      <w:pPr>
        <w:spacing w:line="400" w:lineRule="exact"/>
        <w:jc w:val="center"/>
        <w:rPr>
          <w:rFonts w:hint="eastAsia" w:ascii="黑体" w:eastAsia="黑体"/>
          <w:sz w:val="28"/>
          <w:szCs w:val="28"/>
        </w:rPr>
      </w:pPr>
      <w:r>
        <w:rPr>
          <w:rFonts w:hint="eastAsia" w:ascii="黑体" w:eastAsia="黑体"/>
          <w:sz w:val="28"/>
          <w:szCs w:val="28"/>
          <w:u w:val="single"/>
        </w:rPr>
        <w:t xml:space="preserve">        </w:t>
      </w:r>
      <w:r>
        <w:rPr>
          <w:rFonts w:hint="eastAsia" w:ascii="黑体" w:eastAsia="黑体"/>
          <w:sz w:val="28"/>
          <w:szCs w:val="28"/>
        </w:rPr>
        <w:t>（项目名称）开标记录表（参考格式）</w:t>
      </w:r>
    </w:p>
    <w:p>
      <w:pPr>
        <w:spacing w:line="500" w:lineRule="exact"/>
        <w:ind w:firstLine="3465" w:firstLineChars="1650"/>
        <w:rPr>
          <w:rFonts w:hint="eastAsia"/>
        </w:rPr>
      </w:pPr>
      <w:r>
        <w:rPr>
          <w:rFonts w:hint="eastAsia" w:eastAsia="黑体"/>
          <w:szCs w:val="21"/>
        </w:rPr>
        <w:t>开标时间：</w:t>
      </w:r>
      <w:r>
        <w:rPr>
          <w:rFonts w:hint="eastAsia" w:ascii="黑体" w:eastAsia="黑体"/>
          <w:sz w:val="28"/>
          <w:szCs w:val="28"/>
          <w:u w:val="single"/>
        </w:rPr>
        <w:t xml:space="preserve">    </w:t>
      </w:r>
      <w:r>
        <w:rPr>
          <w:rFonts w:hint="eastAsia" w:eastAsia="黑体"/>
          <w:szCs w:val="21"/>
        </w:rPr>
        <w:t>年</w:t>
      </w:r>
      <w:r>
        <w:rPr>
          <w:rFonts w:hint="eastAsia" w:ascii="黑体" w:eastAsia="黑体"/>
          <w:sz w:val="28"/>
          <w:szCs w:val="28"/>
          <w:u w:val="single"/>
        </w:rPr>
        <w:t xml:space="preserve">    </w:t>
      </w:r>
      <w:r>
        <w:rPr>
          <w:rFonts w:hint="eastAsia" w:eastAsia="黑体"/>
          <w:szCs w:val="21"/>
        </w:rPr>
        <w:t>月</w:t>
      </w:r>
      <w:r>
        <w:rPr>
          <w:rFonts w:hint="eastAsia" w:ascii="黑体" w:eastAsia="黑体"/>
          <w:sz w:val="28"/>
          <w:szCs w:val="28"/>
          <w:u w:val="single"/>
        </w:rPr>
        <w:t xml:space="preserve">    </w:t>
      </w:r>
      <w:r>
        <w:rPr>
          <w:rFonts w:hint="eastAsia" w:eastAsia="黑体"/>
          <w:szCs w:val="21"/>
        </w:rPr>
        <w:t>日</w:t>
      </w:r>
      <w:r>
        <w:rPr>
          <w:rFonts w:hint="eastAsia" w:ascii="黑体" w:eastAsia="黑体"/>
          <w:sz w:val="28"/>
          <w:szCs w:val="28"/>
          <w:u w:val="single"/>
        </w:rPr>
        <w:t xml:space="preserve">    </w:t>
      </w:r>
      <w:r>
        <w:rPr>
          <w:rFonts w:hint="eastAsia" w:eastAsia="黑体"/>
          <w:szCs w:val="21"/>
        </w:rPr>
        <w:t>时</w:t>
      </w:r>
      <w:r>
        <w:rPr>
          <w:rFonts w:hint="eastAsia" w:ascii="黑体" w:eastAsia="黑体"/>
          <w:sz w:val="28"/>
          <w:szCs w:val="28"/>
          <w:u w:val="single"/>
        </w:rPr>
        <w:t xml:space="preserve">    </w:t>
      </w:r>
      <w:r>
        <w:rPr>
          <w:rFonts w:hint="eastAsia" w:eastAsia="黑体"/>
          <w:szCs w:val="21"/>
        </w:rPr>
        <w:t>分</w:t>
      </w:r>
    </w:p>
    <w:tbl>
      <w:tblPr>
        <w:tblStyle w:val="41"/>
        <w:tblW w:w="1407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42"/>
        <w:gridCol w:w="2538"/>
        <w:gridCol w:w="1066"/>
        <w:gridCol w:w="935"/>
        <w:gridCol w:w="991"/>
        <w:gridCol w:w="1219"/>
        <w:gridCol w:w="1158"/>
        <w:gridCol w:w="1463"/>
        <w:gridCol w:w="1066"/>
        <w:gridCol w:w="642"/>
        <w:gridCol w:w="1066"/>
        <w:gridCol w:w="642"/>
        <w:gridCol w:w="64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6" w:hRule="atLeast"/>
        </w:trPr>
        <w:tc>
          <w:tcPr>
            <w:tcW w:w="642" w:type="dxa"/>
            <w:tcBorders>
              <w:top w:val="single" w:color="auto" w:sz="4" w:space="0"/>
              <w:left w:val="single" w:color="auto" w:sz="4" w:space="0"/>
              <w:bottom w:val="single" w:color="auto" w:sz="4" w:space="0"/>
              <w:right w:val="single" w:color="auto" w:sz="4" w:space="0"/>
            </w:tcBorders>
            <w:vAlign w:val="center"/>
          </w:tcPr>
          <w:p>
            <w:pPr>
              <w:jc w:val="center"/>
              <w:rPr>
                <w:rFonts w:eastAsia="黑体"/>
                <w:szCs w:val="21"/>
              </w:rPr>
            </w:pPr>
            <w:r>
              <w:rPr>
                <w:rFonts w:eastAsia="黑体"/>
                <w:szCs w:val="21"/>
              </w:rPr>
              <w:t>序号</w:t>
            </w:r>
          </w:p>
        </w:tc>
        <w:tc>
          <w:tcPr>
            <w:tcW w:w="2538" w:type="dxa"/>
            <w:tcBorders>
              <w:top w:val="single" w:color="auto" w:sz="4" w:space="0"/>
              <w:left w:val="single" w:color="auto" w:sz="4" w:space="0"/>
              <w:bottom w:val="single" w:color="auto" w:sz="4" w:space="0"/>
              <w:right w:val="single" w:color="auto" w:sz="4" w:space="0"/>
            </w:tcBorders>
            <w:vAlign w:val="center"/>
          </w:tcPr>
          <w:p>
            <w:pPr>
              <w:jc w:val="center"/>
              <w:rPr>
                <w:rFonts w:eastAsia="黑体"/>
                <w:szCs w:val="21"/>
              </w:rPr>
            </w:pPr>
            <w:r>
              <w:rPr>
                <w:rFonts w:eastAsia="黑体"/>
                <w:szCs w:val="21"/>
              </w:rPr>
              <w:t>投标人</w:t>
            </w:r>
          </w:p>
        </w:tc>
        <w:tc>
          <w:tcPr>
            <w:tcW w:w="1066" w:type="dxa"/>
            <w:tcBorders>
              <w:top w:val="single" w:color="auto" w:sz="4" w:space="0"/>
              <w:left w:val="single" w:color="auto" w:sz="4" w:space="0"/>
              <w:bottom w:val="single" w:color="auto" w:sz="4" w:space="0"/>
              <w:right w:val="single" w:color="auto" w:sz="4" w:space="0"/>
            </w:tcBorders>
            <w:vAlign w:val="center"/>
          </w:tcPr>
          <w:p>
            <w:pPr>
              <w:jc w:val="center"/>
              <w:rPr>
                <w:rFonts w:eastAsia="黑体"/>
                <w:szCs w:val="21"/>
              </w:rPr>
            </w:pPr>
            <w:r>
              <w:rPr>
                <w:rFonts w:eastAsia="黑体"/>
                <w:szCs w:val="21"/>
              </w:rPr>
              <w:t>密封情况</w:t>
            </w:r>
          </w:p>
        </w:tc>
        <w:tc>
          <w:tcPr>
            <w:tcW w:w="935" w:type="dxa"/>
            <w:tcBorders>
              <w:top w:val="single" w:color="auto" w:sz="4" w:space="0"/>
              <w:left w:val="single" w:color="auto" w:sz="4" w:space="0"/>
              <w:bottom w:val="single" w:color="auto" w:sz="4" w:space="0"/>
              <w:right w:val="single" w:color="auto" w:sz="4" w:space="0"/>
            </w:tcBorders>
            <w:vAlign w:val="center"/>
          </w:tcPr>
          <w:p>
            <w:pPr>
              <w:jc w:val="center"/>
              <w:rPr>
                <w:rFonts w:eastAsia="黑体"/>
                <w:szCs w:val="21"/>
              </w:rPr>
            </w:pPr>
            <w:r>
              <w:rPr>
                <w:rFonts w:eastAsia="黑体"/>
                <w:szCs w:val="21"/>
              </w:rPr>
              <w:t>投标保证金</w:t>
            </w:r>
          </w:p>
        </w:tc>
        <w:tc>
          <w:tcPr>
            <w:tcW w:w="991"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黑体"/>
                <w:szCs w:val="21"/>
              </w:rPr>
            </w:pPr>
            <w:r>
              <w:rPr>
                <w:rFonts w:hint="eastAsia" w:eastAsia="黑体"/>
                <w:szCs w:val="21"/>
              </w:rPr>
              <w:t>规费</w:t>
            </w:r>
          </w:p>
        </w:tc>
        <w:tc>
          <w:tcPr>
            <w:tcW w:w="1219"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黑体"/>
                <w:szCs w:val="21"/>
              </w:rPr>
            </w:pPr>
            <w:r>
              <w:rPr>
                <w:rFonts w:hint="eastAsia" w:eastAsia="黑体"/>
                <w:szCs w:val="21"/>
              </w:rPr>
              <w:t>安全文明措施费</w:t>
            </w:r>
          </w:p>
        </w:tc>
        <w:tc>
          <w:tcPr>
            <w:tcW w:w="1158"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黑体"/>
                <w:szCs w:val="21"/>
              </w:rPr>
            </w:pPr>
            <w:r>
              <w:rPr>
                <w:rFonts w:hint="eastAsia" w:eastAsia="黑体"/>
                <w:szCs w:val="21"/>
              </w:rPr>
              <w:t>税金</w:t>
            </w:r>
          </w:p>
        </w:tc>
        <w:tc>
          <w:tcPr>
            <w:tcW w:w="1463" w:type="dxa"/>
            <w:tcBorders>
              <w:top w:val="single" w:color="auto" w:sz="4" w:space="0"/>
              <w:left w:val="single" w:color="auto" w:sz="4" w:space="0"/>
              <w:bottom w:val="single" w:color="auto" w:sz="4" w:space="0"/>
              <w:right w:val="single" w:color="auto" w:sz="4" w:space="0"/>
            </w:tcBorders>
            <w:vAlign w:val="center"/>
          </w:tcPr>
          <w:p>
            <w:pPr>
              <w:jc w:val="center"/>
              <w:rPr>
                <w:rFonts w:eastAsia="黑体"/>
                <w:szCs w:val="21"/>
              </w:rPr>
            </w:pPr>
            <w:r>
              <w:rPr>
                <w:rFonts w:hint="eastAsia" w:eastAsia="黑体"/>
                <w:szCs w:val="21"/>
              </w:rPr>
              <w:t>投标报价（元）</w:t>
            </w:r>
          </w:p>
        </w:tc>
        <w:tc>
          <w:tcPr>
            <w:tcW w:w="1066"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黑体"/>
                <w:szCs w:val="21"/>
              </w:rPr>
            </w:pPr>
            <w:r>
              <w:rPr>
                <w:rFonts w:eastAsia="黑体"/>
                <w:szCs w:val="21"/>
              </w:rPr>
              <w:t>质量</w:t>
            </w:r>
            <w:r>
              <w:rPr>
                <w:rFonts w:hint="eastAsia" w:eastAsia="黑体"/>
                <w:szCs w:val="21"/>
              </w:rPr>
              <w:t>标准</w:t>
            </w:r>
          </w:p>
        </w:tc>
        <w:tc>
          <w:tcPr>
            <w:tcW w:w="642" w:type="dxa"/>
            <w:tcBorders>
              <w:top w:val="single" w:color="auto" w:sz="4" w:space="0"/>
              <w:left w:val="single" w:color="auto" w:sz="4" w:space="0"/>
              <w:bottom w:val="single" w:color="auto" w:sz="4" w:space="0"/>
              <w:right w:val="single" w:color="auto" w:sz="4" w:space="0"/>
            </w:tcBorders>
            <w:vAlign w:val="center"/>
          </w:tcPr>
          <w:p>
            <w:pPr>
              <w:jc w:val="center"/>
              <w:rPr>
                <w:rFonts w:eastAsia="黑体"/>
                <w:szCs w:val="21"/>
              </w:rPr>
            </w:pPr>
            <w:r>
              <w:rPr>
                <w:rFonts w:eastAsia="黑体"/>
                <w:szCs w:val="21"/>
              </w:rPr>
              <w:t>工期</w:t>
            </w:r>
          </w:p>
        </w:tc>
        <w:tc>
          <w:tcPr>
            <w:tcW w:w="1066"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黑体"/>
                <w:szCs w:val="21"/>
              </w:rPr>
            </w:pPr>
            <w:r>
              <w:rPr>
                <w:rFonts w:hint="eastAsia" w:eastAsia="黑体"/>
                <w:szCs w:val="21"/>
              </w:rPr>
              <w:t>项目经理</w:t>
            </w:r>
          </w:p>
        </w:tc>
        <w:tc>
          <w:tcPr>
            <w:tcW w:w="642" w:type="dxa"/>
            <w:tcBorders>
              <w:top w:val="single" w:color="auto" w:sz="4" w:space="0"/>
              <w:left w:val="single" w:color="auto" w:sz="4" w:space="0"/>
              <w:bottom w:val="single" w:color="auto" w:sz="4" w:space="0"/>
              <w:right w:val="single" w:color="auto" w:sz="4" w:space="0"/>
            </w:tcBorders>
            <w:vAlign w:val="center"/>
          </w:tcPr>
          <w:p>
            <w:pPr>
              <w:jc w:val="center"/>
              <w:rPr>
                <w:rFonts w:eastAsia="黑体"/>
                <w:szCs w:val="21"/>
              </w:rPr>
            </w:pPr>
            <w:r>
              <w:rPr>
                <w:rFonts w:eastAsia="黑体"/>
                <w:szCs w:val="21"/>
              </w:rPr>
              <w:t>备注</w:t>
            </w:r>
          </w:p>
        </w:tc>
        <w:tc>
          <w:tcPr>
            <w:tcW w:w="645" w:type="dxa"/>
            <w:tcBorders>
              <w:top w:val="single" w:color="auto" w:sz="4" w:space="0"/>
              <w:left w:val="single" w:color="auto" w:sz="4" w:space="0"/>
              <w:bottom w:val="single" w:color="auto" w:sz="4" w:space="0"/>
              <w:right w:val="single" w:color="auto" w:sz="4" w:space="0"/>
            </w:tcBorders>
            <w:vAlign w:val="center"/>
          </w:tcPr>
          <w:p>
            <w:pPr>
              <w:jc w:val="center"/>
              <w:rPr>
                <w:rFonts w:eastAsia="黑体"/>
                <w:szCs w:val="21"/>
              </w:rPr>
            </w:pPr>
            <w:r>
              <w:rPr>
                <w:rFonts w:eastAsia="黑体"/>
                <w:szCs w:val="21"/>
              </w:rPr>
              <w:t>签名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6" w:hRule="atLeast"/>
        </w:trPr>
        <w:tc>
          <w:tcPr>
            <w:tcW w:w="642" w:type="dxa"/>
            <w:tcBorders>
              <w:top w:val="single" w:color="auto" w:sz="4" w:space="0"/>
              <w:left w:val="single" w:color="auto" w:sz="4" w:space="0"/>
              <w:bottom w:val="single" w:color="auto" w:sz="4" w:space="0"/>
              <w:right w:val="single" w:color="auto" w:sz="4" w:space="0"/>
            </w:tcBorders>
            <w:vAlign w:val="top"/>
          </w:tcPr>
          <w:p>
            <w:pPr>
              <w:spacing w:line="500" w:lineRule="exact"/>
              <w:jc w:val="left"/>
              <w:rPr>
                <w:szCs w:val="21"/>
              </w:rPr>
            </w:pPr>
          </w:p>
        </w:tc>
        <w:tc>
          <w:tcPr>
            <w:tcW w:w="2538" w:type="dxa"/>
            <w:tcBorders>
              <w:top w:val="single" w:color="auto" w:sz="4" w:space="0"/>
              <w:left w:val="single" w:color="auto" w:sz="4" w:space="0"/>
              <w:bottom w:val="single" w:color="auto" w:sz="4" w:space="0"/>
              <w:right w:val="single" w:color="auto" w:sz="4" w:space="0"/>
            </w:tcBorders>
            <w:vAlign w:val="top"/>
          </w:tcPr>
          <w:p>
            <w:pPr>
              <w:spacing w:line="500" w:lineRule="exact"/>
              <w:jc w:val="left"/>
              <w:rPr>
                <w:szCs w:val="21"/>
              </w:rPr>
            </w:pPr>
          </w:p>
        </w:tc>
        <w:tc>
          <w:tcPr>
            <w:tcW w:w="1066" w:type="dxa"/>
            <w:tcBorders>
              <w:top w:val="single" w:color="auto" w:sz="4" w:space="0"/>
              <w:left w:val="single" w:color="auto" w:sz="4" w:space="0"/>
              <w:bottom w:val="single" w:color="auto" w:sz="4" w:space="0"/>
              <w:right w:val="single" w:color="auto" w:sz="4" w:space="0"/>
            </w:tcBorders>
            <w:vAlign w:val="top"/>
          </w:tcPr>
          <w:p>
            <w:pPr>
              <w:spacing w:line="500" w:lineRule="exact"/>
              <w:jc w:val="left"/>
              <w:rPr>
                <w:szCs w:val="21"/>
              </w:rPr>
            </w:pPr>
          </w:p>
        </w:tc>
        <w:tc>
          <w:tcPr>
            <w:tcW w:w="935" w:type="dxa"/>
            <w:tcBorders>
              <w:top w:val="single" w:color="auto" w:sz="4" w:space="0"/>
              <w:left w:val="single" w:color="auto" w:sz="4" w:space="0"/>
              <w:bottom w:val="single" w:color="auto" w:sz="4" w:space="0"/>
              <w:right w:val="single" w:color="auto" w:sz="4" w:space="0"/>
            </w:tcBorders>
            <w:vAlign w:val="top"/>
          </w:tcPr>
          <w:p>
            <w:pPr>
              <w:spacing w:line="500" w:lineRule="exact"/>
              <w:jc w:val="left"/>
              <w:rPr>
                <w:szCs w:val="21"/>
              </w:rPr>
            </w:pPr>
          </w:p>
        </w:tc>
        <w:tc>
          <w:tcPr>
            <w:tcW w:w="991" w:type="dxa"/>
            <w:tcBorders>
              <w:top w:val="single" w:color="auto" w:sz="4" w:space="0"/>
              <w:left w:val="single" w:color="auto" w:sz="4" w:space="0"/>
              <w:bottom w:val="single" w:color="auto" w:sz="4" w:space="0"/>
              <w:right w:val="single" w:color="auto" w:sz="4" w:space="0"/>
            </w:tcBorders>
            <w:vAlign w:val="top"/>
          </w:tcPr>
          <w:p>
            <w:pPr>
              <w:spacing w:line="500" w:lineRule="exact"/>
              <w:jc w:val="left"/>
              <w:rPr>
                <w:szCs w:val="21"/>
              </w:rPr>
            </w:pPr>
          </w:p>
        </w:tc>
        <w:tc>
          <w:tcPr>
            <w:tcW w:w="1219" w:type="dxa"/>
            <w:tcBorders>
              <w:top w:val="single" w:color="auto" w:sz="4" w:space="0"/>
              <w:left w:val="single" w:color="auto" w:sz="4" w:space="0"/>
              <w:bottom w:val="single" w:color="auto" w:sz="4" w:space="0"/>
              <w:right w:val="single" w:color="auto" w:sz="4" w:space="0"/>
            </w:tcBorders>
            <w:vAlign w:val="top"/>
          </w:tcPr>
          <w:p>
            <w:pPr>
              <w:spacing w:line="500" w:lineRule="exact"/>
              <w:jc w:val="left"/>
              <w:rPr>
                <w:szCs w:val="21"/>
              </w:rPr>
            </w:pPr>
          </w:p>
        </w:tc>
        <w:tc>
          <w:tcPr>
            <w:tcW w:w="1158" w:type="dxa"/>
            <w:tcBorders>
              <w:top w:val="single" w:color="auto" w:sz="4" w:space="0"/>
              <w:left w:val="single" w:color="auto" w:sz="4" w:space="0"/>
              <w:bottom w:val="single" w:color="auto" w:sz="4" w:space="0"/>
              <w:right w:val="single" w:color="auto" w:sz="4" w:space="0"/>
            </w:tcBorders>
            <w:vAlign w:val="top"/>
          </w:tcPr>
          <w:p>
            <w:pPr>
              <w:spacing w:line="500" w:lineRule="exact"/>
              <w:jc w:val="left"/>
              <w:rPr>
                <w:szCs w:val="21"/>
              </w:rPr>
            </w:pPr>
          </w:p>
        </w:tc>
        <w:tc>
          <w:tcPr>
            <w:tcW w:w="1463" w:type="dxa"/>
            <w:tcBorders>
              <w:top w:val="single" w:color="auto" w:sz="4" w:space="0"/>
              <w:left w:val="single" w:color="auto" w:sz="4" w:space="0"/>
              <w:bottom w:val="single" w:color="auto" w:sz="4" w:space="0"/>
              <w:right w:val="single" w:color="auto" w:sz="4" w:space="0"/>
            </w:tcBorders>
            <w:vAlign w:val="top"/>
          </w:tcPr>
          <w:p>
            <w:pPr>
              <w:spacing w:line="500" w:lineRule="exact"/>
              <w:jc w:val="left"/>
              <w:rPr>
                <w:szCs w:val="21"/>
              </w:rPr>
            </w:pPr>
          </w:p>
        </w:tc>
        <w:tc>
          <w:tcPr>
            <w:tcW w:w="1066" w:type="dxa"/>
            <w:tcBorders>
              <w:top w:val="single" w:color="auto" w:sz="4" w:space="0"/>
              <w:left w:val="single" w:color="auto" w:sz="4" w:space="0"/>
              <w:bottom w:val="single" w:color="auto" w:sz="4" w:space="0"/>
              <w:right w:val="single" w:color="auto" w:sz="4" w:space="0"/>
            </w:tcBorders>
            <w:vAlign w:val="top"/>
          </w:tcPr>
          <w:p>
            <w:pPr>
              <w:spacing w:line="500" w:lineRule="exact"/>
              <w:jc w:val="left"/>
              <w:rPr>
                <w:szCs w:val="21"/>
              </w:rPr>
            </w:pPr>
          </w:p>
        </w:tc>
        <w:tc>
          <w:tcPr>
            <w:tcW w:w="642" w:type="dxa"/>
            <w:tcBorders>
              <w:top w:val="single" w:color="auto" w:sz="4" w:space="0"/>
              <w:left w:val="single" w:color="auto" w:sz="4" w:space="0"/>
              <w:bottom w:val="single" w:color="auto" w:sz="4" w:space="0"/>
              <w:right w:val="single" w:color="auto" w:sz="4" w:space="0"/>
            </w:tcBorders>
            <w:vAlign w:val="top"/>
          </w:tcPr>
          <w:p>
            <w:pPr>
              <w:spacing w:line="500" w:lineRule="exact"/>
              <w:jc w:val="left"/>
              <w:rPr>
                <w:szCs w:val="21"/>
              </w:rPr>
            </w:pPr>
          </w:p>
        </w:tc>
        <w:tc>
          <w:tcPr>
            <w:tcW w:w="1066" w:type="dxa"/>
            <w:tcBorders>
              <w:top w:val="single" w:color="auto" w:sz="4" w:space="0"/>
              <w:left w:val="single" w:color="auto" w:sz="4" w:space="0"/>
              <w:bottom w:val="single" w:color="auto" w:sz="4" w:space="0"/>
              <w:right w:val="single" w:color="auto" w:sz="4" w:space="0"/>
            </w:tcBorders>
            <w:vAlign w:val="top"/>
          </w:tcPr>
          <w:p>
            <w:pPr>
              <w:spacing w:line="500" w:lineRule="exact"/>
              <w:jc w:val="left"/>
              <w:rPr>
                <w:rFonts w:hint="eastAsia"/>
                <w:szCs w:val="21"/>
              </w:rPr>
            </w:pPr>
          </w:p>
        </w:tc>
        <w:tc>
          <w:tcPr>
            <w:tcW w:w="642" w:type="dxa"/>
            <w:tcBorders>
              <w:top w:val="single" w:color="auto" w:sz="4" w:space="0"/>
              <w:left w:val="single" w:color="auto" w:sz="4" w:space="0"/>
              <w:bottom w:val="single" w:color="auto" w:sz="4" w:space="0"/>
              <w:right w:val="single" w:color="auto" w:sz="4" w:space="0"/>
            </w:tcBorders>
            <w:vAlign w:val="top"/>
          </w:tcPr>
          <w:p>
            <w:pPr>
              <w:spacing w:line="500" w:lineRule="exact"/>
              <w:jc w:val="left"/>
              <w:rPr>
                <w:rFonts w:hint="eastAsia"/>
                <w:szCs w:val="21"/>
              </w:rPr>
            </w:pPr>
          </w:p>
        </w:tc>
        <w:tc>
          <w:tcPr>
            <w:tcW w:w="645" w:type="dxa"/>
            <w:tcBorders>
              <w:top w:val="single" w:color="auto" w:sz="4" w:space="0"/>
              <w:left w:val="single" w:color="auto" w:sz="4" w:space="0"/>
              <w:bottom w:val="single" w:color="auto" w:sz="4" w:space="0"/>
              <w:right w:val="single" w:color="auto" w:sz="4" w:space="0"/>
            </w:tcBorders>
            <w:vAlign w:val="top"/>
          </w:tcPr>
          <w:p>
            <w:pPr>
              <w:spacing w:line="500" w:lineRule="exact"/>
              <w:jc w:val="left"/>
              <w:rPr>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6" w:hRule="atLeast"/>
        </w:trPr>
        <w:tc>
          <w:tcPr>
            <w:tcW w:w="642" w:type="dxa"/>
            <w:tcBorders>
              <w:top w:val="single" w:color="auto" w:sz="4" w:space="0"/>
              <w:left w:val="single" w:color="auto" w:sz="4" w:space="0"/>
              <w:bottom w:val="single" w:color="auto" w:sz="4" w:space="0"/>
              <w:right w:val="single" w:color="auto" w:sz="4" w:space="0"/>
            </w:tcBorders>
            <w:vAlign w:val="top"/>
          </w:tcPr>
          <w:p>
            <w:pPr>
              <w:spacing w:line="500" w:lineRule="exact"/>
              <w:jc w:val="left"/>
              <w:rPr>
                <w:szCs w:val="21"/>
              </w:rPr>
            </w:pPr>
          </w:p>
        </w:tc>
        <w:tc>
          <w:tcPr>
            <w:tcW w:w="2538" w:type="dxa"/>
            <w:tcBorders>
              <w:top w:val="single" w:color="auto" w:sz="4" w:space="0"/>
              <w:left w:val="single" w:color="auto" w:sz="4" w:space="0"/>
              <w:bottom w:val="single" w:color="auto" w:sz="4" w:space="0"/>
              <w:right w:val="single" w:color="auto" w:sz="4" w:space="0"/>
            </w:tcBorders>
            <w:vAlign w:val="top"/>
          </w:tcPr>
          <w:p>
            <w:pPr>
              <w:spacing w:line="500" w:lineRule="exact"/>
              <w:jc w:val="left"/>
              <w:rPr>
                <w:szCs w:val="21"/>
              </w:rPr>
            </w:pPr>
          </w:p>
        </w:tc>
        <w:tc>
          <w:tcPr>
            <w:tcW w:w="1066" w:type="dxa"/>
            <w:tcBorders>
              <w:top w:val="single" w:color="auto" w:sz="4" w:space="0"/>
              <w:left w:val="single" w:color="auto" w:sz="4" w:space="0"/>
              <w:bottom w:val="single" w:color="auto" w:sz="4" w:space="0"/>
              <w:right w:val="single" w:color="auto" w:sz="4" w:space="0"/>
            </w:tcBorders>
            <w:vAlign w:val="top"/>
          </w:tcPr>
          <w:p>
            <w:pPr>
              <w:spacing w:line="500" w:lineRule="exact"/>
              <w:jc w:val="left"/>
              <w:rPr>
                <w:szCs w:val="21"/>
              </w:rPr>
            </w:pPr>
          </w:p>
        </w:tc>
        <w:tc>
          <w:tcPr>
            <w:tcW w:w="935" w:type="dxa"/>
            <w:tcBorders>
              <w:top w:val="single" w:color="auto" w:sz="4" w:space="0"/>
              <w:left w:val="single" w:color="auto" w:sz="4" w:space="0"/>
              <w:bottom w:val="single" w:color="auto" w:sz="4" w:space="0"/>
              <w:right w:val="single" w:color="auto" w:sz="4" w:space="0"/>
            </w:tcBorders>
            <w:vAlign w:val="top"/>
          </w:tcPr>
          <w:p>
            <w:pPr>
              <w:spacing w:line="500" w:lineRule="exact"/>
              <w:jc w:val="left"/>
              <w:rPr>
                <w:szCs w:val="21"/>
              </w:rPr>
            </w:pPr>
          </w:p>
        </w:tc>
        <w:tc>
          <w:tcPr>
            <w:tcW w:w="991" w:type="dxa"/>
            <w:tcBorders>
              <w:top w:val="single" w:color="auto" w:sz="4" w:space="0"/>
              <w:left w:val="single" w:color="auto" w:sz="4" w:space="0"/>
              <w:bottom w:val="single" w:color="auto" w:sz="4" w:space="0"/>
              <w:right w:val="single" w:color="auto" w:sz="4" w:space="0"/>
            </w:tcBorders>
            <w:vAlign w:val="top"/>
          </w:tcPr>
          <w:p>
            <w:pPr>
              <w:spacing w:line="500" w:lineRule="exact"/>
              <w:jc w:val="left"/>
              <w:rPr>
                <w:szCs w:val="21"/>
              </w:rPr>
            </w:pPr>
          </w:p>
        </w:tc>
        <w:tc>
          <w:tcPr>
            <w:tcW w:w="1219" w:type="dxa"/>
            <w:tcBorders>
              <w:top w:val="single" w:color="auto" w:sz="4" w:space="0"/>
              <w:left w:val="single" w:color="auto" w:sz="4" w:space="0"/>
              <w:bottom w:val="single" w:color="auto" w:sz="4" w:space="0"/>
              <w:right w:val="single" w:color="auto" w:sz="4" w:space="0"/>
            </w:tcBorders>
            <w:vAlign w:val="top"/>
          </w:tcPr>
          <w:p>
            <w:pPr>
              <w:spacing w:line="500" w:lineRule="exact"/>
              <w:jc w:val="left"/>
              <w:rPr>
                <w:szCs w:val="21"/>
              </w:rPr>
            </w:pPr>
          </w:p>
        </w:tc>
        <w:tc>
          <w:tcPr>
            <w:tcW w:w="1158" w:type="dxa"/>
            <w:tcBorders>
              <w:top w:val="single" w:color="auto" w:sz="4" w:space="0"/>
              <w:left w:val="single" w:color="auto" w:sz="4" w:space="0"/>
              <w:bottom w:val="single" w:color="auto" w:sz="4" w:space="0"/>
              <w:right w:val="single" w:color="auto" w:sz="4" w:space="0"/>
            </w:tcBorders>
            <w:vAlign w:val="top"/>
          </w:tcPr>
          <w:p>
            <w:pPr>
              <w:spacing w:line="500" w:lineRule="exact"/>
              <w:jc w:val="left"/>
              <w:rPr>
                <w:szCs w:val="21"/>
              </w:rPr>
            </w:pPr>
          </w:p>
        </w:tc>
        <w:tc>
          <w:tcPr>
            <w:tcW w:w="1463" w:type="dxa"/>
            <w:tcBorders>
              <w:top w:val="single" w:color="auto" w:sz="4" w:space="0"/>
              <w:left w:val="single" w:color="auto" w:sz="4" w:space="0"/>
              <w:bottom w:val="single" w:color="auto" w:sz="4" w:space="0"/>
              <w:right w:val="single" w:color="auto" w:sz="4" w:space="0"/>
            </w:tcBorders>
            <w:vAlign w:val="top"/>
          </w:tcPr>
          <w:p>
            <w:pPr>
              <w:spacing w:line="500" w:lineRule="exact"/>
              <w:jc w:val="left"/>
              <w:rPr>
                <w:szCs w:val="21"/>
              </w:rPr>
            </w:pPr>
          </w:p>
        </w:tc>
        <w:tc>
          <w:tcPr>
            <w:tcW w:w="1066" w:type="dxa"/>
            <w:tcBorders>
              <w:top w:val="single" w:color="auto" w:sz="4" w:space="0"/>
              <w:left w:val="single" w:color="auto" w:sz="4" w:space="0"/>
              <w:bottom w:val="single" w:color="auto" w:sz="4" w:space="0"/>
              <w:right w:val="single" w:color="auto" w:sz="4" w:space="0"/>
            </w:tcBorders>
            <w:vAlign w:val="top"/>
          </w:tcPr>
          <w:p>
            <w:pPr>
              <w:spacing w:line="500" w:lineRule="exact"/>
              <w:jc w:val="left"/>
              <w:rPr>
                <w:szCs w:val="21"/>
              </w:rPr>
            </w:pPr>
          </w:p>
        </w:tc>
        <w:tc>
          <w:tcPr>
            <w:tcW w:w="642" w:type="dxa"/>
            <w:tcBorders>
              <w:top w:val="single" w:color="auto" w:sz="4" w:space="0"/>
              <w:left w:val="single" w:color="auto" w:sz="4" w:space="0"/>
              <w:bottom w:val="single" w:color="auto" w:sz="4" w:space="0"/>
              <w:right w:val="single" w:color="auto" w:sz="4" w:space="0"/>
            </w:tcBorders>
            <w:vAlign w:val="top"/>
          </w:tcPr>
          <w:p>
            <w:pPr>
              <w:spacing w:line="500" w:lineRule="exact"/>
              <w:jc w:val="left"/>
              <w:rPr>
                <w:szCs w:val="21"/>
              </w:rPr>
            </w:pPr>
          </w:p>
        </w:tc>
        <w:tc>
          <w:tcPr>
            <w:tcW w:w="1066" w:type="dxa"/>
            <w:tcBorders>
              <w:top w:val="single" w:color="auto" w:sz="4" w:space="0"/>
              <w:left w:val="single" w:color="auto" w:sz="4" w:space="0"/>
              <w:bottom w:val="single" w:color="auto" w:sz="4" w:space="0"/>
              <w:right w:val="single" w:color="auto" w:sz="4" w:space="0"/>
            </w:tcBorders>
            <w:vAlign w:val="top"/>
          </w:tcPr>
          <w:p>
            <w:pPr>
              <w:spacing w:line="500" w:lineRule="exact"/>
              <w:jc w:val="left"/>
              <w:rPr>
                <w:szCs w:val="21"/>
              </w:rPr>
            </w:pPr>
          </w:p>
        </w:tc>
        <w:tc>
          <w:tcPr>
            <w:tcW w:w="642" w:type="dxa"/>
            <w:tcBorders>
              <w:top w:val="single" w:color="auto" w:sz="4" w:space="0"/>
              <w:left w:val="single" w:color="auto" w:sz="4" w:space="0"/>
              <w:bottom w:val="single" w:color="auto" w:sz="4" w:space="0"/>
              <w:right w:val="single" w:color="auto" w:sz="4" w:space="0"/>
            </w:tcBorders>
            <w:vAlign w:val="top"/>
          </w:tcPr>
          <w:p>
            <w:pPr>
              <w:spacing w:line="500" w:lineRule="exact"/>
              <w:jc w:val="left"/>
              <w:rPr>
                <w:szCs w:val="21"/>
              </w:rPr>
            </w:pPr>
          </w:p>
        </w:tc>
        <w:tc>
          <w:tcPr>
            <w:tcW w:w="645" w:type="dxa"/>
            <w:tcBorders>
              <w:top w:val="single" w:color="auto" w:sz="4" w:space="0"/>
              <w:left w:val="single" w:color="auto" w:sz="4" w:space="0"/>
              <w:bottom w:val="single" w:color="auto" w:sz="4" w:space="0"/>
              <w:right w:val="single" w:color="auto" w:sz="4" w:space="0"/>
            </w:tcBorders>
            <w:vAlign w:val="top"/>
          </w:tcPr>
          <w:p>
            <w:pPr>
              <w:spacing w:line="500" w:lineRule="exact"/>
              <w:jc w:val="left"/>
              <w:rPr>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6" w:hRule="atLeast"/>
        </w:trPr>
        <w:tc>
          <w:tcPr>
            <w:tcW w:w="642" w:type="dxa"/>
            <w:tcBorders>
              <w:top w:val="single" w:color="auto" w:sz="4" w:space="0"/>
              <w:left w:val="single" w:color="auto" w:sz="4" w:space="0"/>
              <w:bottom w:val="single" w:color="auto" w:sz="4" w:space="0"/>
              <w:right w:val="single" w:color="auto" w:sz="4" w:space="0"/>
            </w:tcBorders>
            <w:vAlign w:val="top"/>
          </w:tcPr>
          <w:p>
            <w:pPr>
              <w:spacing w:line="500" w:lineRule="exact"/>
              <w:jc w:val="left"/>
              <w:rPr>
                <w:szCs w:val="21"/>
              </w:rPr>
            </w:pPr>
          </w:p>
        </w:tc>
        <w:tc>
          <w:tcPr>
            <w:tcW w:w="2538" w:type="dxa"/>
            <w:tcBorders>
              <w:top w:val="single" w:color="auto" w:sz="4" w:space="0"/>
              <w:left w:val="single" w:color="auto" w:sz="4" w:space="0"/>
              <w:bottom w:val="single" w:color="auto" w:sz="4" w:space="0"/>
              <w:right w:val="single" w:color="auto" w:sz="4" w:space="0"/>
            </w:tcBorders>
            <w:vAlign w:val="top"/>
          </w:tcPr>
          <w:p>
            <w:pPr>
              <w:spacing w:line="500" w:lineRule="exact"/>
              <w:jc w:val="left"/>
              <w:rPr>
                <w:szCs w:val="21"/>
              </w:rPr>
            </w:pPr>
          </w:p>
        </w:tc>
        <w:tc>
          <w:tcPr>
            <w:tcW w:w="1066" w:type="dxa"/>
            <w:tcBorders>
              <w:top w:val="single" w:color="auto" w:sz="4" w:space="0"/>
              <w:left w:val="single" w:color="auto" w:sz="4" w:space="0"/>
              <w:bottom w:val="single" w:color="auto" w:sz="4" w:space="0"/>
              <w:right w:val="single" w:color="auto" w:sz="4" w:space="0"/>
            </w:tcBorders>
            <w:vAlign w:val="top"/>
          </w:tcPr>
          <w:p>
            <w:pPr>
              <w:spacing w:line="500" w:lineRule="exact"/>
              <w:jc w:val="left"/>
              <w:rPr>
                <w:szCs w:val="21"/>
              </w:rPr>
            </w:pPr>
          </w:p>
        </w:tc>
        <w:tc>
          <w:tcPr>
            <w:tcW w:w="935" w:type="dxa"/>
            <w:tcBorders>
              <w:top w:val="single" w:color="auto" w:sz="4" w:space="0"/>
              <w:left w:val="single" w:color="auto" w:sz="4" w:space="0"/>
              <w:bottom w:val="single" w:color="auto" w:sz="4" w:space="0"/>
              <w:right w:val="single" w:color="auto" w:sz="4" w:space="0"/>
            </w:tcBorders>
            <w:vAlign w:val="top"/>
          </w:tcPr>
          <w:p>
            <w:pPr>
              <w:spacing w:line="500" w:lineRule="exact"/>
              <w:jc w:val="left"/>
              <w:rPr>
                <w:szCs w:val="21"/>
              </w:rPr>
            </w:pPr>
          </w:p>
        </w:tc>
        <w:tc>
          <w:tcPr>
            <w:tcW w:w="991" w:type="dxa"/>
            <w:tcBorders>
              <w:top w:val="single" w:color="auto" w:sz="4" w:space="0"/>
              <w:left w:val="single" w:color="auto" w:sz="4" w:space="0"/>
              <w:bottom w:val="single" w:color="auto" w:sz="4" w:space="0"/>
              <w:right w:val="single" w:color="auto" w:sz="4" w:space="0"/>
            </w:tcBorders>
            <w:vAlign w:val="top"/>
          </w:tcPr>
          <w:p>
            <w:pPr>
              <w:spacing w:line="500" w:lineRule="exact"/>
              <w:jc w:val="left"/>
              <w:rPr>
                <w:szCs w:val="21"/>
              </w:rPr>
            </w:pPr>
          </w:p>
        </w:tc>
        <w:tc>
          <w:tcPr>
            <w:tcW w:w="1219" w:type="dxa"/>
            <w:tcBorders>
              <w:top w:val="single" w:color="auto" w:sz="4" w:space="0"/>
              <w:left w:val="single" w:color="auto" w:sz="4" w:space="0"/>
              <w:bottom w:val="single" w:color="auto" w:sz="4" w:space="0"/>
              <w:right w:val="single" w:color="auto" w:sz="4" w:space="0"/>
            </w:tcBorders>
            <w:vAlign w:val="top"/>
          </w:tcPr>
          <w:p>
            <w:pPr>
              <w:spacing w:line="500" w:lineRule="exact"/>
              <w:jc w:val="left"/>
              <w:rPr>
                <w:szCs w:val="21"/>
              </w:rPr>
            </w:pPr>
          </w:p>
        </w:tc>
        <w:tc>
          <w:tcPr>
            <w:tcW w:w="1158" w:type="dxa"/>
            <w:tcBorders>
              <w:top w:val="single" w:color="auto" w:sz="4" w:space="0"/>
              <w:left w:val="single" w:color="auto" w:sz="4" w:space="0"/>
              <w:bottom w:val="single" w:color="auto" w:sz="4" w:space="0"/>
              <w:right w:val="single" w:color="auto" w:sz="4" w:space="0"/>
            </w:tcBorders>
            <w:vAlign w:val="top"/>
          </w:tcPr>
          <w:p>
            <w:pPr>
              <w:spacing w:line="500" w:lineRule="exact"/>
              <w:jc w:val="left"/>
              <w:rPr>
                <w:szCs w:val="21"/>
              </w:rPr>
            </w:pPr>
          </w:p>
        </w:tc>
        <w:tc>
          <w:tcPr>
            <w:tcW w:w="1463" w:type="dxa"/>
            <w:tcBorders>
              <w:top w:val="single" w:color="auto" w:sz="4" w:space="0"/>
              <w:left w:val="single" w:color="auto" w:sz="4" w:space="0"/>
              <w:bottom w:val="single" w:color="auto" w:sz="4" w:space="0"/>
              <w:right w:val="single" w:color="auto" w:sz="4" w:space="0"/>
            </w:tcBorders>
            <w:vAlign w:val="top"/>
          </w:tcPr>
          <w:p>
            <w:pPr>
              <w:spacing w:line="500" w:lineRule="exact"/>
              <w:jc w:val="left"/>
              <w:rPr>
                <w:szCs w:val="21"/>
              </w:rPr>
            </w:pPr>
          </w:p>
        </w:tc>
        <w:tc>
          <w:tcPr>
            <w:tcW w:w="1066" w:type="dxa"/>
            <w:tcBorders>
              <w:top w:val="single" w:color="auto" w:sz="4" w:space="0"/>
              <w:left w:val="single" w:color="auto" w:sz="4" w:space="0"/>
              <w:bottom w:val="single" w:color="auto" w:sz="4" w:space="0"/>
              <w:right w:val="single" w:color="auto" w:sz="4" w:space="0"/>
            </w:tcBorders>
            <w:vAlign w:val="top"/>
          </w:tcPr>
          <w:p>
            <w:pPr>
              <w:spacing w:line="500" w:lineRule="exact"/>
              <w:jc w:val="left"/>
              <w:rPr>
                <w:szCs w:val="21"/>
              </w:rPr>
            </w:pPr>
          </w:p>
        </w:tc>
        <w:tc>
          <w:tcPr>
            <w:tcW w:w="642" w:type="dxa"/>
            <w:tcBorders>
              <w:top w:val="single" w:color="auto" w:sz="4" w:space="0"/>
              <w:left w:val="single" w:color="auto" w:sz="4" w:space="0"/>
              <w:bottom w:val="single" w:color="auto" w:sz="4" w:space="0"/>
              <w:right w:val="single" w:color="auto" w:sz="4" w:space="0"/>
            </w:tcBorders>
            <w:vAlign w:val="top"/>
          </w:tcPr>
          <w:p>
            <w:pPr>
              <w:spacing w:line="500" w:lineRule="exact"/>
              <w:jc w:val="left"/>
              <w:rPr>
                <w:szCs w:val="21"/>
              </w:rPr>
            </w:pPr>
          </w:p>
        </w:tc>
        <w:tc>
          <w:tcPr>
            <w:tcW w:w="1066" w:type="dxa"/>
            <w:tcBorders>
              <w:top w:val="single" w:color="auto" w:sz="4" w:space="0"/>
              <w:left w:val="single" w:color="auto" w:sz="4" w:space="0"/>
              <w:bottom w:val="single" w:color="auto" w:sz="4" w:space="0"/>
              <w:right w:val="single" w:color="auto" w:sz="4" w:space="0"/>
            </w:tcBorders>
            <w:vAlign w:val="top"/>
          </w:tcPr>
          <w:p>
            <w:pPr>
              <w:spacing w:line="500" w:lineRule="exact"/>
              <w:jc w:val="left"/>
              <w:rPr>
                <w:szCs w:val="21"/>
              </w:rPr>
            </w:pPr>
          </w:p>
        </w:tc>
        <w:tc>
          <w:tcPr>
            <w:tcW w:w="642" w:type="dxa"/>
            <w:tcBorders>
              <w:top w:val="single" w:color="auto" w:sz="4" w:space="0"/>
              <w:left w:val="single" w:color="auto" w:sz="4" w:space="0"/>
              <w:bottom w:val="single" w:color="auto" w:sz="4" w:space="0"/>
              <w:right w:val="single" w:color="auto" w:sz="4" w:space="0"/>
            </w:tcBorders>
            <w:vAlign w:val="top"/>
          </w:tcPr>
          <w:p>
            <w:pPr>
              <w:spacing w:line="500" w:lineRule="exact"/>
              <w:jc w:val="left"/>
              <w:rPr>
                <w:szCs w:val="21"/>
              </w:rPr>
            </w:pPr>
          </w:p>
        </w:tc>
        <w:tc>
          <w:tcPr>
            <w:tcW w:w="645" w:type="dxa"/>
            <w:tcBorders>
              <w:top w:val="single" w:color="auto" w:sz="4" w:space="0"/>
              <w:left w:val="single" w:color="auto" w:sz="4" w:space="0"/>
              <w:bottom w:val="single" w:color="auto" w:sz="4" w:space="0"/>
              <w:right w:val="single" w:color="auto" w:sz="4" w:space="0"/>
            </w:tcBorders>
            <w:vAlign w:val="top"/>
          </w:tcPr>
          <w:p>
            <w:pPr>
              <w:spacing w:line="500" w:lineRule="exact"/>
              <w:jc w:val="left"/>
              <w:rPr>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36" w:hRule="atLeast"/>
        </w:trPr>
        <w:tc>
          <w:tcPr>
            <w:tcW w:w="642" w:type="dxa"/>
            <w:tcBorders>
              <w:top w:val="single" w:color="auto" w:sz="4" w:space="0"/>
              <w:left w:val="single" w:color="auto" w:sz="4" w:space="0"/>
              <w:bottom w:val="single" w:color="auto" w:sz="4" w:space="0"/>
              <w:right w:val="single" w:color="auto" w:sz="4" w:space="0"/>
            </w:tcBorders>
            <w:vAlign w:val="top"/>
          </w:tcPr>
          <w:p>
            <w:pPr>
              <w:spacing w:line="500" w:lineRule="exact"/>
              <w:jc w:val="left"/>
              <w:rPr>
                <w:szCs w:val="21"/>
              </w:rPr>
            </w:pPr>
          </w:p>
        </w:tc>
        <w:tc>
          <w:tcPr>
            <w:tcW w:w="2538" w:type="dxa"/>
            <w:tcBorders>
              <w:top w:val="single" w:color="auto" w:sz="4" w:space="0"/>
              <w:left w:val="single" w:color="auto" w:sz="4" w:space="0"/>
              <w:bottom w:val="single" w:color="auto" w:sz="4" w:space="0"/>
              <w:right w:val="single" w:color="auto" w:sz="4" w:space="0"/>
            </w:tcBorders>
            <w:vAlign w:val="top"/>
          </w:tcPr>
          <w:p>
            <w:pPr>
              <w:spacing w:line="500" w:lineRule="exact"/>
              <w:jc w:val="left"/>
              <w:rPr>
                <w:szCs w:val="21"/>
              </w:rPr>
            </w:pPr>
          </w:p>
        </w:tc>
        <w:tc>
          <w:tcPr>
            <w:tcW w:w="1066" w:type="dxa"/>
            <w:tcBorders>
              <w:top w:val="single" w:color="auto" w:sz="4" w:space="0"/>
              <w:left w:val="single" w:color="auto" w:sz="4" w:space="0"/>
              <w:bottom w:val="single" w:color="auto" w:sz="4" w:space="0"/>
              <w:right w:val="single" w:color="auto" w:sz="4" w:space="0"/>
            </w:tcBorders>
            <w:vAlign w:val="top"/>
          </w:tcPr>
          <w:p>
            <w:pPr>
              <w:spacing w:line="500" w:lineRule="exact"/>
              <w:jc w:val="left"/>
              <w:rPr>
                <w:szCs w:val="21"/>
              </w:rPr>
            </w:pPr>
          </w:p>
        </w:tc>
        <w:tc>
          <w:tcPr>
            <w:tcW w:w="935" w:type="dxa"/>
            <w:tcBorders>
              <w:top w:val="single" w:color="auto" w:sz="4" w:space="0"/>
              <w:left w:val="single" w:color="auto" w:sz="4" w:space="0"/>
              <w:bottom w:val="single" w:color="auto" w:sz="4" w:space="0"/>
              <w:right w:val="single" w:color="auto" w:sz="4" w:space="0"/>
            </w:tcBorders>
            <w:vAlign w:val="top"/>
          </w:tcPr>
          <w:p>
            <w:pPr>
              <w:spacing w:line="500" w:lineRule="exact"/>
              <w:jc w:val="left"/>
              <w:rPr>
                <w:szCs w:val="21"/>
              </w:rPr>
            </w:pPr>
          </w:p>
        </w:tc>
        <w:tc>
          <w:tcPr>
            <w:tcW w:w="991" w:type="dxa"/>
            <w:tcBorders>
              <w:top w:val="single" w:color="auto" w:sz="4" w:space="0"/>
              <w:left w:val="single" w:color="auto" w:sz="4" w:space="0"/>
              <w:bottom w:val="single" w:color="auto" w:sz="4" w:space="0"/>
              <w:right w:val="single" w:color="auto" w:sz="4" w:space="0"/>
            </w:tcBorders>
            <w:vAlign w:val="top"/>
          </w:tcPr>
          <w:p>
            <w:pPr>
              <w:spacing w:line="500" w:lineRule="exact"/>
              <w:jc w:val="left"/>
              <w:rPr>
                <w:szCs w:val="21"/>
              </w:rPr>
            </w:pPr>
          </w:p>
        </w:tc>
        <w:tc>
          <w:tcPr>
            <w:tcW w:w="1219" w:type="dxa"/>
            <w:tcBorders>
              <w:top w:val="single" w:color="auto" w:sz="4" w:space="0"/>
              <w:left w:val="single" w:color="auto" w:sz="4" w:space="0"/>
              <w:bottom w:val="single" w:color="auto" w:sz="4" w:space="0"/>
              <w:right w:val="single" w:color="auto" w:sz="4" w:space="0"/>
            </w:tcBorders>
            <w:vAlign w:val="top"/>
          </w:tcPr>
          <w:p>
            <w:pPr>
              <w:spacing w:line="500" w:lineRule="exact"/>
              <w:jc w:val="left"/>
              <w:rPr>
                <w:szCs w:val="21"/>
              </w:rPr>
            </w:pPr>
          </w:p>
        </w:tc>
        <w:tc>
          <w:tcPr>
            <w:tcW w:w="1158" w:type="dxa"/>
            <w:tcBorders>
              <w:top w:val="single" w:color="auto" w:sz="4" w:space="0"/>
              <w:left w:val="single" w:color="auto" w:sz="4" w:space="0"/>
              <w:bottom w:val="single" w:color="auto" w:sz="4" w:space="0"/>
              <w:right w:val="single" w:color="auto" w:sz="4" w:space="0"/>
            </w:tcBorders>
            <w:vAlign w:val="top"/>
          </w:tcPr>
          <w:p>
            <w:pPr>
              <w:spacing w:line="500" w:lineRule="exact"/>
              <w:jc w:val="left"/>
              <w:rPr>
                <w:szCs w:val="21"/>
              </w:rPr>
            </w:pPr>
          </w:p>
        </w:tc>
        <w:tc>
          <w:tcPr>
            <w:tcW w:w="1463" w:type="dxa"/>
            <w:tcBorders>
              <w:top w:val="single" w:color="auto" w:sz="4" w:space="0"/>
              <w:left w:val="single" w:color="auto" w:sz="4" w:space="0"/>
              <w:bottom w:val="single" w:color="auto" w:sz="4" w:space="0"/>
              <w:right w:val="single" w:color="auto" w:sz="4" w:space="0"/>
            </w:tcBorders>
            <w:vAlign w:val="top"/>
          </w:tcPr>
          <w:p>
            <w:pPr>
              <w:spacing w:line="500" w:lineRule="exact"/>
              <w:jc w:val="left"/>
              <w:rPr>
                <w:szCs w:val="21"/>
              </w:rPr>
            </w:pPr>
          </w:p>
        </w:tc>
        <w:tc>
          <w:tcPr>
            <w:tcW w:w="1066" w:type="dxa"/>
            <w:tcBorders>
              <w:top w:val="single" w:color="auto" w:sz="4" w:space="0"/>
              <w:left w:val="single" w:color="auto" w:sz="4" w:space="0"/>
              <w:bottom w:val="single" w:color="auto" w:sz="4" w:space="0"/>
              <w:right w:val="single" w:color="auto" w:sz="4" w:space="0"/>
            </w:tcBorders>
            <w:vAlign w:val="top"/>
          </w:tcPr>
          <w:p>
            <w:pPr>
              <w:spacing w:line="500" w:lineRule="exact"/>
              <w:jc w:val="left"/>
              <w:rPr>
                <w:szCs w:val="21"/>
              </w:rPr>
            </w:pPr>
          </w:p>
        </w:tc>
        <w:tc>
          <w:tcPr>
            <w:tcW w:w="642" w:type="dxa"/>
            <w:tcBorders>
              <w:top w:val="single" w:color="auto" w:sz="4" w:space="0"/>
              <w:left w:val="single" w:color="auto" w:sz="4" w:space="0"/>
              <w:bottom w:val="single" w:color="auto" w:sz="4" w:space="0"/>
              <w:right w:val="single" w:color="auto" w:sz="4" w:space="0"/>
            </w:tcBorders>
            <w:vAlign w:val="top"/>
          </w:tcPr>
          <w:p>
            <w:pPr>
              <w:spacing w:line="500" w:lineRule="exact"/>
              <w:jc w:val="left"/>
              <w:rPr>
                <w:szCs w:val="21"/>
              </w:rPr>
            </w:pPr>
          </w:p>
        </w:tc>
        <w:tc>
          <w:tcPr>
            <w:tcW w:w="1066" w:type="dxa"/>
            <w:tcBorders>
              <w:top w:val="single" w:color="auto" w:sz="4" w:space="0"/>
              <w:left w:val="single" w:color="auto" w:sz="4" w:space="0"/>
              <w:bottom w:val="single" w:color="auto" w:sz="4" w:space="0"/>
              <w:right w:val="single" w:color="auto" w:sz="4" w:space="0"/>
            </w:tcBorders>
            <w:vAlign w:val="top"/>
          </w:tcPr>
          <w:p>
            <w:pPr>
              <w:spacing w:line="500" w:lineRule="exact"/>
              <w:jc w:val="left"/>
              <w:rPr>
                <w:szCs w:val="21"/>
              </w:rPr>
            </w:pPr>
          </w:p>
        </w:tc>
        <w:tc>
          <w:tcPr>
            <w:tcW w:w="642" w:type="dxa"/>
            <w:tcBorders>
              <w:top w:val="single" w:color="auto" w:sz="4" w:space="0"/>
              <w:left w:val="single" w:color="auto" w:sz="4" w:space="0"/>
              <w:bottom w:val="single" w:color="auto" w:sz="4" w:space="0"/>
              <w:right w:val="single" w:color="auto" w:sz="4" w:space="0"/>
            </w:tcBorders>
            <w:vAlign w:val="top"/>
          </w:tcPr>
          <w:p>
            <w:pPr>
              <w:spacing w:line="500" w:lineRule="exact"/>
              <w:jc w:val="left"/>
              <w:rPr>
                <w:szCs w:val="21"/>
              </w:rPr>
            </w:pPr>
          </w:p>
        </w:tc>
        <w:tc>
          <w:tcPr>
            <w:tcW w:w="645" w:type="dxa"/>
            <w:tcBorders>
              <w:top w:val="single" w:color="auto" w:sz="4" w:space="0"/>
              <w:left w:val="single" w:color="auto" w:sz="4" w:space="0"/>
              <w:bottom w:val="single" w:color="auto" w:sz="4" w:space="0"/>
              <w:right w:val="single" w:color="auto" w:sz="4" w:space="0"/>
            </w:tcBorders>
            <w:vAlign w:val="top"/>
          </w:tcPr>
          <w:p>
            <w:pPr>
              <w:spacing w:line="500" w:lineRule="exact"/>
              <w:jc w:val="left"/>
              <w:rPr>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6" w:hRule="atLeast"/>
        </w:trPr>
        <w:tc>
          <w:tcPr>
            <w:tcW w:w="642" w:type="dxa"/>
            <w:tcBorders>
              <w:top w:val="single" w:color="auto" w:sz="4" w:space="0"/>
              <w:left w:val="single" w:color="auto" w:sz="4" w:space="0"/>
              <w:bottom w:val="single" w:color="auto" w:sz="4" w:space="0"/>
              <w:right w:val="single" w:color="auto" w:sz="4" w:space="0"/>
            </w:tcBorders>
            <w:vAlign w:val="top"/>
          </w:tcPr>
          <w:p>
            <w:pPr>
              <w:spacing w:line="500" w:lineRule="exact"/>
              <w:jc w:val="left"/>
              <w:rPr>
                <w:szCs w:val="21"/>
              </w:rPr>
            </w:pPr>
          </w:p>
        </w:tc>
        <w:tc>
          <w:tcPr>
            <w:tcW w:w="2538" w:type="dxa"/>
            <w:tcBorders>
              <w:top w:val="single" w:color="auto" w:sz="4" w:space="0"/>
              <w:left w:val="single" w:color="auto" w:sz="4" w:space="0"/>
              <w:bottom w:val="single" w:color="auto" w:sz="4" w:space="0"/>
              <w:right w:val="single" w:color="auto" w:sz="4" w:space="0"/>
            </w:tcBorders>
            <w:vAlign w:val="top"/>
          </w:tcPr>
          <w:p>
            <w:pPr>
              <w:spacing w:line="500" w:lineRule="exact"/>
              <w:jc w:val="left"/>
              <w:rPr>
                <w:szCs w:val="21"/>
              </w:rPr>
            </w:pPr>
          </w:p>
        </w:tc>
        <w:tc>
          <w:tcPr>
            <w:tcW w:w="1066" w:type="dxa"/>
            <w:tcBorders>
              <w:top w:val="single" w:color="auto" w:sz="4" w:space="0"/>
              <w:left w:val="single" w:color="auto" w:sz="4" w:space="0"/>
              <w:bottom w:val="single" w:color="auto" w:sz="4" w:space="0"/>
              <w:right w:val="single" w:color="auto" w:sz="4" w:space="0"/>
            </w:tcBorders>
            <w:vAlign w:val="top"/>
          </w:tcPr>
          <w:p>
            <w:pPr>
              <w:spacing w:line="500" w:lineRule="exact"/>
              <w:jc w:val="left"/>
              <w:rPr>
                <w:szCs w:val="21"/>
              </w:rPr>
            </w:pPr>
          </w:p>
        </w:tc>
        <w:tc>
          <w:tcPr>
            <w:tcW w:w="935" w:type="dxa"/>
            <w:tcBorders>
              <w:top w:val="single" w:color="auto" w:sz="4" w:space="0"/>
              <w:left w:val="single" w:color="auto" w:sz="4" w:space="0"/>
              <w:bottom w:val="single" w:color="auto" w:sz="4" w:space="0"/>
              <w:right w:val="single" w:color="auto" w:sz="4" w:space="0"/>
            </w:tcBorders>
            <w:vAlign w:val="top"/>
          </w:tcPr>
          <w:p>
            <w:pPr>
              <w:spacing w:line="500" w:lineRule="exact"/>
              <w:jc w:val="left"/>
              <w:rPr>
                <w:szCs w:val="21"/>
              </w:rPr>
            </w:pPr>
          </w:p>
        </w:tc>
        <w:tc>
          <w:tcPr>
            <w:tcW w:w="991" w:type="dxa"/>
            <w:tcBorders>
              <w:top w:val="single" w:color="auto" w:sz="4" w:space="0"/>
              <w:left w:val="single" w:color="auto" w:sz="4" w:space="0"/>
              <w:bottom w:val="single" w:color="auto" w:sz="4" w:space="0"/>
              <w:right w:val="single" w:color="auto" w:sz="4" w:space="0"/>
            </w:tcBorders>
            <w:vAlign w:val="top"/>
          </w:tcPr>
          <w:p>
            <w:pPr>
              <w:spacing w:line="500" w:lineRule="exact"/>
              <w:jc w:val="left"/>
              <w:rPr>
                <w:szCs w:val="21"/>
              </w:rPr>
            </w:pPr>
          </w:p>
        </w:tc>
        <w:tc>
          <w:tcPr>
            <w:tcW w:w="1219" w:type="dxa"/>
            <w:tcBorders>
              <w:top w:val="single" w:color="auto" w:sz="4" w:space="0"/>
              <w:left w:val="single" w:color="auto" w:sz="4" w:space="0"/>
              <w:bottom w:val="single" w:color="auto" w:sz="4" w:space="0"/>
              <w:right w:val="single" w:color="auto" w:sz="4" w:space="0"/>
            </w:tcBorders>
            <w:vAlign w:val="top"/>
          </w:tcPr>
          <w:p>
            <w:pPr>
              <w:spacing w:line="500" w:lineRule="exact"/>
              <w:jc w:val="left"/>
              <w:rPr>
                <w:szCs w:val="21"/>
              </w:rPr>
            </w:pPr>
          </w:p>
        </w:tc>
        <w:tc>
          <w:tcPr>
            <w:tcW w:w="1158" w:type="dxa"/>
            <w:tcBorders>
              <w:top w:val="single" w:color="auto" w:sz="4" w:space="0"/>
              <w:left w:val="single" w:color="auto" w:sz="4" w:space="0"/>
              <w:bottom w:val="single" w:color="auto" w:sz="4" w:space="0"/>
              <w:right w:val="single" w:color="auto" w:sz="4" w:space="0"/>
            </w:tcBorders>
            <w:vAlign w:val="top"/>
          </w:tcPr>
          <w:p>
            <w:pPr>
              <w:spacing w:line="500" w:lineRule="exact"/>
              <w:jc w:val="left"/>
              <w:rPr>
                <w:szCs w:val="21"/>
              </w:rPr>
            </w:pPr>
          </w:p>
        </w:tc>
        <w:tc>
          <w:tcPr>
            <w:tcW w:w="1463" w:type="dxa"/>
            <w:tcBorders>
              <w:top w:val="single" w:color="auto" w:sz="4" w:space="0"/>
              <w:left w:val="single" w:color="auto" w:sz="4" w:space="0"/>
              <w:bottom w:val="single" w:color="auto" w:sz="4" w:space="0"/>
              <w:right w:val="single" w:color="auto" w:sz="4" w:space="0"/>
            </w:tcBorders>
            <w:vAlign w:val="top"/>
          </w:tcPr>
          <w:p>
            <w:pPr>
              <w:spacing w:line="500" w:lineRule="exact"/>
              <w:jc w:val="left"/>
              <w:rPr>
                <w:szCs w:val="21"/>
              </w:rPr>
            </w:pPr>
          </w:p>
        </w:tc>
        <w:tc>
          <w:tcPr>
            <w:tcW w:w="1066" w:type="dxa"/>
            <w:tcBorders>
              <w:top w:val="single" w:color="auto" w:sz="4" w:space="0"/>
              <w:left w:val="single" w:color="auto" w:sz="4" w:space="0"/>
              <w:bottom w:val="single" w:color="auto" w:sz="4" w:space="0"/>
              <w:right w:val="single" w:color="auto" w:sz="4" w:space="0"/>
            </w:tcBorders>
            <w:vAlign w:val="top"/>
          </w:tcPr>
          <w:p>
            <w:pPr>
              <w:spacing w:line="500" w:lineRule="exact"/>
              <w:jc w:val="left"/>
              <w:rPr>
                <w:szCs w:val="21"/>
              </w:rPr>
            </w:pPr>
          </w:p>
        </w:tc>
        <w:tc>
          <w:tcPr>
            <w:tcW w:w="642" w:type="dxa"/>
            <w:tcBorders>
              <w:top w:val="single" w:color="auto" w:sz="4" w:space="0"/>
              <w:left w:val="single" w:color="auto" w:sz="4" w:space="0"/>
              <w:bottom w:val="single" w:color="auto" w:sz="4" w:space="0"/>
              <w:right w:val="single" w:color="auto" w:sz="4" w:space="0"/>
            </w:tcBorders>
            <w:vAlign w:val="top"/>
          </w:tcPr>
          <w:p>
            <w:pPr>
              <w:spacing w:line="500" w:lineRule="exact"/>
              <w:jc w:val="left"/>
              <w:rPr>
                <w:szCs w:val="21"/>
              </w:rPr>
            </w:pPr>
          </w:p>
        </w:tc>
        <w:tc>
          <w:tcPr>
            <w:tcW w:w="1066" w:type="dxa"/>
            <w:tcBorders>
              <w:top w:val="single" w:color="auto" w:sz="4" w:space="0"/>
              <w:left w:val="single" w:color="auto" w:sz="4" w:space="0"/>
              <w:bottom w:val="single" w:color="auto" w:sz="4" w:space="0"/>
              <w:right w:val="single" w:color="auto" w:sz="4" w:space="0"/>
            </w:tcBorders>
            <w:vAlign w:val="top"/>
          </w:tcPr>
          <w:p>
            <w:pPr>
              <w:spacing w:line="500" w:lineRule="exact"/>
              <w:jc w:val="left"/>
              <w:rPr>
                <w:szCs w:val="21"/>
              </w:rPr>
            </w:pPr>
          </w:p>
        </w:tc>
        <w:tc>
          <w:tcPr>
            <w:tcW w:w="642" w:type="dxa"/>
            <w:tcBorders>
              <w:top w:val="single" w:color="auto" w:sz="4" w:space="0"/>
              <w:left w:val="single" w:color="auto" w:sz="4" w:space="0"/>
              <w:bottom w:val="single" w:color="auto" w:sz="4" w:space="0"/>
              <w:right w:val="single" w:color="auto" w:sz="4" w:space="0"/>
            </w:tcBorders>
            <w:vAlign w:val="top"/>
          </w:tcPr>
          <w:p>
            <w:pPr>
              <w:spacing w:line="500" w:lineRule="exact"/>
              <w:jc w:val="left"/>
              <w:rPr>
                <w:szCs w:val="21"/>
              </w:rPr>
            </w:pPr>
          </w:p>
        </w:tc>
        <w:tc>
          <w:tcPr>
            <w:tcW w:w="645" w:type="dxa"/>
            <w:tcBorders>
              <w:top w:val="single" w:color="auto" w:sz="4" w:space="0"/>
              <w:left w:val="single" w:color="auto" w:sz="4" w:space="0"/>
              <w:bottom w:val="single" w:color="auto" w:sz="4" w:space="0"/>
              <w:right w:val="single" w:color="auto" w:sz="4" w:space="0"/>
            </w:tcBorders>
            <w:vAlign w:val="top"/>
          </w:tcPr>
          <w:p>
            <w:pPr>
              <w:spacing w:line="500" w:lineRule="exact"/>
              <w:jc w:val="left"/>
              <w:rPr>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6" w:hRule="atLeast"/>
        </w:trPr>
        <w:tc>
          <w:tcPr>
            <w:tcW w:w="642" w:type="dxa"/>
            <w:tcBorders>
              <w:top w:val="single" w:color="auto" w:sz="4" w:space="0"/>
              <w:left w:val="single" w:color="auto" w:sz="4" w:space="0"/>
              <w:bottom w:val="single" w:color="auto" w:sz="4" w:space="0"/>
              <w:right w:val="single" w:color="auto" w:sz="4" w:space="0"/>
            </w:tcBorders>
            <w:vAlign w:val="top"/>
          </w:tcPr>
          <w:p>
            <w:pPr>
              <w:spacing w:line="500" w:lineRule="exact"/>
              <w:jc w:val="left"/>
              <w:rPr>
                <w:szCs w:val="21"/>
              </w:rPr>
            </w:pPr>
          </w:p>
        </w:tc>
        <w:tc>
          <w:tcPr>
            <w:tcW w:w="2538" w:type="dxa"/>
            <w:tcBorders>
              <w:top w:val="single" w:color="auto" w:sz="4" w:space="0"/>
              <w:left w:val="single" w:color="auto" w:sz="4" w:space="0"/>
              <w:bottom w:val="single" w:color="auto" w:sz="4" w:space="0"/>
              <w:right w:val="single" w:color="auto" w:sz="4" w:space="0"/>
            </w:tcBorders>
            <w:vAlign w:val="top"/>
          </w:tcPr>
          <w:p>
            <w:pPr>
              <w:spacing w:line="500" w:lineRule="exact"/>
              <w:jc w:val="left"/>
              <w:rPr>
                <w:szCs w:val="21"/>
              </w:rPr>
            </w:pPr>
          </w:p>
        </w:tc>
        <w:tc>
          <w:tcPr>
            <w:tcW w:w="1066" w:type="dxa"/>
            <w:tcBorders>
              <w:top w:val="single" w:color="auto" w:sz="4" w:space="0"/>
              <w:left w:val="single" w:color="auto" w:sz="4" w:space="0"/>
              <w:bottom w:val="single" w:color="auto" w:sz="4" w:space="0"/>
              <w:right w:val="single" w:color="auto" w:sz="4" w:space="0"/>
            </w:tcBorders>
            <w:vAlign w:val="top"/>
          </w:tcPr>
          <w:p>
            <w:pPr>
              <w:spacing w:line="500" w:lineRule="exact"/>
              <w:jc w:val="left"/>
              <w:rPr>
                <w:szCs w:val="21"/>
              </w:rPr>
            </w:pPr>
          </w:p>
        </w:tc>
        <w:tc>
          <w:tcPr>
            <w:tcW w:w="935" w:type="dxa"/>
            <w:tcBorders>
              <w:top w:val="single" w:color="auto" w:sz="4" w:space="0"/>
              <w:left w:val="single" w:color="auto" w:sz="4" w:space="0"/>
              <w:bottom w:val="single" w:color="auto" w:sz="4" w:space="0"/>
              <w:right w:val="single" w:color="auto" w:sz="4" w:space="0"/>
            </w:tcBorders>
            <w:vAlign w:val="top"/>
          </w:tcPr>
          <w:p>
            <w:pPr>
              <w:spacing w:line="500" w:lineRule="exact"/>
              <w:jc w:val="left"/>
              <w:rPr>
                <w:szCs w:val="21"/>
              </w:rPr>
            </w:pPr>
          </w:p>
        </w:tc>
        <w:tc>
          <w:tcPr>
            <w:tcW w:w="991" w:type="dxa"/>
            <w:tcBorders>
              <w:top w:val="single" w:color="auto" w:sz="4" w:space="0"/>
              <w:left w:val="single" w:color="auto" w:sz="4" w:space="0"/>
              <w:bottom w:val="single" w:color="auto" w:sz="4" w:space="0"/>
              <w:right w:val="single" w:color="auto" w:sz="4" w:space="0"/>
            </w:tcBorders>
            <w:vAlign w:val="top"/>
          </w:tcPr>
          <w:p>
            <w:pPr>
              <w:spacing w:line="500" w:lineRule="exact"/>
              <w:jc w:val="left"/>
              <w:rPr>
                <w:szCs w:val="21"/>
              </w:rPr>
            </w:pPr>
          </w:p>
        </w:tc>
        <w:tc>
          <w:tcPr>
            <w:tcW w:w="1219" w:type="dxa"/>
            <w:tcBorders>
              <w:top w:val="single" w:color="auto" w:sz="4" w:space="0"/>
              <w:left w:val="single" w:color="auto" w:sz="4" w:space="0"/>
              <w:bottom w:val="single" w:color="auto" w:sz="4" w:space="0"/>
              <w:right w:val="single" w:color="auto" w:sz="4" w:space="0"/>
            </w:tcBorders>
            <w:vAlign w:val="top"/>
          </w:tcPr>
          <w:p>
            <w:pPr>
              <w:spacing w:line="500" w:lineRule="exact"/>
              <w:jc w:val="left"/>
              <w:rPr>
                <w:szCs w:val="21"/>
              </w:rPr>
            </w:pPr>
          </w:p>
        </w:tc>
        <w:tc>
          <w:tcPr>
            <w:tcW w:w="1158" w:type="dxa"/>
            <w:tcBorders>
              <w:top w:val="single" w:color="auto" w:sz="4" w:space="0"/>
              <w:left w:val="single" w:color="auto" w:sz="4" w:space="0"/>
              <w:bottom w:val="single" w:color="auto" w:sz="4" w:space="0"/>
              <w:right w:val="single" w:color="auto" w:sz="4" w:space="0"/>
            </w:tcBorders>
            <w:vAlign w:val="top"/>
          </w:tcPr>
          <w:p>
            <w:pPr>
              <w:spacing w:line="500" w:lineRule="exact"/>
              <w:jc w:val="left"/>
              <w:rPr>
                <w:szCs w:val="21"/>
              </w:rPr>
            </w:pPr>
          </w:p>
        </w:tc>
        <w:tc>
          <w:tcPr>
            <w:tcW w:w="1463" w:type="dxa"/>
            <w:tcBorders>
              <w:top w:val="single" w:color="auto" w:sz="4" w:space="0"/>
              <w:left w:val="single" w:color="auto" w:sz="4" w:space="0"/>
              <w:bottom w:val="single" w:color="auto" w:sz="4" w:space="0"/>
              <w:right w:val="single" w:color="auto" w:sz="4" w:space="0"/>
            </w:tcBorders>
            <w:vAlign w:val="top"/>
          </w:tcPr>
          <w:p>
            <w:pPr>
              <w:spacing w:line="500" w:lineRule="exact"/>
              <w:jc w:val="left"/>
              <w:rPr>
                <w:szCs w:val="21"/>
              </w:rPr>
            </w:pPr>
          </w:p>
        </w:tc>
        <w:tc>
          <w:tcPr>
            <w:tcW w:w="1066" w:type="dxa"/>
            <w:tcBorders>
              <w:top w:val="single" w:color="auto" w:sz="4" w:space="0"/>
              <w:left w:val="single" w:color="auto" w:sz="4" w:space="0"/>
              <w:bottom w:val="single" w:color="auto" w:sz="4" w:space="0"/>
              <w:right w:val="single" w:color="auto" w:sz="4" w:space="0"/>
            </w:tcBorders>
            <w:vAlign w:val="top"/>
          </w:tcPr>
          <w:p>
            <w:pPr>
              <w:spacing w:line="500" w:lineRule="exact"/>
              <w:jc w:val="left"/>
              <w:rPr>
                <w:szCs w:val="21"/>
              </w:rPr>
            </w:pPr>
          </w:p>
        </w:tc>
        <w:tc>
          <w:tcPr>
            <w:tcW w:w="642" w:type="dxa"/>
            <w:tcBorders>
              <w:top w:val="single" w:color="auto" w:sz="4" w:space="0"/>
              <w:left w:val="single" w:color="auto" w:sz="4" w:space="0"/>
              <w:bottom w:val="single" w:color="auto" w:sz="4" w:space="0"/>
              <w:right w:val="single" w:color="auto" w:sz="4" w:space="0"/>
            </w:tcBorders>
            <w:vAlign w:val="top"/>
          </w:tcPr>
          <w:p>
            <w:pPr>
              <w:spacing w:line="500" w:lineRule="exact"/>
              <w:jc w:val="left"/>
              <w:rPr>
                <w:szCs w:val="21"/>
              </w:rPr>
            </w:pPr>
          </w:p>
        </w:tc>
        <w:tc>
          <w:tcPr>
            <w:tcW w:w="1066" w:type="dxa"/>
            <w:tcBorders>
              <w:top w:val="single" w:color="auto" w:sz="4" w:space="0"/>
              <w:left w:val="single" w:color="auto" w:sz="4" w:space="0"/>
              <w:bottom w:val="single" w:color="auto" w:sz="4" w:space="0"/>
              <w:right w:val="single" w:color="auto" w:sz="4" w:space="0"/>
            </w:tcBorders>
            <w:vAlign w:val="top"/>
          </w:tcPr>
          <w:p>
            <w:pPr>
              <w:spacing w:line="500" w:lineRule="exact"/>
              <w:jc w:val="left"/>
              <w:rPr>
                <w:szCs w:val="21"/>
              </w:rPr>
            </w:pPr>
          </w:p>
        </w:tc>
        <w:tc>
          <w:tcPr>
            <w:tcW w:w="642" w:type="dxa"/>
            <w:tcBorders>
              <w:top w:val="single" w:color="auto" w:sz="4" w:space="0"/>
              <w:left w:val="single" w:color="auto" w:sz="4" w:space="0"/>
              <w:bottom w:val="single" w:color="auto" w:sz="4" w:space="0"/>
              <w:right w:val="single" w:color="auto" w:sz="4" w:space="0"/>
            </w:tcBorders>
            <w:vAlign w:val="top"/>
          </w:tcPr>
          <w:p>
            <w:pPr>
              <w:spacing w:line="500" w:lineRule="exact"/>
              <w:jc w:val="left"/>
              <w:rPr>
                <w:szCs w:val="21"/>
              </w:rPr>
            </w:pPr>
          </w:p>
        </w:tc>
        <w:tc>
          <w:tcPr>
            <w:tcW w:w="645" w:type="dxa"/>
            <w:tcBorders>
              <w:top w:val="single" w:color="auto" w:sz="4" w:space="0"/>
              <w:left w:val="single" w:color="auto" w:sz="4" w:space="0"/>
              <w:bottom w:val="single" w:color="auto" w:sz="4" w:space="0"/>
              <w:right w:val="single" w:color="auto" w:sz="4" w:space="0"/>
            </w:tcBorders>
            <w:vAlign w:val="top"/>
          </w:tcPr>
          <w:p>
            <w:pPr>
              <w:spacing w:line="500" w:lineRule="exact"/>
              <w:jc w:val="left"/>
              <w:rPr>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36" w:hRule="atLeast"/>
        </w:trPr>
        <w:tc>
          <w:tcPr>
            <w:tcW w:w="14073" w:type="dxa"/>
            <w:gridSpan w:val="13"/>
            <w:tcBorders>
              <w:top w:val="single" w:color="auto" w:sz="4" w:space="0"/>
              <w:left w:val="single" w:color="auto" w:sz="4" w:space="0"/>
              <w:bottom w:val="single" w:color="auto" w:sz="4" w:space="0"/>
              <w:right w:val="single" w:color="auto" w:sz="4" w:space="0"/>
            </w:tcBorders>
            <w:vAlign w:val="top"/>
          </w:tcPr>
          <w:p>
            <w:pPr>
              <w:spacing w:line="500" w:lineRule="exact"/>
              <w:jc w:val="left"/>
              <w:rPr>
                <w:szCs w:val="21"/>
              </w:rPr>
            </w:pPr>
            <w:r>
              <w:rPr>
                <w:rFonts w:hint="eastAsia"/>
                <w:szCs w:val="21"/>
              </w:rPr>
              <w:t>招标控制价</w:t>
            </w:r>
          </w:p>
        </w:tc>
      </w:tr>
    </w:tbl>
    <w:p>
      <w:pPr>
        <w:spacing w:line="440" w:lineRule="exact"/>
        <w:rPr>
          <w:rFonts w:hint="eastAsia"/>
          <w:u w:val="single"/>
        </w:rPr>
      </w:pPr>
      <w:r>
        <w:rPr>
          <w:rFonts w:hint="eastAsia"/>
        </w:rPr>
        <w:t>招标人代表：</w:t>
      </w:r>
      <w:r>
        <w:rPr>
          <w:rFonts w:hint="eastAsia"/>
          <w:u w:val="single"/>
        </w:rPr>
        <w:t xml:space="preserve">                   </w:t>
      </w:r>
      <w:r>
        <w:rPr>
          <w:rFonts w:hint="eastAsia"/>
        </w:rPr>
        <w:t xml:space="preserve"> 记录人：</w:t>
      </w:r>
      <w:r>
        <w:rPr>
          <w:rFonts w:hint="eastAsia"/>
          <w:u w:val="single"/>
        </w:rPr>
        <w:t xml:space="preserve">                   </w:t>
      </w:r>
      <w:r>
        <w:rPr>
          <w:rFonts w:hint="eastAsia"/>
        </w:rPr>
        <w:t xml:space="preserve"> 监标人：</w:t>
      </w:r>
      <w:r>
        <w:rPr>
          <w:rFonts w:hint="eastAsia"/>
          <w:u w:val="single"/>
        </w:rPr>
        <w:t xml:space="preserve">            </w:t>
      </w:r>
    </w:p>
    <w:p>
      <w:pPr>
        <w:spacing w:line="440" w:lineRule="exact"/>
        <w:rPr>
          <w:rFonts w:hint="eastAsia"/>
          <w:u w:val="single"/>
        </w:rPr>
      </w:pPr>
      <w:r>
        <w:rPr>
          <w:rFonts w:hint="eastAsia"/>
        </w:rPr>
        <w:t xml:space="preserve">                                            </w:t>
      </w:r>
      <w:r>
        <w:rPr>
          <w:rFonts w:hint="eastAsia"/>
          <w:u w:val="single"/>
        </w:rPr>
        <w:t xml:space="preserve">      </w:t>
      </w:r>
      <w:r>
        <w:rPr>
          <w:rFonts w:hint="eastAsia"/>
        </w:rPr>
        <w:t>年</w:t>
      </w:r>
      <w:r>
        <w:rPr>
          <w:rFonts w:hint="eastAsia"/>
          <w:u w:val="single"/>
        </w:rPr>
        <w:t xml:space="preserve">      </w:t>
      </w:r>
      <w:r>
        <w:rPr>
          <w:rFonts w:hint="eastAsia"/>
        </w:rPr>
        <w:t xml:space="preserve">月 </w:t>
      </w:r>
      <w:r>
        <w:rPr>
          <w:rFonts w:hint="eastAsia"/>
          <w:u w:val="single"/>
        </w:rPr>
        <w:t xml:space="preserve">      </w:t>
      </w:r>
      <w:r>
        <w:rPr>
          <w:rFonts w:hint="eastAsia"/>
        </w:rPr>
        <w:t>日</w:t>
      </w:r>
    </w:p>
    <w:p>
      <w:pPr>
        <w:spacing w:line="440" w:lineRule="exact"/>
        <w:rPr>
          <w:szCs w:val="21"/>
        </w:rPr>
        <w:sectPr>
          <w:pgSz w:w="16838" w:h="11906" w:orient="landscape"/>
          <w:pgMar w:top="1797" w:right="1440" w:bottom="1797" w:left="1440" w:header="851" w:footer="992" w:gutter="0"/>
          <w:cols w:space="720" w:num="1"/>
          <w:docGrid w:type="lines" w:linePitch="312" w:charSpace="0"/>
        </w:sectPr>
      </w:pPr>
    </w:p>
    <w:p>
      <w:pPr>
        <w:spacing w:line="440" w:lineRule="exact"/>
        <w:rPr>
          <w:rFonts w:hint="eastAsia"/>
          <w:szCs w:val="21"/>
        </w:rPr>
      </w:pPr>
    </w:p>
    <w:p>
      <w:pPr>
        <w:pStyle w:val="3"/>
      </w:pPr>
      <w:bookmarkStart w:id="404" w:name="_Toc152042359"/>
      <w:bookmarkStart w:id="405" w:name="_Toc144974549"/>
      <w:bookmarkStart w:id="406" w:name="_Toc152045582"/>
      <w:bookmarkStart w:id="407" w:name="_Toc179632600"/>
      <w:bookmarkStart w:id="408" w:name="_Toc246996225"/>
      <w:bookmarkStart w:id="409" w:name="_Toc246996968"/>
      <w:bookmarkStart w:id="410" w:name="_Toc247085740"/>
      <w:bookmarkStart w:id="411" w:name="_Toc296602470"/>
      <w:bookmarkStart w:id="412" w:name="_Toc8025"/>
      <w:r>
        <w:t>附</w:t>
      </w:r>
      <w:r>
        <w:rPr>
          <w:rFonts w:hint="eastAsia"/>
        </w:rPr>
        <w:t>件</w:t>
      </w:r>
      <w:r>
        <w:t>二：问题澄清通知</w:t>
      </w:r>
      <w:bookmarkEnd w:id="404"/>
      <w:bookmarkEnd w:id="405"/>
      <w:bookmarkEnd w:id="406"/>
      <w:bookmarkEnd w:id="407"/>
      <w:bookmarkEnd w:id="408"/>
      <w:bookmarkEnd w:id="409"/>
      <w:bookmarkEnd w:id="410"/>
      <w:bookmarkEnd w:id="411"/>
      <w:bookmarkEnd w:id="412"/>
    </w:p>
    <w:p>
      <w:pPr>
        <w:spacing w:line="440" w:lineRule="exact"/>
        <w:jc w:val="center"/>
        <w:rPr>
          <w:szCs w:val="21"/>
        </w:rPr>
      </w:pPr>
    </w:p>
    <w:p>
      <w:pPr>
        <w:spacing w:line="440" w:lineRule="exact"/>
        <w:jc w:val="center"/>
        <w:rPr>
          <w:rFonts w:eastAsia="黑体"/>
          <w:sz w:val="28"/>
          <w:szCs w:val="28"/>
        </w:rPr>
      </w:pPr>
      <w:r>
        <w:rPr>
          <w:rFonts w:eastAsia="黑体"/>
          <w:sz w:val="28"/>
          <w:szCs w:val="28"/>
        </w:rPr>
        <w:t>问题澄清通知</w:t>
      </w:r>
    </w:p>
    <w:p>
      <w:pPr>
        <w:spacing w:line="440" w:lineRule="exact"/>
        <w:rPr>
          <w:szCs w:val="21"/>
        </w:rPr>
      </w:pPr>
      <w:r>
        <w:rPr>
          <w:szCs w:val="21"/>
        </w:rPr>
        <w:t xml:space="preserve">                               </w:t>
      </w:r>
      <w:r>
        <w:rPr>
          <w:rFonts w:hint="eastAsia"/>
          <w:szCs w:val="21"/>
        </w:rPr>
        <w:t xml:space="preserve"> </w:t>
      </w:r>
      <w:r>
        <w:rPr>
          <w:szCs w:val="21"/>
        </w:rPr>
        <w:t>编号：</w:t>
      </w:r>
    </w:p>
    <w:p>
      <w:pPr>
        <w:spacing w:line="440" w:lineRule="exact"/>
        <w:rPr>
          <w:szCs w:val="21"/>
        </w:rPr>
      </w:pPr>
    </w:p>
    <w:p>
      <w:pPr>
        <w:spacing w:line="440" w:lineRule="exact"/>
        <w:rPr>
          <w:szCs w:val="21"/>
        </w:rPr>
      </w:pPr>
      <w:r>
        <w:rPr>
          <w:szCs w:val="21"/>
        </w:rPr>
        <w:t xml:space="preserve">  </w:t>
      </w:r>
      <w:r>
        <w:rPr>
          <w:szCs w:val="21"/>
          <w:u w:val="single"/>
        </w:rPr>
        <w:t xml:space="preserve">            </w:t>
      </w:r>
      <w:r>
        <w:rPr>
          <w:szCs w:val="21"/>
        </w:rPr>
        <w:t>（投标人名称）：</w:t>
      </w:r>
    </w:p>
    <w:p>
      <w:pPr>
        <w:spacing w:line="440" w:lineRule="exact"/>
        <w:rPr>
          <w:szCs w:val="21"/>
        </w:rPr>
      </w:pPr>
    </w:p>
    <w:p>
      <w:pPr>
        <w:spacing w:line="440" w:lineRule="exact"/>
        <w:rPr>
          <w:szCs w:val="21"/>
        </w:rPr>
      </w:pPr>
      <w:r>
        <w:rPr>
          <w:szCs w:val="21"/>
        </w:rPr>
        <w:t xml:space="preserve">　　  </w:t>
      </w:r>
      <w:r>
        <w:rPr>
          <w:szCs w:val="21"/>
          <w:u w:val="single"/>
        </w:rPr>
        <w:t xml:space="preserve">　             </w:t>
      </w:r>
      <w:r>
        <w:rPr>
          <w:szCs w:val="21"/>
        </w:rPr>
        <w:t xml:space="preserve"> （项目名称）招标的评标委员会，对你方的投标文件进行了仔细的审查，现需你方对下列问题以书面形式予以澄清：</w:t>
      </w:r>
    </w:p>
    <w:p>
      <w:pPr>
        <w:spacing w:line="440" w:lineRule="exact"/>
        <w:rPr>
          <w:szCs w:val="21"/>
        </w:rPr>
      </w:pPr>
      <w:r>
        <w:rPr>
          <w:szCs w:val="21"/>
        </w:rPr>
        <w:t>　　</w:t>
      </w:r>
    </w:p>
    <w:p>
      <w:pPr>
        <w:spacing w:line="440" w:lineRule="exact"/>
        <w:rPr>
          <w:szCs w:val="21"/>
        </w:rPr>
      </w:pPr>
      <w:r>
        <w:rPr>
          <w:szCs w:val="21"/>
        </w:rPr>
        <w:t xml:space="preserve">    1.</w:t>
      </w:r>
    </w:p>
    <w:p>
      <w:pPr>
        <w:spacing w:line="440" w:lineRule="exact"/>
        <w:rPr>
          <w:szCs w:val="21"/>
        </w:rPr>
      </w:pPr>
      <w:r>
        <w:rPr>
          <w:szCs w:val="21"/>
        </w:rPr>
        <w:t xml:space="preserve">    2.</w:t>
      </w:r>
    </w:p>
    <w:p>
      <w:pPr>
        <w:spacing w:line="440" w:lineRule="exact"/>
        <w:rPr>
          <w:szCs w:val="21"/>
        </w:rPr>
      </w:pPr>
      <w:r>
        <w:rPr>
          <w:szCs w:val="21"/>
        </w:rPr>
        <w:t xml:space="preserve">     ......   </w:t>
      </w:r>
    </w:p>
    <w:p>
      <w:pPr>
        <w:spacing w:line="440" w:lineRule="exact"/>
        <w:rPr>
          <w:szCs w:val="21"/>
        </w:rPr>
      </w:pPr>
      <w:r>
        <w:rPr>
          <w:szCs w:val="21"/>
        </w:rPr>
        <w:t>　　　</w:t>
      </w:r>
    </w:p>
    <w:p>
      <w:pPr>
        <w:spacing w:line="440" w:lineRule="exact"/>
        <w:rPr>
          <w:rFonts w:hint="eastAsia"/>
          <w:szCs w:val="21"/>
        </w:rPr>
      </w:pPr>
      <w:r>
        <w:rPr>
          <w:szCs w:val="21"/>
        </w:rPr>
        <w:t>　　请将上述问题的澄清于</w:t>
      </w:r>
      <w:r>
        <w:rPr>
          <w:szCs w:val="21"/>
          <w:u w:val="single"/>
        </w:rPr>
        <w:t xml:space="preserve">        </w:t>
      </w:r>
      <w:r>
        <w:rPr>
          <w:szCs w:val="21"/>
        </w:rPr>
        <w:t>年</w:t>
      </w:r>
      <w:r>
        <w:rPr>
          <w:szCs w:val="21"/>
          <w:u w:val="single"/>
        </w:rPr>
        <w:t xml:space="preserve">        </w:t>
      </w:r>
      <w:r>
        <w:rPr>
          <w:szCs w:val="21"/>
        </w:rPr>
        <w:t>月</w:t>
      </w:r>
      <w:r>
        <w:rPr>
          <w:szCs w:val="21"/>
          <w:u w:val="single"/>
        </w:rPr>
        <w:t xml:space="preserve">        </w:t>
      </w:r>
      <w:r>
        <w:rPr>
          <w:szCs w:val="21"/>
        </w:rPr>
        <w:t>日</w:t>
      </w:r>
      <w:r>
        <w:rPr>
          <w:szCs w:val="21"/>
          <w:u w:val="single"/>
        </w:rPr>
        <w:t xml:space="preserve">        </w:t>
      </w:r>
      <w:r>
        <w:rPr>
          <w:szCs w:val="21"/>
        </w:rPr>
        <w:t>时前递交至</w:t>
      </w:r>
    </w:p>
    <w:p>
      <w:pPr>
        <w:spacing w:line="440" w:lineRule="exact"/>
        <w:rPr>
          <w:rFonts w:hint="eastAsia" w:ascii="宋体" w:hAnsi="宋体"/>
          <w:szCs w:val="21"/>
        </w:rPr>
      </w:pPr>
      <w:r>
        <w:rPr>
          <w:szCs w:val="21"/>
          <w:u w:val="single"/>
        </w:rPr>
        <w:t xml:space="preserve">    </w:t>
      </w:r>
      <w:r>
        <w:rPr>
          <w:rFonts w:hint="eastAsia"/>
          <w:szCs w:val="21"/>
          <w:u w:val="single"/>
        </w:rPr>
        <w:t xml:space="preserve">                    </w:t>
      </w:r>
      <w:r>
        <w:rPr>
          <w:szCs w:val="21"/>
          <w:u w:val="single"/>
        </w:rPr>
        <w:t xml:space="preserve"> </w:t>
      </w:r>
      <w:r>
        <w:rPr>
          <w:rFonts w:hint="eastAsia"/>
          <w:szCs w:val="21"/>
          <w:u w:val="single"/>
        </w:rPr>
        <w:t xml:space="preserve">    </w:t>
      </w:r>
      <w:r>
        <w:rPr>
          <w:szCs w:val="21"/>
        </w:rPr>
        <w:t>（详细地址）</w:t>
      </w:r>
      <w:r>
        <w:rPr>
          <w:rFonts w:hint="eastAsia"/>
          <w:szCs w:val="21"/>
        </w:rPr>
        <w:t>或</w:t>
      </w:r>
      <w:r>
        <w:rPr>
          <w:rFonts w:hint="eastAsia" w:ascii="宋体" w:hAnsi="宋体"/>
          <w:szCs w:val="21"/>
        </w:rPr>
        <w:t>传真至</w:t>
      </w:r>
      <w:r>
        <w:rPr>
          <w:rFonts w:hint="eastAsia" w:ascii="宋体" w:hAnsi="宋体"/>
          <w:szCs w:val="21"/>
          <w:u w:val="single"/>
        </w:rPr>
        <w:t xml:space="preserve">         </w:t>
      </w:r>
      <w:r>
        <w:rPr>
          <w:rFonts w:hint="eastAsia" w:ascii="宋体" w:hAnsi="宋体"/>
          <w:szCs w:val="21"/>
        </w:rPr>
        <w:t>（传真号码）。采用传真方式的，应在</w:t>
      </w:r>
      <w:r>
        <w:rPr>
          <w:szCs w:val="21"/>
          <w:u w:val="single"/>
        </w:rPr>
        <w:t xml:space="preserve">       </w:t>
      </w:r>
      <w:r>
        <w:rPr>
          <w:rFonts w:ascii="宋体" w:hAnsi="宋体"/>
          <w:szCs w:val="21"/>
        </w:rPr>
        <w:t>年</w:t>
      </w:r>
      <w:r>
        <w:rPr>
          <w:szCs w:val="21"/>
          <w:u w:val="single"/>
        </w:rPr>
        <w:t xml:space="preserve">        </w:t>
      </w:r>
      <w:r>
        <w:rPr>
          <w:rFonts w:ascii="宋体" w:hAnsi="宋体"/>
          <w:szCs w:val="21"/>
        </w:rPr>
        <w:t>月</w:t>
      </w:r>
      <w:r>
        <w:rPr>
          <w:szCs w:val="21"/>
          <w:u w:val="single"/>
        </w:rPr>
        <w:t xml:space="preserve">        </w:t>
      </w:r>
      <w:r>
        <w:rPr>
          <w:rFonts w:ascii="宋体" w:hAnsi="宋体"/>
          <w:szCs w:val="21"/>
        </w:rPr>
        <w:t>日</w:t>
      </w:r>
      <w:r>
        <w:rPr>
          <w:szCs w:val="21"/>
          <w:u w:val="single"/>
        </w:rPr>
        <w:t xml:space="preserve">        </w:t>
      </w:r>
      <w:r>
        <w:rPr>
          <w:rFonts w:hint="eastAsia" w:ascii="宋体" w:hAnsi="宋体"/>
          <w:szCs w:val="21"/>
        </w:rPr>
        <w:t>时前将原件递交至</w:t>
      </w:r>
    </w:p>
    <w:p>
      <w:pPr>
        <w:spacing w:line="440" w:lineRule="exact"/>
        <w:rPr>
          <w:rFonts w:hint="eastAsia"/>
          <w:szCs w:val="21"/>
        </w:rPr>
      </w:pPr>
      <w:r>
        <w:rPr>
          <w:szCs w:val="21"/>
          <w:u w:val="single"/>
        </w:rPr>
        <w:t xml:space="preserve">    </w:t>
      </w:r>
      <w:r>
        <w:rPr>
          <w:rFonts w:hint="eastAsia"/>
          <w:szCs w:val="21"/>
          <w:u w:val="single"/>
        </w:rPr>
        <w:t xml:space="preserve">                    </w:t>
      </w:r>
      <w:r>
        <w:rPr>
          <w:szCs w:val="21"/>
          <w:u w:val="single"/>
        </w:rPr>
        <w:t xml:space="preserve"> </w:t>
      </w:r>
      <w:r>
        <w:rPr>
          <w:rFonts w:hint="eastAsia"/>
          <w:szCs w:val="21"/>
          <w:u w:val="single"/>
        </w:rPr>
        <w:t xml:space="preserve">    </w:t>
      </w:r>
      <w:r>
        <w:rPr>
          <w:szCs w:val="21"/>
        </w:rPr>
        <w:t>（详细地址）。</w:t>
      </w:r>
    </w:p>
    <w:p>
      <w:pPr>
        <w:spacing w:line="440" w:lineRule="exact"/>
        <w:rPr>
          <w:szCs w:val="21"/>
        </w:rPr>
      </w:pPr>
    </w:p>
    <w:p>
      <w:pPr>
        <w:spacing w:line="440" w:lineRule="exact"/>
        <w:rPr>
          <w:szCs w:val="21"/>
        </w:rPr>
      </w:pPr>
    </w:p>
    <w:p>
      <w:pPr>
        <w:spacing w:line="440" w:lineRule="exact"/>
        <w:jc w:val="right"/>
        <w:rPr>
          <w:rFonts w:hint="eastAsia"/>
          <w:szCs w:val="21"/>
        </w:rPr>
      </w:pPr>
      <w:r>
        <w:rPr>
          <w:szCs w:val="21"/>
        </w:rPr>
        <w:t xml:space="preserve">              </w:t>
      </w:r>
      <w:r>
        <w:rPr>
          <w:rFonts w:hint="eastAsia"/>
          <w:szCs w:val="21"/>
        </w:rPr>
        <w:t xml:space="preserve">            </w:t>
      </w:r>
      <w:r>
        <w:rPr>
          <w:szCs w:val="21"/>
        </w:rPr>
        <w:t xml:space="preserve">    </w:t>
      </w:r>
      <w:r>
        <w:rPr>
          <w:rFonts w:hint="eastAsia"/>
          <w:szCs w:val="21"/>
        </w:rPr>
        <w:t>招标人或招标代理机构</w:t>
      </w:r>
      <w:r>
        <w:rPr>
          <w:szCs w:val="21"/>
        </w:rPr>
        <w:t>：</w:t>
      </w:r>
      <w:r>
        <w:rPr>
          <w:szCs w:val="21"/>
          <w:u w:val="single"/>
        </w:rPr>
        <w:t xml:space="preserve">           </w:t>
      </w:r>
      <w:r>
        <w:rPr>
          <w:szCs w:val="21"/>
        </w:rPr>
        <w:t>（签字</w:t>
      </w:r>
      <w:r>
        <w:rPr>
          <w:rFonts w:hint="eastAsia"/>
          <w:szCs w:val="21"/>
        </w:rPr>
        <w:t>或盖章</w:t>
      </w:r>
      <w:r>
        <w:rPr>
          <w:szCs w:val="21"/>
        </w:rPr>
        <w:t>）</w:t>
      </w:r>
    </w:p>
    <w:p>
      <w:pPr>
        <w:spacing w:line="440" w:lineRule="exact"/>
        <w:rPr>
          <w:szCs w:val="21"/>
        </w:rPr>
      </w:pPr>
      <w:r>
        <w:rPr>
          <w:rFonts w:hint="eastAsia"/>
          <w:szCs w:val="21"/>
        </w:rPr>
        <w:t xml:space="preserve">                                          </w:t>
      </w:r>
    </w:p>
    <w:p>
      <w:pPr>
        <w:spacing w:line="440" w:lineRule="exact"/>
        <w:ind w:firstLine="3045" w:firstLineChars="1450"/>
        <w:rPr>
          <w:szCs w:val="21"/>
        </w:rPr>
      </w:pPr>
      <w:r>
        <w:rPr>
          <w:szCs w:val="21"/>
        </w:rPr>
        <w:t xml:space="preserve">       </w:t>
      </w:r>
      <w:r>
        <w:rPr>
          <w:rFonts w:hint="eastAsia"/>
          <w:szCs w:val="21"/>
        </w:rPr>
        <w:t xml:space="preserve"> </w:t>
      </w:r>
      <w:r>
        <w:rPr>
          <w:szCs w:val="21"/>
        </w:rPr>
        <w:t xml:space="preserve">    </w:t>
      </w:r>
      <w:r>
        <w:rPr>
          <w:szCs w:val="21"/>
          <w:u w:val="single"/>
        </w:rPr>
        <w:t xml:space="preserve">         </w:t>
      </w:r>
      <w:r>
        <w:rPr>
          <w:szCs w:val="21"/>
        </w:rPr>
        <w:t xml:space="preserve">年 </w:t>
      </w:r>
      <w:r>
        <w:rPr>
          <w:szCs w:val="21"/>
          <w:u w:val="single"/>
        </w:rPr>
        <w:t xml:space="preserve">   </w:t>
      </w:r>
      <w:r>
        <w:rPr>
          <w:rFonts w:hint="eastAsia"/>
          <w:szCs w:val="21"/>
          <w:u w:val="single"/>
        </w:rPr>
        <w:t xml:space="preserve">    </w:t>
      </w:r>
      <w:r>
        <w:rPr>
          <w:szCs w:val="21"/>
          <w:u w:val="single"/>
        </w:rPr>
        <w:t xml:space="preserve"> </w:t>
      </w:r>
      <w:r>
        <w:rPr>
          <w:szCs w:val="21"/>
        </w:rPr>
        <w:t xml:space="preserve">月 </w:t>
      </w:r>
      <w:r>
        <w:rPr>
          <w:szCs w:val="21"/>
          <w:u w:val="single"/>
        </w:rPr>
        <w:t xml:space="preserve"> </w:t>
      </w:r>
      <w:r>
        <w:rPr>
          <w:rFonts w:hint="eastAsia"/>
          <w:szCs w:val="21"/>
          <w:u w:val="single"/>
        </w:rPr>
        <w:t xml:space="preserve">      </w:t>
      </w:r>
      <w:r>
        <w:rPr>
          <w:szCs w:val="21"/>
          <w:u w:val="single"/>
        </w:rPr>
        <w:t xml:space="preserve"> </w:t>
      </w:r>
      <w:r>
        <w:rPr>
          <w:szCs w:val="21"/>
        </w:rPr>
        <w:t>日</w:t>
      </w:r>
    </w:p>
    <w:p>
      <w:pPr>
        <w:spacing w:line="400" w:lineRule="exact"/>
        <w:rPr>
          <w:rFonts w:hint="eastAsia"/>
        </w:rPr>
      </w:pPr>
    </w:p>
    <w:p>
      <w:pPr>
        <w:spacing w:line="400" w:lineRule="exact"/>
        <w:rPr>
          <w:rFonts w:hint="eastAsia"/>
        </w:rPr>
      </w:pPr>
      <w:r>
        <w:br w:type="page"/>
      </w:r>
    </w:p>
    <w:p>
      <w:pPr>
        <w:pStyle w:val="3"/>
        <w:rPr>
          <w:rFonts w:hint="eastAsia"/>
        </w:rPr>
      </w:pPr>
      <w:bookmarkStart w:id="413" w:name="_Toc144974550"/>
      <w:bookmarkStart w:id="414" w:name="_Toc246996226"/>
      <w:bookmarkStart w:id="415" w:name="_Toc246996969"/>
      <w:bookmarkStart w:id="416" w:name="_Toc247085741"/>
      <w:bookmarkStart w:id="417" w:name="_Toc152042360"/>
      <w:bookmarkStart w:id="418" w:name="_Toc152045583"/>
      <w:bookmarkStart w:id="419" w:name="_Toc179632601"/>
      <w:bookmarkStart w:id="420" w:name="_Toc296602471"/>
      <w:bookmarkStart w:id="421" w:name="_Toc10033"/>
      <w:r>
        <w:rPr>
          <w:rFonts w:hint="eastAsia"/>
        </w:rPr>
        <w:t>附件三：问题的澄清</w:t>
      </w:r>
      <w:bookmarkEnd w:id="413"/>
      <w:bookmarkEnd w:id="414"/>
      <w:bookmarkEnd w:id="415"/>
      <w:bookmarkEnd w:id="416"/>
      <w:bookmarkEnd w:id="417"/>
      <w:bookmarkEnd w:id="418"/>
      <w:bookmarkEnd w:id="419"/>
      <w:bookmarkEnd w:id="420"/>
      <w:bookmarkEnd w:id="421"/>
    </w:p>
    <w:p>
      <w:pPr>
        <w:spacing w:line="400" w:lineRule="exact"/>
        <w:jc w:val="center"/>
        <w:rPr>
          <w:rFonts w:hint="eastAsia" w:ascii="黑体" w:eastAsia="黑体"/>
          <w:sz w:val="28"/>
          <w:szCs w:val="28"/>
        </w:rPr>
      </w:pPr>
    </w:p>
    <w:p>
      <w:pPr>
        <w:spacing w:line="400" w:lineRule="exact"/>
        <w:jc w:val="center"/>
        <w:rPr>
          <w:rFonts w:hint="eastAsia" w:ascii="黑体" w:eastAsia="黑体"/>
          <w:sz w:val="28"/>
          <w:szCs w:val="28"/>
        </w:rPr>
      </w:pPr>
      <w:r>
        <w:rPr>
          <w:rFonts w:hint="eastAsia" w:ascii="黑体" w:eastAsia="黑体"/>
          <w:sz w:val="28"/>
          <w:szCs w:val="28"/>
        </w:rPr>
        <w:t>问题的澄清</w:t>
      </w:r>
    </w:p>
    <w:p>
      <w:pPr>
        <w:spacing w:line="400" w:lineRule="exact"/>
        <w:ind w:firstLine="3465" w:firstLineChars="1650"/>
        <w:rPr>
          <w:rFonts w:hint="eastAsia"/>
        </w:rPr>
      </w:pPr>
      <w:r>
        <w:rPr>
          <w:rFonts w:hint="eastAsia"/>
        </w:rPr>
        <w:t xml:space="preserve">编号： </w:t>
      </w:r>
    </w:p>
    <w:p>
      <w:pPr>
        <w:spacing w:line="400" w:lineRule="exact"/>
        <w:rPr>
          <w:szCs w:val="21"/>
        </w:rPr>
      </w:pPr>
    </w:p>
    <w:p>
      <w:pPr>
        <w:spacing w:line="440" w:lineRule="exact"/>
        <w:rPr>
          <w:szCs w:val="21"/>
        </w:rPr>
      </w:pPr>
      <w:r>
        <w:rPr>
          <w:szCs w:val="21"/>
          <w:u w:val="single"/>
        </w:rPr>
        <w:t xml:space="preserve">                  （</w:t>
      </w:r>
      <w:r>
        <w:rPr>
          <w:szCs w:val="21"/>
        </w:rPr>
        <w:t>项目名称）招标评标委员会：</w:t>
      </w:r>
    </w:p>
    <w:p>
      <w:pPr>
        <w:spacing w:line="440" w:lineRule="exact"/>
        <w:rPr>
          <w:szCs w:val="21"/>
        </w:rPr>
      </w:pPr>
    </w:p>
    <w:p>
      <w:pPr>
        <w:spacing w:line="440" w:lineRule="exact"/>
        <w:rPr>
          <w:szCs w:val="21"/>
        </w:rPr>
      </w:pPr>
      <w:r>
        <w:rPr>
          <w:szCs w:val="21"/>
        </w:rPr>
        <w:t>　　问题澄清通知（编号：</w:t>
      </w:r>
      <w:r>
        <w:rPr>
          <w:szCs w:val="21"/>
          <w:u w:val="single"/>
        </w:rPr>
        <w:t xml:space="preserve">        </w:t>
      </w:r>
      <w:r>
        <w:rPr>
          <w:szCs w:val="21"/>
        </w:rPr>
        <w:t>）已收悉，现澄清如下：</w:t>
      </w:r>
    </w:p>
    <w:p>
      <w:pPr>
        <w:spacing w:line="440" w:lineRule="exact"/>
        <w:rPr>
          <w:szCs w:val="21"/>
        </w:rPr>
      </w:pPr>
      <w:r>
        <w:rPr>
          <w:szCs w:val="21"/>
        </w:rPr>
        <w:t>　     1.</w:t>
      </w:r>
    </w:p>
    <w:p>
      <w:pPr>
        <w:spacing w:line="440" w:lineRule="exact"/>
        <w:rPr>
          <w:szCs w:val="21"/>
        </w:rPr>
      </w:pPr>
      <w:r>
        <w:rPr>
          <w:szCs w:val="21"/>
        </w:rPr>
        <w:t>　     2.</w:t>
      </w:r>
    </w:p>
    <w:p>
      <w:pPr>
        <w:spacing w:line="440" w:lineRule="exact"/>
        <w:rPr>
          <w:szCs w:val="21"/>
        </w:rPr>
      </w:pPr>
      <w:r>
        <w:rPr>
          <w:szCs w:val="21"/>
        </w:rPr>
        <w:t xml:space="preserve">　   </w:t>
      </w:r>
    </w:p>
    <w:p>
      <w:pPr>
        <w:spacing w:line="440" w:lineRule="exact"/>
        <w:rPr>
          <w:szCs w:val="21"/>
        </w:rPr>
      </w:pPr>
      <w:r>
        <w:rPr>
          <w:szCs w:val="21"/>
        </w:rPr>
        <w:t>　    .....</w:t>
      </w:r>
    </w:p>
    <w:p>
      <w:pPr>
        <w:spacing w:line="440" w:lineRule="exact"/>
        <w:rPr>
          <w:szCs w:val="21"/>
        </w:rPr>
      </w:pPr>
      <w:r>
        <w:rPr>
          <w:szCs w:val="21"/>
        </w:rPr>
        <w:t xml:space="preserve">                       </w:t>
      </w:r>
    </w:p>
    <w:p>
      <w:pPr>
        <w:spacing w:line="440" w:lineRule="exact"/>
        <w:rPr>
          <w:szCs w:val="21"/>
        </w:rPr>
      </w:pPr>
      <w:r>
        <w:rPr>
          <w:szCs w:val="21"/>
        </w:rPr>
        <w:t xml:space="preserve">　 </w:t>
      </w:r>
    </w:p>
    <w:p>
      <w:pPr>
        <w:spacing w:line="440" w:lineRule="exact"/>
        <w:rPr>
          <w:szCs w:val="21"/>
        </w:rPr>
      </w:pPr>
    </w:p>
    <w:p>
      <w:pPr>
        <w:spacing w:line="440" w:lineRule="exact"/>
        <w:rPr>
          <w:szCs w:val="21"/>
        </w:rPr>
      </w:pPr>
    </w:p>
    <w:p>
      <w:pPr>
        <w:spacing w:line="440" w:lineRule="exact"/>
        <w:rPr>
          <w:szCs w:val="21"/>
        </w:rPr>
      </w:pPr>
    </w:p>
    <w:p>
      <w:pPr>
        <w:spacing w:line="440" w:lineRule="exact"/>
        <w:rPr>
          <w:szCs w:val="21"/>
        </w:rPr>
      </w:pPr>
    </w:p>
    <w:p>
      <w:pPr>
        <w:spacing w:line="440" w:lineRule="exact"/>
        <w:rPr>
          <w:szCs w:val="21"/>
        </w:rPr>
      </w:pPr>
      <w:r>
        <w:rPr>
          <w:szCs w:val="21"/>
        </w:rPr>
        <w:t>　　　　　　　　　　　　　　　投标人：</w:t>
      </w:r>
      <w:r>
        <w:rPr>
          <w:szCs w:val="21"/>
          <w:u w:val="single"/>
        </w:rPr>
        <w:t xml:space="preserve">                      </w:t>
      </w:r>
      <w:r>
        <w:rPr>
          <w:rFonts w:hint="eastAsia"/>
          <w:szCs w:val="21"/>
          <w:u w:val="single"/>
        </w:rPr>
        <w:t xml:space="preserve">  </w:t>
      </w:r>
      <w:r>
        <w:rPr>
          <w:szCs w:val="21"/>
        </w:rPr>
        <w:t>（盖单位章）</w:t>
      </w:r>
    </w:p>
    <w:p>
      <w:pPr>
        <w:spacing w:line="440" w:lineRule="exact"/>
        <w:rPr>
          <w:szCs w:val="21"/>
        </w:rPr>
      </w:pPr>
      <w:r>
        <w:rPr>
          <w:szCs w:val="21"/>
        </w:rPr>
        <w:t>　　　　　　　　　　　　　　　</w:t>
      </w:r>
    </w:p>
    <w:p>
      <w:pPr>
        <w:spacing w:line="440" w:lineRule="exact"/>
        <w:rPr>
          <w:szCs w:val="21"/>
        </w:rPr>
      </w:pPr>
      <w:r>
        <w:rPr>
          <w:szCs w:val="21"/>
        </w:rPr>
        <w:t>　　　　　　　　　　　　　　　法定代表人或其委托代理人：</w:t>
      </w:r>
      <w:r>
        <w:rPr>
          <w:szCs w:val="21"/>
          <w:u w:val="single"/>
        </w:rPr>
        <w:t xml:space="preserve">          </w:t>
      </w:r>
      <w:r>
        <w:rPr>
          <w:szCs w:val="21"/>
        </w:rPr>
        <w:t>（签字）</w:t>
      </w:r>
    </w:p>
    <w:p>
      <w:pPr>
        <w:spacing w:line="440" w:lineRule="exact"/>
        <w:rPr>
          <w:szCs w:val="21"/>
        </w:rPr>
      </w:pPr>
      <w:r>
        <w:rPr>
          <w:szCs w:val="21"/>
        </w:rPr>
        <w:t>　　　　　　　　　　　　　　　</w:t>
      </w:r>
    </w:p>
    <w:p>
      <w:pPr>
        <w:spacing w:line="440" w:lineRule="exact"/>
        <w:rPr>
          <w:szCs w:val="21"/>
        </w:rPr>
      </w:pPr>
      <w:r>
        <w:rPr>
          <w:szCs w:val="21"/>
        </w:rPr>
        <w:t xml:space="preserve">　　　　　　　　　　　　　　　        </w:t>
      </w:r>
      <w:r>
        <w:rPr>
          <w:rFonts w:hint="eastAsia"/>
          <w:szCs w:val="21"/>
        </w:rPr>
        <w:t xml:space="preserve">    </w:t>
      </w:r>
      <w:r>
        <w:rPr>
          <w:szCs w:val="21"/>
          <w:u w:val="single"/>
        </w:rPr>
        <w:t xml:space="preserve">        </w:t>
      </w:r>
      <w:r>
        <w:rPr>
          <w:szCs w:val="21"/>
        </w:rPr>
        <w:t>年</w:t>
      </w:r>
      <w:r>
        <w:rPr>
          <w:szCs w:val="21"/>
          <w:u w:val="single"/>
        </w:rPr>
        <w:t xml:space="preserve">        </w:t>
      </w:r>
      <w:r>
        <w:rPr>
          <w:szCs w:val="21"/>
        </w:rPr>
        <w:t>月</w:t>
      </w:r>
      <w:r>
        <w:rPr>
          <w:szCs w:val="21"/>
          <w:u w:val="single"/>
        </w:rPr>
        <w:t xml:space="preserve">        </w:t>
      </w:r>
      <w:r>
        <w:rPr>
          <w:szCs w:val="21"/>
        </w:rPr>
        <w:t>日</w:t>
      </w:r>
    </w:p>
    <w:p>
      <w:pPr>
        <w:spacing w:line="400" w:lineRule="exact"/>
        <w:rPr>
          <w:rFonts w:hint="eastAsia"/>
        </w:rPr>
      </w:pPr>
    </w:p>
    <w:p>
      <w:pPr>
        <w:spacing w:line="400" w:lineRule="exact"/>
        <w:rPr>
          <w:rFonts w:hint="eastAsia"/>
        </w:rPr>
      </w:pPr>
    </w:p>
    <w:p>
      <w:pPr>
        <w:spacing w:line="400" w:lineRule="exact"/>
        <w:rPr>
          <w:rFonts w:hint="eastAsia"/>
        </w:rPr>
      </w:pPr>
    </w:p>
    <w:p>
      <w:pPr>
        <w:spacing w:line="400" w:lineRule="exact"/>
        <w:rPr>
          <w:rFonts w:hint="eastAsia"/>
        </w:rPr>
      </w:pPr>
    </w:p>
    <w:p>
      <w:pPr>
        <w:pStyle w:val="3"/>
        <w:rPr>
          <w:rFonts w:hint="eastAsia"/>
        </w:rPr>
      </w:pPr>
      <w:bookmarkStart w:id="422" w:name="_Toc144974551"/>
      <w:bookmarkStart w:id="423" w:name="_Toc152042361"/>
      <w:bookmarkStart w:id="424" w:name="_Toc152045584"/>
      <w:bookmarkStart w:id="425" w:name="_Toc179632602"/>
      <w:bookmarkStart w:id="426" w:name="_Toc246996227"/>
      <w:bookmarkStart w:id="427" w:name="_Toc246996970"/>
      <w:bookmarkStart w:id="428" w:name="_Toc247085742"/>
      <w:bookmarkStart w:id="429" w:name="_Toc296602472"/>
      <w:bookmarkStart w:id="430" w:name="_Toc17119"/>
      <w:r>
        <w:rPr>
          <w:rFonts w:hint="eastAsia"/>
        </w:rPr>
        <w:t>附件四：中标通知书</w:t>
      </w:r>
      <w:bookmarkEnd w:id="422"/>
      <w:bookmarkEnd w:id="423"/>
      <w:bookmarkEnd w:id="424"/>
      <w:bookmarkEnd w:id="425"/>
      <w:bookmarkEnd w:id="426"/>
      <w:bookmarkEnd w:id="427"/>
      <w:bookmarkEnd w:id="428"/>
      <w:bookmarkEnd w:id="429"/>
      <w:bookmarkEnd w:id="430"/>
    </w:p>
    <w:p>
      <w:pPr>
        <w:spacing w:line="400" w:lineRule="exact"/>
      </w:pPr>
    </w:p>
    <w:p>
      <w:pPr>
        <w:spacing w:line="400" w:lineRule="exact"/>
        <w:jc w:val="center"/>
        <w:rPr>
          <w:rFonts w:hint="eastAsia" w:ascii="黑体" w:eastAsia="黑体"/>
          <w:sz w:val="28"/>
          <w:szCs w:val="28"/>
        </w:rPr>
      </w:pPr>
      <w:r>
        <w:rPr>
          <w:rFonts w:hint="eastAsia" w:ascii="黑体" w:eastAsia="黑体"/>
          <w:sz w:val="28"/>
          <w:szCs w:val="28"/>
        </w:rPr>
        <w:t>中标通知书</w:t>
      </w:r>
    </w:p>
    <w:p>
      <w:pPr>
        <w:spacing w:line="400" w:lineRule="exact"/>
      </w:pPr>
      <w:r>
        <w:t xml:space="preserve">                              </w:t>
      </w:r>
    </w:p>
    <w:p>
      <w:pPr>
        <w:spacing w:line="440" w:lineRule="exact"/>
        <w:rPr>
          <w:szCs w:val="21"/>
        </w:rPr>
      </w:pPr>
      <w:r>
        <w:rPr>
          <w:szCs w:val="21"/>
          <w:u w:val="single"/>
        </w:rPr>
        <w:t xml:space="preserve">                   </w:t>
      </w:r>
      <w:r>
        <w:rPr>
          <w:szCs w:val="21"/>
        </w:rPr>
        <w:t>（中标人名称）：</w:t>
      </w:r>
    </w:p>
    <w:p>
      <w:pPr>
        <w:spacing w:line="440" w:lineRule="exact"/>
        <w:rPr>
          <w:szCs w:val="21"/>
        </w:rPr>
      </w:pPr>
    </w:p>
    <w:p>
      <w:pPr>
        <w:spacing w:line="440" w:lineRule="exact"/>
        <w:rPr>
          <w:szCs w:val="21"/>
        </w:rPr>
      </w:pPr>
      <w:r>
        <w:rPr>
          <w:szCs w:val="21"/>
        </w:rPr>
        <w:t>　　你方于</w:t>
      </w:r>
      <w:r>
        <w:rPr>
          <w:szCs w:val="21"/>
          <w:u w:val="single"/>
        </w:rPr>
        <w:t xml:space="preserve">                   </w:t>
      </w:r>
      <w:r>
        <w:rPr>
          <w:szCs w:val="21"/>
        </w:rPr>
        <w:t>（投标日期）所递交的</w:t>
      </w:r>
      <w:r>
        <w:rPr>
          <w:szCs w:val="21"/>
          <w:u w:val="single"/>
        </w:rPr>
        <w:t xml:space="preserve">                   </w:t>
      </w:r>
      <w:r>
        <w:rPr>
          <w:szCs w:val="21"/>
        </w:rPr>
        <w:t>（项目名称）投标文件已被我方接受，被确定为中标人。</w:t>
      </w:r>
    </w:p>
    <w:p>
      <w:pPr>
        <w:spacing w:line="440" w:lineRule="exact"/>
        <w:rPr>
          <w:szCs w:val="21"/>
        </w:rPr>
      </w:pPr>
      <w:r>
        <w:rPr>
          <w:szCs w:val="21"/>
        </w:rPr>
        <w:t>　　中标价：</w:t>
      </w:r>
      <w:r>
        <w:rPr>
          <w:szCs w:val="21"/>
          <w:u w:val="single"/>
        </w:rPr>
        <w:t xml:space="preserve">                   </w:t>
      </w:r>
      <w:r>
        <w:rPr>
          <w:szCs w:val="21"/>
        </w:rPr>
        <w:t>元。</w:t>
      </w:r>
    </w:p>
    <w:p>
      <w:pPr>
        <w:spacing w:line="440" w:lineRule="exact"/>
        <w:rPr>
          <w:szCs w:val="21"/>
        </w:rPr>
      </w:pPr>
      <w:r>
        <w:rPr>
          <w:szCs w:val="21"/>
        </w:rPr>
        <w:t>　　工期：</w:t>
      </w:r>
      <w:r>
        <w:rPr>
          <w:szCs w:val="21"/>
          <w:u w:val="single"/>
        </w:rPr>
        <w:t xml:space="preserve">   </w:t>
      </w:r>
      <w:r>
        <w:rPr>
          <w:rFonts w:hint="eastAsia"/>
          <w:szCs w:val="21"/>
          <w:u w:val="single"/>
        </w:rPr>
        <w:t xml:space="preserve">    </w:t>
      </w:r>
      <w:r>
        <w:rPr>
          <w:szCs w:val="21"/>
          <w:u w:val="single"/>
        </w:rPr>
        <w:t xml:space="preserve">   </w:t>
      </w:r>
      <w:r>
        <w:rPr>
          <w:szCs w:val="21"/>
        </w:rPr>
        <w:t>日历天。</w:t>
      </w:r>
    </w:p>
    <w:p>
      <w:pPr>
        <w:spacing w:line="440" w:lineRule="exact"/>
        <w:rPr>
          <w:szCs w:val="21"/>
        </w:rPr>
      </w:pPr>
      <w:r>
        <w:rPr>
          <w:szCs w:val="21"/>
        </w:rPr>
        <w:t>　  工程质量：符合</w:t>
      </w:r>
      <w:r>
        <w:rPr>
          <w:szCs w:val="21"/>
          <w:u w:val="single"/>
        </w:rPr>
        <w:t xml:space="preserve">                      </w:t>
      </w:r>
      <w:r>
        <w:rPr>
          <w:szCs w:val="21"/>
        </w:rPr>
        <w:t>标准。</w:t>
      </w:r>
    </w:p>
    <w:p>
      <w:pPr>
        <w:spacing w:line="440" w:lineRule="exact"/>
        <w:rPr>
          <w:szCs w:val="21"/>
        </w:rPr>
      </w:pPr>
      <w:r>
        <w:rPr>
          <w:szCs w:val="21"/>
        </w:rPr>
        <w:t>　　项目经理：</w:t>
      </w:r>
      <w:r>
        <w:rPr>
          <w:szCs w:val="21"/>
          <w:u w:val="single"/>
        </w:rPr>
        <w:t xml:space="preserve">              </w:t>
      </w:r>
      <w:r>
        <w:rPr>
          <w:szCs w:val="21"/>
        </w:rPr>
        <w:t>（姓名）。</w:t>
      </w:r>
    </w:p>
    <w:p>
      <w:pPr>
        <w:spacing w:line="440" w:lineRule="exact"/>
        <w:ind w:firstLine="420"/>
        <w:rPr>
          <w:szCs w:val="21"/>
        </w:rPr>
      </w:pPr>
      <w:r>
        <w:rPr>
          <w:szCs w:val="21"/>
        </w:rPr>
        <w:t>请你方在接到本通知书后的</w:t>
      </w:r>
      <w:r>
        <w:rPr>
          <w:szCs w:val="21"/>
          <w:u w:val="single"/>
        </w:rPr>
        <w:t xml:space="preserve">   </w:t>
      </w:r>
      <w:r>
        <w:rPr>
          <w:rFonts w:hint="eastAsia"/>
          <w:szCs w:val="21"/>
          <w:u w:val="single"/>
        </w:rPr>
        <w:t xml:space="preserve">  </w:t>
      </w:r>
      <w:r>
        <w:rPr>
          <w:szCs w:val="21"/>
          <w:u w:val="single"/>
        </w:rPr>
        <w:t xml:space="preserve">  </w:t>
      </w:r>
      <w:r>
        <w:rPr>
          <w:szCs w:val="21"/>
        </w:rPr>
        <w:t>日内到</w:t>
      </w:r>
      <w:r>
        <w:rPr>
          <w:szCs w:val="21"/>
          <w:u w:val="single"/>
        </w:rPr>
        <w:t xml:space="preserve">                      </w:t>
      </w:r>
      <w:r>
        <w:rPr>
          <w:szCs w:val="21"/>
        </w:rPr>
        <w:t>（指定地点）与我方签订承包合同，在此之前按招标文件第二章“投标人须知”第7.</w:t>
      </w:r>
      <w:r>
        <w:rPr>
          <w:rFonts w:hint="eastAsia"/>
          <w:szCs w:val="21"/>
        </w:rPr>
        <w:t>4</w:t>
      </w:r>
      <w:r>
        <w:rPr>
          <w:szCs w:val="21"/>
        </w:rPr>
        <w:t>款规定向我方提交履约</w:t>
      </w:r>
      <w:r>
        <w:rPr>
          <w:rFonts w:hint="eastAsia"/>
          <w:szCs w:val="21"/>
        </w:rPr>
        <w:t>保证金</w:t>
      </w:r>
      <w:r>
        <w:rPr>
          <w:szCs w:val="21"/>
        </w:rPr>
        <w:t>。</w:t>
      </w:r>
    </w:p>
    <w:p>
      <w:pPr>
        <w:spacing w:line="440" w:lineRule="exact"/>
        <w:rPr>
          <w:szCs w:val="21"/>
        </w:rPr>
      </w:pPr>
      <w:r>
        <w:rPr>
          <w:szCs w:val="21"/>
        </w:rPr>
        <w:t>　　特此通知。</w:t>
      </w:r>
    </w:p>
    <w:p>
      <w:pPr>
        <w:spacing w:line="440" w:lineRule="exact"/>
        <w:rPr>
          <w:szCs w:val="21"/>
        </w:rPr>
      </w:pPr>
    </w:p>
    <w:p>
      <w:pPr>
        <w:spacing w:line="540" w:lineRule="exact"/>
        <w:jc w:val="left"/>
        <w:rPr>
          <w:rFonts w:hint="eastAsia"/>
          <w:szCs w:val="21"/>
        </w:rPr>
      </w:pPr>
      <w:r>
        <w:rPr>
          <w:szCs w:val="21"/>
        </w:rPr>
        <w:t>招标人：</w:t>
      </w:r>
      <w:r>
        <w:rPr>
          <w:szCs w:val="21"/>
          <w:u w:val="single"/>
        </w:rPr>
        <w:t xml:space="preserve">              </w:t>
      </w:r>
      <w:r>
        <w:rPr>
          <w:szCs w:val="21"/>
        </w:rPr>
        <w:t>（盖单位章）</w:t>
      </w:r>
      <w:r>
        <w:rPr>
          <w:rFonts w:hint="eastAsia"/>
          <w:szCs w:val="21"/>
        </w:rPr>
        <w:t xml:space="preserve">   招标代理机构：</w:t>
      </w:r>
      <w:r>
        <w:rPr>
          <w:szCs w:val="21"/>
          <w:u w:val="single"/>
        </w:rPr>
        <w:t xml:space="preserve">              </w:t>
      </w:r>
      <w:r>
        <w:rPr>
          <w:szCs w:val="21"/>
        </w:rPr>
        <w:t>（盖单位章）</w:t>
      </w:r>
    </w:p>
    <w:p>
      <w:pPr>
        <w:spacing w:line="540" w:lineRule="exact"/>
        <w:jc w:val="left"/>
        <w:rPr>
          <w:rFonts w:hint="eastAsia"/>
          <w:szCs w:val="21"/>
        </w:rPr>
      </w:pPr>
    </w:p>
    <w:p>
      <w:pPr>
        <w:spacing w:line="540" w:lineRule="exact"/>
        <w:rPr>
          <w:rFonts w:hint="eastAsia"/>
          <w:szCs w:val="21"/>
        </w:rPr>
      </w:pPr>
      <w:r>
        <w:rPr>
          <w:szCs w:val="21"/>
        </w:rPr>
        <w:t>法定代表人</w:t>
      </w:r>
      <w:r>
        <w:rPr>
          <w:rFonts w:hint="eastAsia"/>
          <w:szCs w:val="21"/>
        </w:rPr>
        <w:t>或授权委托人</w:t>
      </w:r>
      <w:r>
        <w:rPr>
          <w:szCs w:val="21"/>
        </w:rPr>
        <w:t>：</w:t>
      </w:r>
      <w:r>
        <w:rPr>
          <w:szCs w:val="21"/>
          <w:u w:val="single"/>
        </w:rPr>
        <w:t xml:space="preserve">        </w:t>
      </w:r>
      <w:r>
        <w:rPr>
          <w:szCs w:val="21"/>
        </w:rPr>
        <w:t>（签字）</w:t>
      </w:r>
      <w:r>
        <w:rPr>
          <w:rFonts w:hint="eastAsia"/>
          <w:szCs w:val="21"/>
        </w:rPr>
        <w:t xml:space="preserve">  </w:t>
      </w:r>
      <w:r>
        <w:rPr>
          <w:szCs w:val="21"/>
        </w:rPr>
        <w:t>法定代表人</w:t>
      </w:r>
      <w:r>
        <w:rPr>
          <w:rFonts w:hint="eastAsia"/>
          <w:szCs w:val="21"/>
        </w:rPr>
        <w:t>或授权委托人</w:t>
      </w:r>
      <w:r>
        <w:rPr>
          <w:szCs w:val="21"/>
        </w:rPr>
        <w:t>：</w:t>
      </w:r>
      <w:r>
        <w:rPr>
          <w:szCs w:val="21"/>
          <w:u w:val="single"/>
        </w:rPr>
        <w:t xml:space="preserve">      </w:t>
      </w:r>
      <w:r>
        <w:rPr>
          <w:szCs w:val="21"/>
        </w:rPr>
        <w:t>（签字）</w:t>
      </w:r>
    </w:p>
    <w:p>
      <w:pPr>
        <w:spacing w:line="540" w:lineRule="exact"/>
        <w:ind w:firstLine="3238" w:firstLineChars="1542"/>
        <w:rPr>
          <w:rFonts w:hint="eastAsia"/>
          <w:szCs w:val="21"/>
        </w:rPr>
      </w:pPr>
      <w:r>
        <w:rPr>
          <w:rFonts w:hint="eastAsia"/>
          <w:szCs w:val="21"/>
        </w:rPr>
        <w:t xml:space="preserve">      </w:t>
      </w:r>
    </w:p>
    <w:p>
      <w:pPr>
        <w:spacing w:line="540" w:lineRule="exact"/>
        <w:ind w:firstLine="3238" w:firstLineChars="1542"/>
        <w:rPr>
          <w:rFonts w:hint="eastAsia"/>
          <w:szCs w:val="21"/>
        </w:rPr>
      </w:pPr>
    </w:p>
    <w:p>
      <w:pPr>
        <w:spacing w:line="540" w:lineRule="exact"/>
        <w:rPr>
          <w:rFonts w:hint="eastAsia"/>
          <w:szCs w:val="21"/>
        </w:rPr>
      </w:pPr>
      <w:r>
        <w:rPr>
          <w:rFonts w:hint="eastAsia"/>
          <w:szCs w:val="21"/>
        </w:rPr>
        <w:t>交易见证：</w:t>
      </w:r>
      <w:r>
        <w:rPr>
          <w:szCs w:val="21"/>
          <w:u w:val="single"/>
        </w:rPr>
        <w:t xml:space="preserve">              </w:t>
      </w:r>
      <w:r>
        <w:rPr>
          <w:szCs w:val="21"/>
        </w:rPr>
        <w:t>（盖单位章）</w:t>
      </w:r>
      <w:r>
        <w:rPr>
          <w:rFonts w:hint="eastAsia"/>
          <w:szCs w:val="21"/>
        </w:rPr>
        <w:t xml:space="preserve">    监管部门：</w:t>
      </w:r>
      <w:r>
        <w:rPr>
          <w:rFonts w:hint="eastAsia"/>
          <w:szCs w:val="21"/>
          <w:u w:val="single"/>
        </w:rPr>
        <w:t xml:space="preserve">                </w:t>
      </w:r>
      <w:r>
        <w:rPr>
          <w:szCs w:val="21"/>
        </w:rPr>
        <w:t>（盖单位章）</w:t>
      </w:r>
    </w:p>
    <w:p>
      <w:pPr>
        <w:spacing w:line="540" w:lineRule="exact"/>
        <w:rPr>
          <w:szCs w:val="21"/>
        </w:rPr>
      </w:pPr>
    </w:p>
    <w:p>
      <w:pPr>
        <w:spacing w:line="540" w:lineRule="exact"/>
        <w:rPr>
          <w:rFonts w:hint="eastAsia"/>
          <w:szCs w:val="21"/>
        </w:rPr>
      </w:pPr>
      <w:r>
        <w:rPr>
          <w:rFonts w:hint="eastAsia"/>
          <w:szCs w:val="21"/>
        </w:rPr>
        <w:t xml:space="preserve">                               </w:t>
      </w:r>
    </w:p>
    <w:p>
      <w:pPr>
        <w:spacing w:line="540" w:lineRule="exact"/>
        <w:ind w:firstLine="3238" w:firstLineChars="1542"/>
        <w:rPr>
          <w:rFonts w:hint="eastAsia"/>
          <w:szCs w:val="21"/>
        </w:rPr>
      </w:pPr>
    </w:p>
    <w:p>
      <w:pPr>
        <w:spacing w:line="540" w:lineRule="exact"/>
        <w:ind w:firstLine="3549" w:firstLineChars="1690"/>
        <w:jc w:val="right"/>
        <w:rPr>
          <w:rFonts w:hint="eastAsia"/>
        </w:rPr>
      </w:pPr>
      <w:r>
        <w:rPr>
          <w:szCs w:val="21"/>
        </w:rPr>
        <w:t xml:space="preserve"> </w:t>
      </w:r>
      <w:r>
        <w:rPr>
          <w:szCs w:val="21"/>
          <w:u w:val="single"/>
        </w:rPr>
        <w:t xml:space="preserve">        </w:t>
      </w:r>
      <w:r>
        <w:rPr>
          <w:szCs w:val="21"/>
        </w:rPr>
        <w:t>年</w:t>
      </w:r>
      <w:r>
        <w:rPr>
          <w:szCs w:val="21"/>
          <w:u w:val="single"/>
        </w:rPr>
        <w:t xml:space="preserve">        </w:t>
      </w:r>
      <w:r>
        <w:rPr>
          <w:szCs w:val="21"/>
        </w:rPr>
        <w:t>月</w:t>
      </w:r>
      <w:r>
        <w:rPr>
          <w:szCs w:val="21"/>
          <w:u w:val="single"/>
        </w:rPr>
        <w:t xml:space="preserve">        </w:t>
      </w:r>
      <w:r>
        <w:rPr>
          <w:szCs w:val="21"/>
        </w:rPr>
        <w:t>日</w:t>
      </w:r>
    </w:p>
    <w:p>
      <w:pPr>
        <w:spacing w:line="400" w:lineRule="exact"/>
        <w:rPr>
          <w:rFonts w:hint="eastAsia"/>
        </w:rPr>
      </w:pPr>
      <w:r>
        <w:br w:type="page"/>
      </w:r>
    </w:p>
    <w:p>
      <w:pPr>
        <w:pStyle w:val="3"/>
        <w:rPr>
          <w:rFonts w:hint="eastAsia"/>
        </w:rPr>
      </w:pPr>
      <w:bookmarkStart w:id="431" w:name="_Toc144974553"/>
      <w:bookmarkStart w:id="432" w:name="_Toc152042363"/>
      <w:bookmarkStart w:id="433" w:name="_Toc152045586"/>
      <w:bookmarkStart w:id="434" w:name="_Toc179632604"/>
      <w:bookmarkStart w:id="435" w:name="_Toc246996229"/>
      <w:bookmarkStart w:id="436" w:name="_Toc246996972"/>
      <w:bookmarkStart w:id="437" w:name="_Toc247085744"/>
      <w:bookmarkStart w:id="438" w:name="_Toc296602474"/>
      <w:bookmarkStart w:id="439" w:name="_Toc7141"/>
      <w:r>
        <w:rPr>
          <w:rFonts w:hint="eastAsia"/>
        </w:rPr>
        <w:t>附件五：确认通知</w:t>
      </w:r>
      <w:bookmarkEnd w:id="431"/>
      <w:bookmarkEnd w:id="432"/>
      <w:bookmarkEnd w:id="433"/>
      <w:bookmarkEnd w:id="434"/>
      <w:bookmarkEnd w:id="435"/>
      <w:bookmarkEnd w:id="436"/>
      <w:bookmarkEnd w:id="437"/>
      <w:bookmarkEnd w:id="438"/>
      <w:bookmarkEnd w:id="439"/>
    </w:p>
    <w:p>
      <w:pPr>
        <w:spacing w:line="400" w:lineRule="exact"/>
        <w:rPr>
          <w:rFonts w:hint="eastAsia"/>
        </w:rPr>
      </w:pPr>
    </w:p>
    <w:p>
      <w:pPr>
        <w:spacing w:line="400" w:lineRule="exact"/>
        <w:jc w:val="center"/>
        <w:rPr>
          <w:rFonts w:hint="eastAsia" w:ascii="黑体" w:eastAsia="黑体"/>
          <w:sz w:val="28"/>
          <w:szCs w:val="28"/>
        </w:rPr>
      </w:pPr>
      <w:r>
        <w:rPr>
          <w:rFonts w:hint="eastAsia" w:ascii="黑体" w:eastAsia="黑体"/>
          <w:sz w:val="28"/>
          <w:szCs w:val="28"/>
        </w:rPr>
        <w:t>确认通知</w:t>
      </w:r>
    </w:p>
    <w:p>
      <w:pPr>
        <w:spacing w:line="400" w:lineRule="exact"/>
      </w:pPr>
    </w:p>
    <w:p>
      <w:pPr>
        <w:spacing w:line="440" w:lineRule="exact"/>
        <w:rPr>
          <w:szCs w:val="21"/>
        </w:rPr>
      </w:pPr>
      <w:r>
        <w:rPr>
          <w:szCs w:val="21"/>
          <w:u w:val="single"/>
        </w:rPr>
        <w:t xml:space="preserve">            </w:t>
      </w:r>
      <w:r>
        <w:rPr>
          <w:szCs w:val="21"/>
        </w:rPr>
        <w:t>（招标人名称）：</w:t>
      </w:r>
    </w:p>
    <w:p>
      <w:pPr>
        <w:spacing w:line="440" w:lineRule="exact"/>
        <w:rPr>
          <w:szCs w:val="21"/>
        </w:rPr>
      </w:pPr>
      <w:r>
        <w:rPr>
          <w:szCs w:val="21"/>
        </w:rPr>
        <w:t>　　</w:t>
      </w:r>
    </w:p>
    <w:p>
      <w:pPr>
        <w:spacing w:line="440" w:lineRule="exact"/>
        <w:ind w:firstLine="420" w:firstLineChars="200"/>
        <w:rPr>
          <w:rFonts w:hint="eastAsia"/>
          <w:szCs w:val="21"/>
          <w:u w:val="single"/>
        </w:rPr>
      </w:pPr>
      <w:r>
        <w:rPr>
          <w:szCs w:val="21"/>
        </w:rPr>
        <w:t>你方</w:t>
      </w:r>
      <w:r>
        <w:rPr>
          <w:rFonts w:hint="eastAsia"/>
          <w:szCs w:val="21"/>
        </w:rPr>
        <w:t>于</w:t>
      </w:r>
      <w:r>
        <w:rPr>
          <w:szCs w:val="21"/>
          <w:u w:val="single"/>
        </w:rPr>
        <w:t xml:space="preserve">  </w:t>
      </w:r>
      <w:r>
        <w:rPr>
          <w:rFonts w:hint="eastAsia"/>
          <w:szCs w:val="21"/>
          <w:u w:val="single"/>
        </w:rPr>
        <w:t xml:space="preserve"> </w:t>
      </w:r>
      <w:r>
        <w:rPr>
          <w:szCs w:val="21"/>
          <w:u w:val="single"/>
        </w:rPr>
        <w:t xml:space="preserve">   </w:t>
      </w:r>
      <w:r>
        <w:rPr>
          <w:szCs w:val="21"/>
        </w:rPr>
        <w:t xml:space="preserve">年 </w:t>
      </w:r>
      <w:r>
        <w:rPr>
          <w:szCs w:val="21"/>
          <w:u w:val="single"/>
        </w:rPr>
        <w:t xml:space="preserve">   </w:t>
      </w:r>
      <w:r>
        <w:rPr>
          <w:rFonts w:hint="eastAsia"/>
          <w:szCs w:val="21"/>
          <w:u w:val="single"/>
        </w:rPr>
        <w:t xml:space="preserve"> </w:t>
      </w:r>
      <w:r>
        <w:rPr>
          <w:szCs w:val="21"/>
          <w:u w:val="single"/>
        </w:rPr>
        <w:t xml:space="preserve"> </w:t>
      </w:r>
      <w:r>
        <w:rPr>
          <w:szCs w:val="21"/>
        </w:rPr>
        <w:t>月</w:t>
      </w:r>
      <w:r>
        <w:rPr>
          <w:szCs w:val="21"/>
          <w:u w:val="single"/>
        </w:rPr>
        <w:t xml:space="preserve">  </w:t>
      </w:r>
      <w:r>
        <w:rPr>
          <w:rFonts w:hint="eastAsia"/>
          <w:szCs w:val="21"/>
          <w:u w:val="single"/>
        </w:rPr>
        <w:t xml:space="preserve">  </w:t>
      </w:r>
      <w:r>
        <w:rPr>
          <w:szCs w:val="21"/>
          <w:u w:val="single"/>
        </w:rPr>
        <w:t xml:space="preserve"> </w:t>
      </w:r>
      <w:r>
        <w:rPr>
          <w:szCs w:val="21"/>
        </w:rPr>
        <w:t>日发出的</w:t>
      </w:r>
      <w:r>
        <w:rPr>
          <w:szCs w:val="21"/>
          <w:u w:val="single"/>
        </w:rPr>
        <w:t xml:space="preserve">  </w:t>
      </w:r>
      <w:r>
        <w:rPr>
          <w:rFonts w:hint="eastAsia"/>
          <w:szCs w:val="21"/>
          <w:u w:val="single"/>
        </w:rPr>
        <w:t xml:space="preserve">      </w:t>
      </w:r>
      <w:r>
        <w:rPr>
          <w:szCs w:val="21"/>
          <w:u w:val="single"/>
        </w:rPr>
        <w:t xml:space="preserve">      </w:t>
      </w:r>
      <w:r>
        <w:rPr>
          <w:szCs w:val="21"/>
        </w:rPr>
        <w:t>（项目名称）关于</w:t>
      </w:r>
      <w:r>
        <w:rPr>
          <w:szCs w:val="21"/>
          <w:u w:val="single"/>
        </w:rPr>
        <w:t xml:space="preserve">  </w:t>
      </w:r>
      <w:r>
        <w:rPr>
          <w:rFonts w:hint="eastAsia"/>
          <w:szCs w:val="21"/>
          <w:u w:val="single"/>
        </w:rPr>
        <w:t xml:space="preserve">     </w:t>
      </w:r>
    </w:p>
    <w:p>
      <w:pPr>
        <w:spacing w:line="440" w:lineRule="exact"/>
        <w:rPr>
          <w:szCs w:val="21"/>
        </w:rPr>
      </w:pPr>
      <w:r>
        <w:rPr>
          <w:szCs w:val="21"/>
          <w:u w:val="single"/>
        </w:rPr>
        <w:t xml:space="preserve">     </w:t>
      </w:r>
      <w:r>
        <w:rPr>
          <w:rFonts w:hint="eastAsia"/>
          <w:szCs w:val="21"/>
          <w:u w:val="single"/>
        </w:rPr>
        <w:t xml:space="preserve">        </w:t>
      </w:r>
      <w:r>
        <w:rPr>
          <w:szCs w:val="21"/>
          <w:u w:val="single"/>
        </w:rPr>
        <w:t xml:space="preserve">  </w:t>
      </w:r>
      <w:r>
        <w:rPr>
          <w:szCs w:val="21"/>
        </w:rPr>
        <w:t>的通知，我方已于</w:t>
      </w:r>
      <w:r>
        <w:rPr>
          <w:szCs w:val="21"/>
          <w:u w:val="single"/>
        </w:rPr>
        <w:t xml:space="preserve">  </w:t>
      </w:r>
      <w:r>
        <w:rPr>
          <w:rFonts w:hint="eastAsia"/>
          <w:szCs w:val="21"/>
          <w:u w:val="single"/>
        </w:rPr>
        <w:t xml:space="preserve"> </w:t>
      </w:r>
      <w:r>
        <w:rPr>
          <w:szCs w:val="21"/>
          <w:u w:val="single"/>
        </w:rPr>
        <w:t xml:space="preserve">   </w:t>
      </w:r>
      <w:r>
        <w:rPr>
          <w:szCs w:val="21"/>
        </w:rPr>
        <w:t>年</w:t>
      </w:r>
      <w:r>
        <w:rPr>
          <w:szCs w:val="21"/>
          <w:u w:val="single"/>
        </w:rPr>
        <w:t xml:space="preserve">  </w:t>
      </w:r>
      <w:r>
        <w:rPr>
          <w:rFonts w:hint="eastAsia"/>
          <w:szCs w:val="21"/>
          <w:u w:val="single"/>
        </w:rPr>
        <w:t xml:space="preserve"> </w:t>
      </w:r>
      <w:r>
        <w:rPr>
          <w:szCs w:val="21"/>
          <w:u w:val="single"/>
        </w:rPr>
        <w:t xml:space="preserve">   </w:t>
      </w:r>
      <w:r>
        <w:rPr>
          <w:szCs w:val="21"/>
        </w:rPr>
        <w:t>月</w:t>
      </w:r>
      <w:r>
        <w:rPr>
          <w:szCs w:val="21"/>
          <w:u w:val="single"/>
        </w:rPr>
        <w:t xml:space="preserve">  </w:t>
      </w:r>
      <w:r>
        <w:rPr>
          <w:rFonts w:hint="eastAsia"/>
          <w:szCs w:val="21"/>
          <w:u w:val="single"/>
        </w:rPr>
        <w:t xml:space="preserve"> </w:t>
      </w:r>
      <w:r>
        <w:rPr>
          <w:szCs w:val="21"/>
          <w:u w:val="single"/>
        </w:rPr>
        <w:t xml:space="preserve">   </w:t>
      </w:r>
      <w:r>
        <w:rPr>
          <w:szCs w:val="21"/>
        </w:rPr>
        <w:t>日收到。</w:t>
      </w:r>
    </w:p>
    <w:p>
      <w:pPr>
        <w:spacing w:line="440" w:lineRule="exact"/>
        <w:rPr>
          <w:szCs w:val="21"/>
        </w:rPr>
      </w:pPr>
    </w:p>
    <w:p>
      <w:pPr>
        <w:spacing w:line="440" w:lineRule="exact"/>
        <w:rPr>
          <w:szCs w:val="21"/>
        </w:rPr>
      </w:pPr>
      <w:r>
        <w:rPr>
          <w:szCs w:val="21"/>
        </w:rPr>
        <w:t>　　特此确认。</w:t>
      </w:r>
    </w:p>
    <w:p>
      <w:pPr>
        <w:spacing w:line="440" w:lineRule="exact"/>
        <w:rPr>
          <w:szCs w:val="21"/>
        </w:rPr>
      </w:pPr>
    </w:p>
    <w:p>
      <w:pPr>
        <w:spacing w:line="440" w:lineRule="exact"/>
        <w:rPr>
          <w:szCs w:val="21"/>
        </w:rPr>
      </w:pPr>
    </w:p>
    <w:p>
      <w:pPr>
        <w:spacing w:line="440" w:lineRule="exact"/>
        <w:rPr>
          <w:szCs w:val="21"/>
        </w:rPr>
      </w:pPr>
      <w:r>
        <w:rPr>
          <w:szCs w:val="21"/>
        </w:rPr>
        <w:t xml:space="preserve">                              投标人：</w:t>
      </w:r>
      <w:r>
        <w:rPr>
          <w:szCs w:val="21"/>
          <w:u w:val="single"/>
        </w:rPr>
        <w:t xml:space="preserve">             </w:t>
      </w:r>
      <w:r>
        <w:rPr>
          <w:szCs w:val="21"/>
        </w:rPr>
        <w:t xml:space="preserve"> （盖单位章）</w:t>
      </w:r>
    </w:p>
    <w:p>
      <w:pPr>
        <w:spacing w:line="440" w:lineRule="exact"/>
        <w:rPr>
          <w:szCs w:val="21"/>
        </w:rPr>
      </w:pPr>
    </w:p>
    <w:p>
      <w:pPr>
        <w:spacing w:line="400" w:lineRule="exact"/>
      </w:pPr>
      <w:r>
        <w:rPr>
          <w:szCs w:val="21"/>
        </w:rPr>
        <w:t xml:space="preserve">                                  </w:t>
      </w:r>
      <w:r>
        <w:rPr>
          <w:szCs w:val="21"/>
          <w:u w:val="single"/>
        </w:rPr>
        <w:t xml:space="preserve">       </w:t>
      </w:r>
      <w:r>
        <w:rPr>
          <w:szCs w:val="21"/>
        </w:rPr>
        <w:t>年</w:t>
      </w:r>
      <w:r>
        <w:rPr>
          <w:szCs w:val="21"/>
          <w:u w:val="single"/>
        </w:rPr>
        <w:t xml:space="preserve">       </w:t>
      </w:r>
      <w:r>
        <w:rPr>
          <w:szCs w:val="21"/>
        </w:rPr>
        <w:t>月</w:t>
      </w:r>
      <w:r>
        <w:rPr>
          <w:szCs w:val="21"/>
          <w:u w:val="single"/>
        </w:rPr>
        <w:t xml:space="preserve">       </w:t>
      </w:r>
      <w:r>
        <w:rPr>
          <w:szCs w:val="21"/>
        </w:rPr>
        <w:t>日</w:t>
      </w:r>
    </w:p>
    <w:p>
      <w:pPr>
        <w:spacing w:line="400" w:lineRule="exact"/>
        <w:jc w:val="right"/>
      </w:pPr>
    </w:p>
    <w:p>
      <w:pPr>
        <w:spacing w:line="400" w:lineRule="exact"/>
        <w:jc w:val="right"/>
      </w:pPr>
    </w:p>
    <w:p>
      <w:pPr>
        <w:spacing w:line="400" w:lineRule="exact"/>
        <w:jc w:val="right"/>
      </w:pPr>
    </w:p>
    <w:p>
      <w:pPr>
        <w:spacing w:line="400" w:lineRule="exact"/>
        <w:jc w:val="right"/>
      </w:pPr>
    </w:p>
    <w:p>
      <w:pPr>
        <w:spacing w:line="400" w:lineRule="exact"/>
        <w:jc w:val="right"/>
      </w:pPr>
    </w:p>
    <w:p>
      <w:pPr>
        <w:spacing w:line="400" w:lineRule="exact"/>
        <w:jc w:val="right"/>
      </w:pPr>
    </w:p>
    <w:p>
      <w:pPr>
        <w:spacing w:line="400" w:lineRule="exact"/>
        <w:jc w:val="right"/>
      </w:pPr>
    </w:p>
    <w:p>
      <w:pPr>
        <w:spacing w:line="400" w:lineRule="exact"/>
        <w:jc w:val="right"/>
      </w:pPr>
    </w:p>
    <w:p>
      <w:pPr>
        <w:spacing w:line="400" w:lineRule="exact"/>
        <w:jc w:val="right"/>
      </w:pPr>
    </w:p>
    <w:p>
      <w:pPr>
        <w:spacing w:line="400" w:lineRule="exact"/>
        <w:jc w:val="right"/>
      </w:pPr>
    </w:p>
    <w:p>
      <w:pPr>
        <w:spacing w:line="400" w:lineRule="exact"/>
        <w:jc w:val="right"/>
      </w:pPr>
    </w:p>
    <w:p>
      <w:pPr>
        <w:spacing w:line="400" w:lineRule="exact"/>
        <w:jc w:val="right"/>
      </w:pPr>
    </w:p>
    <w:p>
      <w:pPr>
        <w:spacing w:line="400" w:lineRule="exact"/>
        <w:jc w:val="right"/>
      </w:pPr>
    </w:p>
    <w:p>
      <w:pPr>
        <w:pStyle w:val="2"/>
        <w:numPr>
          <w:ilvl w:val="0"/>
          <w:numId w:val="2"/>
        </w:numPr>
        <w:spacing w:line="440" w:lineRule="exact"/>
        <w:jc w:val="center"/>
      </w:pPr>
      <w:bookmarkStart w:id="440" w:name="_Toc152042364"/>
      <w:bookmarkStart w:id="441" w:name="_Toc152045587"/>
      <w:bookmarkStart w:id="442" w:name="_Toc144974554"/>
      <w:bookmarkStart w:id="443" w:name="_Toc179632605"/>
      <w:bookmarkStart w:id="444" w:name="_Toc246996973"/>
      <w:bookmarkStart w:id="445" w:name="_Toc31636"/>
      <w:bookmarkStart w:id="446" w:name="_Toc247085745"/>
      <w:bookmarkStart w:id="447" w:name="_Toc246996230"/>
      <w:r>
        <w:rPr>
          <w:rFonts w:hint="eastAsia"/>
        </w:rPr>
        <w:t>评标办法</w:t>
      </w:r>
      <w:bookmarkEnd w:id="440"/>
      <w:bookmarkEnd w:id="441"/>
      <w:bookmarkEnd w:id="442"/>
      <w:bookmarkEnd w:id="443"/>
      <w:bookmarkEnd w:id="444"/>
      <w:bookmarkEnd w:id="445"/>
      <w:bookmarkEnd w:id="446"/>
      <w:bookmarkEnd w:id="447"/>
    </w:p>
    <w:p>
      <w:pPr>
        <w:autoSpaceDE w:val="0"/>
        <w:autoSpaceDN w:val="0"/>
        <w:adjustRightInd w:val="0"/>
        <w:spacing w:line="440" w:lineRule="exact"/>
        <w:ind w:firstLine="643" w:firstLineChars="200"/>
        <w:outlineLvl w:val="1"/>
        <w:rPr>
          <w:rFonts w:ascii="宋体" w:hAnsi="宋体"/>
          <w:b/>
          <w:kern w:val="0"/>
          <w:sz w:val="30"/>
          <w:szCs w:val="30"/>
        </w:rPr>
      </w:pPr>
      <w:bookmarkStart w:id="448" w:name="_Toc31821"/>
      <w:bookmarkStart w:id="449" w:name="_Toc3951"/>
      <w:r>
        <w:rPr>
          <w:rFonts w:hint="eastAsia" w:ascii="宋体" w:hAnsi="宋体"/>
          <w:b/>
          <w:kern w:val="0"/>
          <w:sz w:val="32"/>
          <w:szCs w:val="32"/>
        </w:rPr>
        <w:t>一、</w:t>
      </w:r>
      <w:r>
        <w:rPr>
          <w:rFonts w:hint="eastAsia" w:ascii="宋体" w:hAnsi="宋体"/>
          <w:b/>
          <w:kern w:val="0"/>
          <w:sz w:val="30"/>
          <w:szCs w:val="30"/>
        </w:rPr>
        <w:t>综合评分法</w:t>
      </w:r>
      <w:bookmarkEnd w:id="448"/>
      <w:bookmarkEnd w:id="449"/>
    </w:p>
    <w:p>
      <w:pPr>
        <w:autoSpaceDE w:val="0"/>
        <w:autoSpaceDN w:val="0"/>
        <w:adjustRightInd w:val="0"/>
        <w:spacing w:line="440" w:lineRule="exact"/>
        <w:ind w:firstLine="422" w:firstLineChars="200"/>
        <w:outlineLvl w:val="1"/>
        <w:rPr>
          <w:rFonts w:ascii="宋体" w:hAnsi="宋体"/>
          <w:b/>
          <w:kern w:val="0"/>
          <w:szCs w:val="21"/>
        </w:rPr>
      </w:pPr>
    </w:p>
    <w:p>
      <w:pPr>
        <w:autoSpaceDE w:val="0"/>
        <w:autoSpaceDN w:val="0"/>
        <w:adjustRightInd w:val="0"/>
        <w:spacing w:line="560" w:lineRule="exact"/>
        <w:ind w:firstLine="482" w:firstLineChars="200"/>
        <w:rPr>
          <w:rFonts w:ascii="宋体" w:hAnsi="宋体"/>
          <w:b/>
          <w:sz w:val="24"/>
        </w:rPr>
      </w:pPr>
      <w:r>
        <w:rPr>
          <w:rFonts w:hint="eastAsia" w:ascii="宋体" w:hAnsi="宋体"/>
          <w:b/>
          <w:sz w:val="24"/>
        </w:rPr>
        <w:t>1. 评标准则和评标方法</w:t>
      </w:r>
    </w:p>
    <w:p>
      <w:pPr>
        <w:autoSpaceDE w:val="0"/>
        <w:autoSpaceDN w:val="0"/>
        <w:adjustRightInd w:val="0"/>
        <w:spacing w:line="520" w:lineRule="exact"/>
        <w:ind w:firstLine="420" w:firstLineChars="200"/>
        <w:rPr>
          <w:rFonts w:ascii="宋体" w:hAnsi="宋体"/>
          <w:szCs w:val="21"/>
        </w:rPr>
      </w:pPr>
      <w:r>
        <w:rPr>
          <w:rFonts w:hint="eastAsia" w:ascii="宋体" w:hAnsi="宋体"/>
          <w:szCs w:val="21"/>
        </w:rPr>
        <w:t>1.1  评标过程将遵循“公平、公正、科学、择优”的原则进行。</w:t>
      </w:r>
    </w:p>
    <w:p>
      <w:pPr>
        <w:autoSpaceDE w:val="0"/>
        <w:autoSpaceDN w:val="0"/>
        <w:adjustRightInd w:val="0"/>
        <w:spacing w:line="520" w:lineRule="exact"/>
        <w:ind w:firstLine="420" w:firstLineChars="200"/>
        <w:rPr>
          <w:rFonts w:ascii="宋体" w:hAnsi="宋体"/>
          <w:kern w:val="0"/>
          <w:szCs w:val="21"/>
        </w:rPr>
      </w:pPr>
      <w:r>
        <w:rPr>
          <w:rFonts w:hint="eastAsia" w:ascii="宋体" w:hAnsi="宋体"/>
          <w:szCs w:val="21"/>
        </w:rPr>
        <w:t>1.2  评标将严格按照招标文</w:t>
      </w:r>
      <w:r>
        <w:rPr>
          <w:rFonts w:hint="eastAsia" w:ascii="宋体" w:hAnsi="宋体"/>
          <w:kern w:val="0"/>
          <w:szCs w:val="21"/>
        </w:rPr>
        <w:t>件的要求和条件进行。</w:t>
      </w:r>
    </w:p>
    <w:p>
      <w:pPr>
        <w:autoSpaceDE w:val="0"/>
        <w:autoSpaceDN w:val="0"/>
        <w:adjustRightInd w:val="0"/>
        <w:spacing w:line="520" w:lineRule="exact"/>
        <w:ind w:firstLine="420" w:firstLineChars="200"/>
        <w:rPr>
          <w:rFonts w:ascii="宋体" w:hAnsi="宋体"/>
          <w:szCs w:val="21"/>
        </w:rPr>
      </w:pPr>
      <w:r>
        <w:rPr>
          <w:rFonts w:hint="eastAsia" w:ascii="宋体" w:hAnsi="宋体"/>
          <w:kern w:val="0"/>
          <w:szCs w:val="21"/>
        </w:rPr>
        <w:t>1.3  本</w:t>
      </w:r>
      <w:r>
        <w:rPr>
          <w:rFonts w:hint="eastAsia" w:ascii="宋体" w:hAnsi="宋体"/>
          <w:szCs w:val="21"/>
        </w:rPr>
        <w:t>次评标采用综合评分法。评标委员会对满足招标文件实质性要求的投标文件，按照本章第2.2款规定的评分标准进行打分，</w:t>
      </w:r>
      <w:r>
        <w:rPr>
          <w:rFonts w:ascii="宋体" w:hAnsi="宋体"/>
          <w:szCs w:val="21"/>
        </w:rPr>
        <w:t>评审后得分由高到低顺序排列。得分相同的，按投标报价由低到高顺序排列。得分且投标报价相同的，按技术指标优劣顺序排列。</w:t>
      </w:r>
    </w:p>
    <w:p>
      <w:pPr>
        <w:autoSpaceDE w:val="0"/>
        <w:autoSpaceDN w:val="0"/>
        <w:adjustRightInd w:val="0"/>
        <w:spacing w:line="560" w:lineRule="exact"/>
        <w:ind w:firstLine="482" w:firstLineChars="200"/>
        <w:rPr>
          <w:rFonts w:ascii="宋体" w:hAnsi="宋体"/>
          <w:b/>
          <w:kern w:val="0"/>
          <w:sz w:val="24"/>
        </w:rPr>
      </w:pPr>
      <w:r>
        <w:rPr>
          <w:rFonts w:hint="eastAsia" w:ascii="宋体" w:hAnsi="宋体"/>
          <w:b/>
          <w:kern w:val="0"/>
          <w:sz w:val="24"/>
        </w:rPr>
        <w:t>2.  评审标准</w:t>
      </w:r>
    </w:p>
    <w:p>
      <w:pPr>
        <w:autoSpaceDE w:val="0"/>
        <w:autoSpaceDN w:val="0"/>
        <w:adjustRightInd w:val="0"/>
        <w:spacing w:line="560" w:lineRule="exact"/>
        <w:ind w:firstLine="420" w:firstLineChars="200"/>
        <w:rPr>
          <w:rFonts w:ascii="宋体" w:hAnsi="宋体"/>
          <w:b/>
          <w:kern w:val="0"/>
          <w:sz w:val="24"/>
        </w:rPr>
      </w:pPr>
      <w:r>
        <w:rPr>
          <w:rFonts w:hint="eastAsia" w:ascii="宋体" w:hAnsi="宋体"/>
          <w:kern w:val="0"/>
          <w:szCs w:val="21"/>
        </w:rPr>
        <w:t>2.1初步评审标准</w:t>
      </w:r>
    </w:p>
    <w:tbl>
      <w:tblPr>
        <w:tblStyle w:val="41"/>
        <w:tblpPr w:leftFromText="180" w:rightFromText="180" w:vertAnchor="text" w:horzAnchor="page" w:tblpX="1980" w:tblpY="135"/>
        <w:tblOverlap w:val="never"/>
        <w:tblW w:w="90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2335"/>
        <w:gridCol w:w="5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trPr>
        <w:tc>
          <w:tcPr>
            <w:tcW w:w="3070"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
                <w:szCs w:val="21"/>
              </w:rPr>
            </w:pPr>
            <w:r>
              <w:rPr>
                <w:rFonts w:hint="eastAsia" w:ascii="宋体" w:hAnsi="宋体"/>
                <w:b/>
                <w:szCs w:val="21"/>
              </w:rPr>
              <w:t>评审因素</w:t>
            </w:r>
          </w:p>
        </w:tc>
        <w:tc>
          <w:tcPr>
            <w:tcW w:w="593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
                <w:szCs w:val="21"/>
              </w:rPr>
            </w:pPr>
            <w:r>
              <w:rPr>
                <w:rFonts w:hint="eastAsia" w:ascii="宋体" w:hAnsi="宋体"/>
                <w:b/>
                <w:szCs w:val="21"/>
              </w:rPr>
              <w:t>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4" w:hRule="atLeast"/>
        </w:trPr>
        <w:tc>
          <w:tcPr>
            <w:tcW w:w="735" w:type="dxa"/>
            <w:vMerge w:val="restart"/>
            <w:tcBorders>
              <w:top w:val="single" w:color="auto" w:sz="4" w:space="0"/>
              <w:left w:val="single" w:color="auto" w:sz="4" w:space="0"/>
              <w:right w:val="single" w:color="auto" w:sz="4" w:space="0"/>
            </w:tcBorders>
            <w:vAlign w:val="center"/>
          </w:tcPr>
          <w:p>
            <w:pPr>
              <w:spacing w:line="360" w:lineRule="exact"/>
              <w:ind w:firstLine="105" w:firstLineChars="50"/>
              <w:rPr>
                <w:rFonts w:ascii="宋体" w:hAnsi="宋体"/>
                <w:szCs w:val="21"/>
              </w:rPr>
            </w:pPr>
            <w:r>
              <w:rPr>
                <w:rFonts w:hint="eastAsia" w:ascii="宋体" w:hAnsi="宋体"/>
                <w:szCs w:val="21"/>
              </w:rPr>
              <w:t>一</w:t>
            </w:r>
          </w:p>
          <w:p>
            <w:pPr>
              <w:spacing w:line="360" w:lineRule="exact"/>
              <w:jc w:val="center"/>
              <w:rPr>
                <w:rFonts w:ascii="宋体" w:hAnsi="宋体"/>
                <w:szCs w:val="21"/>
              </w:rPr>
            </w:pPr>
            <w:r>
              <w:rPr>
                <w:rFonts w:hint="eastAsia" w:ascii="宋体" w:hAnsi="宋体"/>
                <w:szCs w:val="21"/>
              </w:rPr>
              <w:t>资格评审标准</w:t>
            </w:r>
          </w:p>
        </w:tc>
        <w:tc>
          <w:tcPr>
            <w:tcW w:w="2335"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szCs w:val="21"/>
              </w:rPr>
            </w:pPr>
            <w:r>
              <w:rPr>
                <w:rFonts w:hint="eastAsia" w:ascii="宋体" w:hAnsi="宋体"/>
                <w:szCs w:val="21"/>
              </w:rPr>
              <w:t>营业执照（副本）</w:t>
            </w:r>
          </w:p>
        </w:tc>
        <w:tc>
          <w:tcPr>
            <w:tcW w:w="5938"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szCs w:val="21"/>
              </w:rPr>
            </w:pPr>
            <w:r>
              <w:rPr>
                <w:rFonts w:hint="eastAsia" w:ascii="宋体" w:hAnsi="宋体"/>
                <w:szCs w:val="21"/>
              </w:rPr>
              <w:t>具备有效的营业执照（原件）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2" w:hRule="atLeast"/>
        </w:trPr>
        <w:tc>
          <w:tcPr>
            <w:tcW w:w="735" w:type="dxa"/>
            <w:vMerge w:val="continue"/>
            <w:tcBorders>
              <w:left w:val="single" w:color="auto" w:sz="4" w:space="0"/>
              <w:right w:val="single" w:color="auto" w:sz="4" w:space="0"/>
            </w:tcBorders>
            <w:vAlign w:val="center"/>
          </w:tcPr>
          <w:p>
            <w:pPr>
              <w:widowControl/>
              <w:spacing w:line="360" w:lineRule="exact"/>
              <w:jc w:val="left"/>
              <w:rPr>
                <w:rFonts w:ascii="宋体" w:hAnsi="宋体"/>
                <w:szCs w:val="21"/>
              </w:rPr>
            </w:pPr>
          </w:p>
        </w:tc>
        <w:tc>
          <w:tcPr>
            <w:tcW w:w="2335"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szCs w:val="21"/>
              </w:rPr>
            </w:pPr>
            <w:r>
              <w:rPr>
                <w:rFonts w:hint="eastAsia" w:ascii="宋体" w:hAnsi="宋体"/>
                <w:szCs w:val="21"/>
              </w:rPr>
              <w:t>税务登记证（副本）</w:t>
            </w:r>
          </w:p>
        </w:tc>
        <w:tc>
          <w:tcPr>
            <w:tcW w:w="5938"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szCs w:val="21"/>
              </w:rPr>
            </w:pPr>
            <w:r>
              <w:rPr>
                <w:rFonts w:hint="eastAsia" w:ascii="宋体" w:hAnsi="宋体"/>
                <w:szCs w:val="21"/>
              </w:rPr>
              <w:t>具备有效的税务登记证（原件）（三证合一单位只需提供营业执照副本）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4" w:hRule="atLeast"/>
        </w:trPr>
        <w:tc>
          <w:tcPr>
            <w:tcW w:w="735" w:type="dxa"/>
            <w:vMerge w:val="continue"/>
            <w:tcBorders>
              <w:left w:val="single" w:color="auto" w:sz="4" w:space="0"/>
              <w:right w:val="single" w:color="auto" w:sz="4" w:space="0"/>
            </w:tcBorders>
            <w:vAlign w:val="center"/>
          </w:tcPr>
          <w:p>
            <w:pPr>
              <w:widowControl/>
              <w:spacing w:line="360" w:lineRule="exact"/>
              <w:jc w:val="left"/>
              <w:rPr>
                <w:rFonts w:ascii="宋体" w:hAnsi="宋体"/>
                <w:szCs w:val="21"/>
              </w:rPr>
            </w:pPr>
          </w:p>
        </w:tc>
        <w:tc>
          <w:tcPr>
            <w:tcW w:w="2335"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szCs w:val="21"/>
              </w:rPr>
            </w:pPr>
            <w:r>
              <w:rPr>
                <w:rFonts w:hint="eastAsia" w:ascii="宋体" w:hAnsi="宋体"/>
                <w:szCs w:val="21"/>
              </w:rPr>
              <w:t>组织机构代码证（副本）</w:t>
            </w:r>
          </w:p>
        </w:tc>
        <w:tc>
          <w:tcPr>
            <w:tcW w:w="5938"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szCs w:val="21"/>
              </w:rPr>
            </w:pPr>
            <w:r>
              <w:rPr>
                <w:rFonts w:hint="eastAsia" w:ascii="宋体" w:hAnsi="宋体"/>
                <w:szCs w:val="21"/>
              </w:rPr>
              <w:t>具备有效的组织机构代码证（原件）（三证合一单位只需提供营业执照副本）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trPr>
        <w:tc>
          <w:tcPr>
            <w:tcW w:w="735" w:type="dxa"/>
            <w:vMerge w:val="continue"/>
            <w:tcBorders>
              <w:left w:val="single" w:color="auto" w:sz="4" w:space="0"/>
              <w:right w:val="single" w:color="auto" w:sz="4" w:space="0"/>
            </w:tcBorders>
            <w:vAlign w:val="center"/>
          </w:tcPr>
          <w:p>
            <w:pPr>
              <w:widowControl/>
              <w:spacing w:line="360" w:lineRule="exact"/>
              <w:jc w:val="left"/>
              <w:rPr>
                <w:rFonts w:ascii="宋体" w:hAnsi="宋体"/>
                <w:szCs w:val="21"/>
              </w:rPr>
            </w:pPr>
          </w:p>
        </w:tc>
        <w:tc>
          <w:tcPr>
            <w:tcW w:w="2335"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szCs w:val="21"/>
              </w:rPr>
            </w:pPr>
            <w:r>
              <w:rPr>
                <w:rFonts w:hint="eastAsia" w:ascii="宋体" w:hAnsi="宋体"/>
                <w:szCs w:val="21"/>
              </w:rPr>
              <w:t>法人代表证明</w:t>
            </w:r>
          </w:p>
        </w:tc>
        <w:tc>
          <w:tcPr>
            <w:tcW w:w="5938"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szCs w:val="21"/>
              </w:rPr>
            </w:pPr>
            <w:r>
              <w:rPr>
                <w:rFonts w:hint="eastAsia" w:ascii="宋体" w:hAnsi="宋体"/>
                <w:szCs w:val="21"/>
              </w:rPr>
              <w:t>法人代表（负责人）证明或法人授权委托书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7" w:hRule="atLeast"/>
        </w:trPr>
        <w:tc>
          <w:tcPr>
            <w:tcW w:w="735" w:type="dxa"/>
            <w:vMerge w:val="continue"/>
            <w:tcBorders>
              <w:left w:val="single" w:color="auto" w:sz="4" w:space="0"/>
              <w:right w:val="single" w:color="auto" w:sz="4" w:space="0"/>
            </w:tcBorders>
            <w:vAlign w:val="center"/>
          </w:tcPr>
          <w:p>
            <w:pPr>
              <w:widowControl/>
              <w:spacing w:line="360" w:lineRule="exact"/>
              <w:jc w:val="left"/>
              <w:rPr>
                <w:rFonts w:ascii="宋体" w:hAnsi="宋体"/>
                <w:szCs w:val="21"/>
              </w:rPr>
            </w:pPr>
          </w:p>
        </w:tc>
        <w:tc>
          <w:tcPr>
            <w:tcW w:w="2335"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szCs w:val="21"/>
              </w:rPr>
            </w:pPr>
            <w:r>
              <w:rPr>
                <w:rFonts w:hint="eastAsia" w:ascii="宋体" w:hAnsi="宋体"/>
                <w:szCs w:val="21"/>
              </w:rPr>
              <w:t>投标保证金</w:t>
            </w:r>
          </w:p>
        </w:tc>
        <w:tc>
          <w:tcPr>
            <w:tcW w:w="5938"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szCs w:val="21"/>
              </w:rPr>
            </w:pPr>
            <w:r>
              <w:rPr>
                <w:rFonts w:hint="eastAsia" w:ascii="宋体" w:hAnsi="宋体"/>
                <w:szCs w:val="21"/>
              </w:rPr>
              <w:t>人民币</w:t>
            </w:r>
            <w:r>
              <w:rPr>
                <w:rFonts w:hint="eastAsia" w:ascii="宋体" w:hAnsi="宋体"/>
                <w:szCs w:val="21"/>
                <w:u w:val="single"/>
              </w:rPr>
              <w:t>壹拾柒万</w:t>
            </w:r>
            <w:r>
              <w:rPr>
                <w:rFonts w:hint="eastAsia" w:ascii="宋体" w:hAnsi="宋体"/>
                <w:szCs w:val="21"/>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trPr>
        <w:tc>
          <w:tcPr>
            <w:tcW w:w="735" w:type="dxa"/>
            <w:vMerge w:val="continue"/>
            <w:tcBorders>
              <w:left w:val="single" w:color="auto" w:sz="4" w:space="0"/>
              <w:right w:val="single" w:color="auto" w:sz="4" w:space="0"/>
            </w:tcBorders>
            <w:vAlign w:val="center"/>
          </w:tcPr>
          <w:p>
            <w:pPr>
              <w:widowControl/>
              <w:spacing w:line="360" w:lineRule="exact"/>
              <w:jc w:val="left"/>
              <w:rPr>
                <w:rFonts w:ascii="宋体" w:hAnsi="宋体"/>
                <w:szCs w:val="21"/>
              </w:rPr>
            </w:pPr>
          </w:p>
        </w:tc>
        <w:tc>
          <w:tcPr>
            <w:tcW w:w="2335"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szCs w:val="21"/>
              </w:rPr>
            </w:pPr>
            <w:r>
              <w:rPr>
                <w:rFonts w:hint="eastAsia" w:ascii="宋体" w:hAnsi="宋体"/>
                <w:szCs w:val="21"/>
              </w:rPr>
              <w:t>资质等级</w:t>
            </w:r>
          </w:p>
        </w:tc>
        <w:tc>
          <w:tcPr>
            <w:tcW w:w="5938"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szCs w:val="21"/>
              </w:rPr>
            </w:pPr>
            <w:r>
              <w:rPr>
                <w:rFonts w:hint="eastAsia" w:ascii="宋体" w:hAnsi="宋体"/>
                <w:szCs w:val="21"/>
              </w:rPr>
              <w:t>符合第二章“投标人须知”第1.4.1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trPr>
        <w:tc>
          <w:tcPr>
            <w:tcW w:w="735" w:type="dxa"/>
            <w:vMerge w:val="continue"/>
            <w:tcBorders>
              <w:left w:val="single" w:color="auto" w:sz="4" w:space="0"/>
              <w:right w:val="single" w:color="auto" w:sz="4" w:space="0"/>
            </w:tcBorders>
            <w:vAlign w:val="center"/>
          </w:tcPr>
          <w:p>
            <w:pPr>
              <w:widowControl/>
              <w:spacing w:line="360" w:lineRule="exact"/>
              <w:jc w:val="left"/>
              <w:rPr>
                <w:rFonts w:ascii="宋体" w:hAnsi="宋体"/>
                <w:szCs w:val="21"/>
              </w:rPr>
            </w:pPr>
          </w:p>
        </w:tc>
        <w:tc>
          <w:tcPr>
            <w:tcW w:w="2335"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szCs w:val="21"/>
              </w:rPr>
            </w:pPr>
            <w:r>
              <w:rPr>
                <w:rFonts w:hint="eastAsia" w:ascii="宋体" w:hAnsi="宋体"/>
                <w:szCs w:val="21"/>
              </w:rPr>
              <w:t>财务状况</w:t>
            </w:r>
          </w:p>
        </w:tc>
        <w:tc>
          <w:tcPr>
            <w:tcW w:w="5938"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szCs w:val="21"/>
              </w:rPr>
            </w:pPr>
            <w:r>
              <w:rPr>
                <w:rFonts w:hint="eastAsia" w:ascii="宋体" w:hAnsi="宋体"/>
                <w:szCs w:val="21"/>
              </w:rPr>
              <w:t>符合第二章“投标人须知”第1.4.1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trPr>
        <w:tc>
          <w:tcPr>
            <w:tcW w:w="735" w:type="dxa"/>
            <w:vMerge w:val="continue"/>
            <w:tcBorders>
              <w:left w:val="single" w:color="auto" w:sz="4" w:space="0"/>
              <w:right w:val="single" w:color="auto" w:sz="4" w:space="0"/>
            </w:tcBorders>
            <w:vAlign w:val="center"/>
          </w:tcPr>
          <w:p>
            <w:pPr>
              <w:widowControl/>
              <w:spacing w:line="360" w:lineRule="exact"/>
              <w:jc w:val="left"/>
              <w:rPr>
                <w:rFonts w:ascii="宋体" w:hAnsi="宋体"/>
                <w:szCs w:val="21"/>
              </w:rPr>
            </w:pPr>
          </w:p>
        </w:tc>
        <w:tc>
          <w:tcPr>
            <w:tcW w:w="2335"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szCs w:val="21"/>
              </w:rPr>
            </w:pPr>
            <w:r>
              <w:rPr>
                <w:rFonts w:hint="eastAsia" w:ascii="宋体" w:hAnsi="宋体"/>
                <w:szCs w:val="21"/>
              </w:rPr>
              <w:t>业绩要求</w:t>
            </w:r>
          </w:p>
        </w:tc>
        <w:tc>
          <w:tcPr>
            <w:tcW w:w="5938"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szCs w:val="21"/>
              </w:rPr>
            </w:pPr>
            <w:r>
              <w:rPr>
                <w:rFonts w:hint="eastAsia" w:ascii="宋体" w:hAnsi="宋体"/>
                <w:szCs w:val="21"/>
              </w:rPr>
              <w:t>符合第二章“投标人须知”第1.4.1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trPr>
        <w:tc>
          <w:tcPr>
            <w:tcW w:w="735" w:type="dxa"/>
            <w:vMerge w:val="continue"/>
            <w:tcBorders>
              <w:left w:val="single" w:color="auto" w:sz="4" w:space="0"/>
              <w:right w:val="single" w:color="auto" w:sz="4" w:space="0"/>
            </w:tcBorders>
            <w:vAlign w:val="center"/>
          </w:tcPr>
          <w:p>
            <w:pPr>
              <w:widowControl/>
              <w:spacing w:line="360" w:lineRule="exact"/>
              <w:jc w:val="left"/>
              <w:rPr>
                <w:rFonts w:ascii="宋体" w:hAnsi="宋体"/>
                <w:szCs w:val="21"/>
              </w:rPr>
            </w:pPr>
          </w:p>
        </w:tc>
        <w:tc>
          <w:tcPr>
            <w:tcW w:w="2335"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szCs w:val="21"/>
              </w:rPr>
            </w:pPr>
            <w:r>
              <w:rPr>
                <w:rFonts w:hint="eastAsia" w:ascii="宋体" w:hAnsi="宋体"/>
                <w:szCs w:val="21"/>
              </w:rPr>
              <w:t>项目经理</w:t>
            </w:r>
          </w:p>
        </w:tc>
        <w:tc>
          <w:tcPr>
            <w:tcW w:w="5938"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szCs w:val="21"/>
              </w:rPr>
            </w:pPr>
            <w:r>
              <w:rPr>
                <w:rFonts w:hint="eastAsia" w:ascii="宋体" w:hAnsi="宋体"/>
                <w:szCs w:val="21"/>
              </w:rPr>
              <w:t>符合第二章“投标人须知”第1.4.1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trPr>
        <w:tc>
          <w:tcPr>
            <w:tcW w:w="735" w:type="dxa"/>
            <w:vMerge w:val="continue"/>
            <w:tcBorders>
              <w:left w:val="single" w:color="auto" w:sz="4" w:space="0"/>
              <w:right w:val="single" w:color="auto" w:sz="4" w:space="0"/>
            </w:tcBorders>
            <w:vAlign w:val="center"/>
          </w:tcPr>
          <w:p>
            <w:pPr>
              <w:widowControl/>
              <w:spacing w:line="360" w:lineRule="exact"/>
              <w:jc w:val="left"/>
              <w:rPr>
                <w:rFonts w:ascii="宋体" w:hAnsi="宋体"/>
                <w:szCs w:val="21"/>
              </w:rPr>
            </w:pPr>
          </w:p>
        </w:tc>
        <w:tc>
          <w:tcPr>
            <w:tcW w:w="2335"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szCs w:val="21"/>
              </w:rPr>
            </w:pPr>
            <w:r>
              <w:rPr>
                <w:rFonts w:hint="eastAsia"/>
                <w:szCs w:val="21"/>
              </w:rPr>
              <w:t>信誉要求</w:t>
            </w:r>
          </w:p>
        </w:tc>
        <w:tc>
          <w:tcPr>
            <w:tcW w:w="5938"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szCs w:val="21"/>
              </w:rPr>
            </w:pPr>
            <w:r>
              <w:rPr>
                <w:rFonts w:hint="eastAsia" w:ascii="宋体" w:hAnsi="宋体"/>
                <w:szCs w:val="21"/>
              </w:rPr>
              <w:t>符合第二章“投标人须知”第1.4.1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6" w:hRule="atLeast"/>
        </w:trPr>
        <w:tc>
          <w:tcPr>
            <w:tcW w:w="735" w:type="dxa"/>
            <w:vMerge w:val="continue"/>
            <w:tcBorders>
              <w:left w:val="single" w:color="auto" w:sz="4" w:space="0"/>
              <w:right w:val="single" w:color="auto" w:sz="4" w:space="0"/>
            </w:tcBorders>
            <w:vAlign w:val="center"/>
          </w:tcPr>
          <w:p>
            <w:pPr>
              <w:widowControl/>
              <w:spacing w:line="360" w:lineRule="exact"/>
              <w:jc w:val="left"/>
              <w:rPr>
                <w:rFonts w:ascii="宋体" w:hAnsi="宋体"/>
                <w:szCs w:val="21"/>
              </w:rPr>
            </w:pPr>
          </w:p>
        </w:tc>
        <w:tc>
          <w:tcPr>
            <w:tcW w:w="2335" w:type="dxa"/>
            <w:tcBorders>
              <w:top w:val="single" w:color="auto" w:sz="4" w:space="0"/>
              <w:left w:val="single" w:color="auto" w:sz="4" w:space="0"/>
              <w:bottom w:val="single" w:color="auto" w:sz="4" w:space="0"/>
              <w:right w:val="single" w:color="auto" w:sz="4" w:space="0"/>
            </w:tcBorders>
            <w:vAlign w:val="top"/>
          </w:tcPr>
          <w:p>
            <w:pPr>
              <w:spacing w:line="360" w:lineRule="auto"/>
              <w:ind w:firstLine="420" w:firstLineChars="200"/>
              <w:rPr>
                <w:rFonts w:ascii="宋体" w:hAnsi="宋体"/>
                <w:szCs w:val="21"/>
              </w:rPr>
            </w:pPr>
            <w:r>
              <w:rPr>
                <w:rFonts w:hint="eastAsia" w:ascii="宋体" w:hAnsi="宋体"/>
                <w:szCs w:val="21"/>
              </w:rPr>
              <w:t>农民工工资承诺</w:t>
            </w:r>
          </w:p>
        </w:tc>
        <w:tc>
          <w:tcPr>
            <w:tcW w:w="5938" w:type="dxa"/>
            <w:tcBorders>
              <w:top w:val="single" w:color="auto" w:sz="4" w:space="0"/>
              <w:left w:val="single" w:color="auto" w:sz="4" w:space="0"/>
              <w:bottom w:val="single" w:color="auto" w:sz="4" w:space="0"/>
              <w:right w:val="single" w:color="auto" w:sz="4" w:space="0"/>
            </w:tcBorders>
            <w:vAlign w:val="top"/>
          </w:tcPr>
          <w:p>
            <w:pPr>
              <w:spacing w:line="360" w:lineRule="auto"/>
              <w:rPr>
                <w:rFonts w:ascii="宋体" w:hAnsi="宋体"/>
                <w:szCs w:val="21"/>
              </w:rPr>
            </w:pPr>
            <w:r>
              <w:rPr>
                <w:rFonts w:hint="eastAsia" w:ascii="宋体" w:hAnsi="宋体"/>
                <w:szCs w:val="21"/>
              </w:rPr>
              <w:t>符合第二章“投标人须知前附表”第9.11项规定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trPr>
        <w:tc>
          <w:tcPr>
            <w:tcW w:w="735" w:type="dxa"/>
            <w:vMerge w:val="restart"/>
            <w:tcBorders>
              <w:top w:val="single" w:color="auto" w:sz="4" w:space="0"/>
              <w:left w:val="single" w:color="auto" w:sz="4" w:space="0"/>
              <w:right w:val="single" w:color="auto" w:sz="4" w:space="0"/>
            </w:tcBorders>
            <w:vAlign w:val="center"/>
          </w:tcPr>
          <w:p>
            <w:pPr>
              <w:spacing w:line="360" w:lineRule="exact"/>
              <w:jc w:val="center"/>
              <w:rPr>
                <w:rFonts w:ascii="宋体" w:hAnsi="宋体"/>
                <w:szCs w:val="21"/>
              </w:rPr>
            </w:pPr>
            <w:r>
              <w:rPr>
                <w:rFonts w:hint="eastAsia" w:ascii="宋体" w:hAnsi="宋体"/>
                <w:szCs w:val="21"/>
              </w:rPr>
              <w:t>二</w:t>
            </w:r>
          </w:p>
          <w:p>
            <w:pPr>
              <w:spacing w:line="360" w:lineRule="exact"/>
              <w:jc w:val="center"/>
              <w:rPr>
                <w:rFonts w:ascii="宋体" w:hAnsi="宋体"/>
                <w:szCs w:val="21"/>
              </w:rPr>
            </w:pPr>
            <w:r>
              <w:rPr>
                <w:rFonts w:hint="eastAsia" w:ascii="宋体" w:hAnsi="宋体"/>
                <w:szCs w:val="21"/>
              </w:rPr>
              <w:t>形式评审标准</w:t>
            </w:r>
          </w:p>
        </w:tc>
        <w:tc>
          <w:tcPr>
            <w:tcW w:w="2335"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szCs w:val="21"/>
              </w:rPr>
            </w:pPr>
            <w:r>
              <w:rPr>
                <w:rFonts w:hint="eastAsia" w:ascii="宋体" w:hAnsi="宋体"/>
                <w:szCs w:val="21"/>
              </w:rPr>
              <w:t>投标人名称</w:t>
            </w:r>
          </w:p>
        </w:tc>
        <w:tc>
          <w:tcPr>
            <w:tcW w:w="5938"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szCs w:val="21"/>
              </w:rPr>
            </w:pPr>
            <w:r>
              <w:rPr>
                <w:rFonts w:hint="eastAsia" w:ascii="宋体" w:hAnsi="宋体"/>
                <w:szCs w:val="21"/>
              </w:rPr>
              <w:t>与营业执照、资质证书等证件一致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1" w:hRule="atLeast"/>
        </w:trPr>
        <w:tc>
          <w:tcPr>
            <w:tcW w:w="735" w:type="dxa"/>
            <w:vMerge w:val="continue"/>
            <w:tcBorders>
              <w:top w:val="single" w:color="auto" w:sz="4" w:space="0"/>
              <w:left w:val="single" w:color="auto" w:sz="4" w:space="0"/>
              <w:right w:val="single" w:color="auto" w:sz="4" w:space="0"/>
            </w:tcBorders>
            <w:vAlign w:val="center"/>
          </w:tcPr>
          <w:p>
            <w:pPr>
              <w:spacing w:line="360" w:lineRule="exact"/>
              <w:jc w:val="center"/>
              <w:rPr>
                <w:rFonts w:ascii="宋体" w:hAnsi="宋体"/>
                <w:szCs w:val="21"/>
              </w:rPr>
            </w:pPr>
          </w:p>
        </w:tc>
        <w:tc>
          <w:tcPr>
            <w:tcW w:w="2335"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szCs w:val="21"/>
              </w:rPr>
            </w:pPr>
            <w:r>
              <w:rPr>
                <w:rFonts w:hint="eastAsia" w:ascii="宋体" w:hAnsi="宋体"/>
                <w:szCs w:val="21"/>
              </w:rPr>
              <w:t>投标函签字盖章</w:t>
            </w:r>
          </w:p>
        </w:tc>
        <w:tc>
          <w:tcPr>
            <w:tcW w:w="5938"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szCs w:val="21"/>
              </w:rPr>
            </w:pPr>
            <w:r>
              <w:rPr>
                <w:rFonts w:hint="eastAsia" w:ascii="宋体" w:hAnsi="宋体"/>
                <w:szCs w:val="21"/>
              </w:rPr>
              <w:t>由法定代表人或委托代理人签字并加盖单位公章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8" w:hRule="atLeast"/>
        </w:trPr>
        <w:tc>
          <w:tcPr>
            <w:tcW w:w="735" w:type="dxa"/>
            <w:vMerge w:val="continue"/>
            <w:tcBorders>
              <w:left w:val="single" w:color="auto" w:sz="4" w:space="0"/>
              <w:right w:val="single" w:color="auto" w:sz="4" w:space="0"/>
            </w:tcBorders>
            <w:vAlign w:val="center"/>
          </w:tcPr>
          <w:p>
            <w:pPr>
              <w:widowControl/>
              <w:spacing w:line="360" w:lineRule="exact"/>
              <w:jc w:val="left"/>
              <w:rPr>
                <w:rFonts w:ascii="宋体" w:hAnsi="宋体"/>
                <w:szCs w:val="21"/>
              </w:rPr>
            </w:pPr>
          </w:p>
        </w:tc>
        <w:tc>
          <w:tcPr>
            <w:tcW w:w="2335"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szCs w:val="21"/>
              </w:rPr>
            </w:pPr>
            <w:r>
              <w:rPr>
                <w:rFonts w:hint="eastAsia" w:ascii="宋体" w:hAnsi="宋体"/>
                <w:szCs w:val="21"/>
              </w:rPr>
              <w:t>投标文件格式</w:t>
            </w:r>
          </w:p>
        </w:tc>
        <w:tc>
          <w:tcPr>
            <w:tcW w:w="5938"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szCs w:val="21"/>
              </w:rPr>
            </w:pPr>
            <w:r>
              <w:rPr>
                <w:rFonts w:hint="eastAsia" w:ascii="宋体" w:hAnsi="宋体"/>
                <w:szCs w:val="21"/>
              </w:rPr>
              <w:t>基本符合招标文件格式要求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3" w:hRule="atLeast"/>
        </w:trPr>
        <w:tc>
          <w:tcPr>
            <w:tcW w:w="735" w:type="dxa"/>
            <w:vMerge w:val="restart"/>
            <w:tcBorders>
              <w:top w:val="single" w:color="auto" w:sz="4" w:space="0"/>
              <w:left w:val="single" w:color="auto" w:sz="4" w:space="0"/>
              <w:right w:val="single" w:color="auto" w:sz="4" w:space="0"/>
            </w:tcBorders>
            <w:vAlign w:val="center"/>
          </w:tcPr>
          <w:p>
            <w:pPr>
              <w:rPr>
                <w:rFonts w:ascii="宋体" w:hAnsi="宋体"/>
                <w:szCs w:val="21"/>
              </w:rPr>
            </w:pPr>
            <w:r>
              <w:rPr>
                <w:rFonts w:hint="eastAsia" w:ascii="宋体" w:hAnsi="宋体"/>
                <w:szCs w:val="21"/>
              </w:rPr>
              <w:t>三</w:t>
            </w:r>
          </w:p>
          <w:p>
            <w:pPr>
              <w:rPr>
                <w:rFonts w:ascii="宋体" w:hAnsi="宋体"/>
                <w:szCs w:val="21"/>
              </w:rPr>
            </w:pPr>
            <w:r>
              <w:rPr>
                <w:rFonts w:hint="eastAsia" w:ascii="宋体" w:hAnsi="宋体"/>
                <w:szCs w:val="21"/>
              </w:rPr>
              <w:t>符合性评审标准</w:t>
            </w:r>
          </w:p>
        </w:tc>
        <w:tc>
          <w:tcPr>
            <w:tcW w:w="2335" w:type="dxa"/>
            <w:tcBorders>
              <w:top w:val="single" w:color="auto" w:sz="4" w:space="0"/>
              <w:left w:val="single" w:color="auto" w:sz="4" w:space="0"/>
              <w:bottom w:val="single" w:color="auto" w:sz="4" w:space="0"/>
              <w:right w:val="single" w:color="auto" w:sz="4" w:space="0"/>
            </w:tcBorders>
            <w:vAlign w:val="center"/>
          </w:tcPr>
          <w:p>
            <w:pPr>
              <w:ind w:firstLine="105" w:firstLineChars="50"/>
              <w:rPr>
                <w:rFonts w:ascii="宋体" w:hAnsi="宋体"/>
                <w:szCs w:val="21"/>
              </w:rPr>
            </w:pPr>
            <w:r>
              <w:rPr>
                <w:rFonts w:hint="eastAsia" w:ascii="宋体" w:hAnsi="宋体"/>
                <w:szCs w:val="21"/>
              </w:rPr>
              <w:t>投标内容和技术标准</w:t>
            </w:r>
          </w:p>
        </w:tc>
        <w:tc>
          <w:tcPr>
            <w:tcW w:w="5938" w:type="dxa"/>
            <w:tcBorders>
              <w:top w:val="single" w:color="auto" w:sz="4" w:space="0"/>
              <w:left w:val="single" w:color="auto" w:sz="4" w:space="0"/>
              <w:bottom w:val="single" w:color="auto" w:sz="4" w:space="0"/>
              <w:right w:val="single" w:color="auto" w:sz="4" w:space="0"/>
            </w:tcBorders>
            <w:vAlign w:val="center"/>
          </w:tcPr>
          <w:p>
            <w:pPr>
              <w:rPr>
                <w:rFonts w:ascii="宋体"/>
                <w:b/>
                <w:szCs w:val="21"/>
              </w:rPr>
            </w:pPr>
            <w:r>
              <w:rPr>
                <w:rFonts w:hint="eastAsia" w:ascii="宋体"/>
                <w:b/>
                <w:szCs w:val="21"/>
              </w:rPr>
              <w:t>符合本招标项目内容和参数的规定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6" w:hRule="atLeast"/>
        </w:trPr>
        <w:tc>
          <w:tcPr>
            <w:tcW w:w="735" w:type="dxa"/>
            <w:vMerge w:val="continue"/>
            <w:tcBorders>
              <w:top w:val="single" w:color="auto" w:sz="4" w:space="0"/>
              <w:left w:val="single" w:color="auto" w:sz="4" w:space="0"/>
              <w:right w:val="single" w:color="auto" w:sz="4" w:space="0"/>
            </w:tcBorders>
            <w:vAlign w:val="center"/>
          </w:tcPr>
          <w:p>
            <w:pPr>
              <w:rPr>
                <w:rFonts w:ascii="宋体" w:hAnsi="宋体"/>
                <w:szCs w:val="21"/>
              </w:rPr>
            </w:pPr>
          </w:p>
        </w:tc>
        <w:tc>
          <w:tcPr>
            <w:tcW w:w="2335" w:type="dxa"/>
            <w:tcBorders>
              <w:top w:val="single" w:color="auto" w:sz="4" w:space="0"/>
              <w:left w:val="single" w:color="auto" w:sz="4" w:space="0"/>
              <w:bottom w:val="single" w:color="auto" w:sz="4" w:space="0"/>
              <w:right w:val="single" w:color="auto" w:sz="4" w:space="0"/>
            </w:tcBorders>
            <w:vAlign w:val="center"/>
          </w:tcPr>
          <w:p>
            <w:pPr>
              <w:ind w:firstLine="420" w:firstLineChars="200"/>
              <w:jc w:val="center"/>
              <w:rPr>
                <w:rFonts w:ascii="宋体" w:hAnsi="宋体"/>
                <w:szCs w:val="21"/>
              </w:rPr>
            </w:pPr>
            <w:r>
              <w:rPr>
                <w:rFonts w:hint="eastAsia" w:ascii="宋体" w:hAnsi="宋体"/>
                <w:szCs w:val="21"/>
              </w:rPr>
              <w:t>工期</w:t>
            </w:r>
          </w:p>
        </w:tc>
        <w:tc>
          <w:tcPr>
            <w:tcW w:w="5938" w:type="dxa"/>
            <w:tcBorders>
              <w:top w:val="single" w:color="auto" w:sz="4" w:space="0"/>
              <w:left w:val="single" w:color="auto" w:sz="4" w:space="0"/>
              <w:bottom w:val="single" w:color="auto" w:sz="4" w:space="0"/>
              <w:right w:val="single" w:color="auto" w:sz="4" w:space="0"/>
            </w:tcBorders>
            <w:vAlign w:val="center"/>
          </w:tcPr>
          <w:p>
            <w:pPr>
              <w:rPr>
                <w:rFonts w:ascii="宋体"/>
                <w:b/>
                <w:szCs w:val="21"/>
              </w:rPr>
            </w:pPr>
            <w:r>
              <w:rPr>
                <w:rFonts w:hint="eastAsia" w:ascii="宋体"/>
                <w:b/>
                <w:szCs w:val="21"/>
                <w:u w:val="single"/>
              </w:rPr>
              <w:t>200</w:t>
            </w:r>
            <w:r>
              <w:rPr>
                <w:rFonts w:hint="eastAsia" w:ascii="宋体"/>
                <w:b/>
                <w:szCs w:val="21"/>
              </w:rPr>
              <w:t>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1" w:hRule="atLeast"/>
        </w:trPr>
        <w:tc>
          <w:tcPr>
            <w:tcW w:w="735" w:type="dxa"/>
            <w:vMerge w:val="continue"/>
            <w:tcBorders>
              <w:top w:val="single" w:color="auto" w:sz="4" w:space="0"/>
              <w:left w:val="single" w:color="auto" w:sz="4" w:space="0"/>
              <w:right w:val="single" w:color="auto" w:sz="4" w:space="0"/>
            </w:tcBorders>
            <w:vAlign w:val="center"/>
          </w:tcPr>
          <w:p>
            <w:pPr>
              <w:spacing w:line="360" w:lineRule="exact"/>
              <w:jc w:val="center"/>
              <w:rPr>
                <w:rFonts w:ascii="宋体" w:hAnsi="宋体"/>
                <w:szCs w:val="21"/>
              </w:rPr>
            </w:pPr>
          </w:p>
        </w:tc>
        <w:tc>
          <w:tcPr>
            <w:tcW w:w="2335"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szCs w:val="21"/>
              </w:rPr>
            </w:pPr>
            <w:r>
              <w:rPr>
                <w:rFonts w:hint="eastAsia" w:ascii="宋体" w:hAnsi="宋体"/>
                <w:szCs w:val="21"/>
              </w:rPr>
              <w:t>供货质量</w:t>
            </w:r>
          </w:p>
        </w:tc>
        <w:tc>
          <w:tcPr>
            <w:tcW w:w="5938"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szCs w:val="21"/>
              </w:rPr>
            </w:pPr>
            <w:r>
              <w:rPr>
                <w:rFonts w:hint="eastAsia" w:ascii="宋体" w:hAnsi="宋体"/>
                <w:szCs w:val="21"/>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2" w:hRule="atLeast"/>
        </w:trPr>
        <w:tc>
          <w:tcPr>
            <w:tcW w:w="735" w:type="dxa"/>
            <w:vMerge w:val="continue"/>
            <w:tcBorders>
              <w:top w:val="single" w:color="auto" w:sz="4" w:space="0"/>
              <w:left w:val="single" w:color="auto" w:sz="4" w:space="0"/>
              <w:right w:val="single" w:color="auto" w:sz="4" w:space="0"/>
            </w:tcBorders>
            <w:vAlign w:val="center"/>
          </w:tcPr>
          <w:p>
            <w:pPr>
              <w:spacing w:line="360" w:lineRule="exact"/>
              <w:jc w:val="center"/>
              <w:rPr>
                <w:rFonts w:ascii="宋体" w:hAnsi="宋体"/>
                <w:szCs w:val="21"/>
              </w:rPr>
            </w:pPr>
          </w:p>
        </w:tc>
        <w:tc>
          <w:tcPr>
            <w:tcW w:w="2335"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szCs w:val="21"/>
              </w:rPr>
            </w:pPr>
            <w:r>
              <w:rPr>
                <w:rFonts w:hint="eastAsia" w:ascii="宋体" w:hAnsi="宋体"/>
                <w:szCs w:val="21"/>
              </w:rPr>
              <w:t>商务报价</w:t>
            </w:r>
          </w:p>
        </w:tc>
        <w:tc>
          <w:tcPr>
            <w:tcW w:w="5938"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szCs w:val="21"/>
              </w:rPr>
            </w:pPr>
            <w:r>
              <w:rPr>
                <w:rFonts w:hint="eastAsia" w:ascii="宋体" w:hAnsi="宋体"/>
                <w:szCs w:val="21"/>
              </w:rPr>
              <w:t>只能有一个有效报价，且不能超过招标控制价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8" w:hRule="atLeast"/>
        </w:trPr>
        <w:tc>
          <w:tcPr>
            <w:tcW w:w="735" w:type="dxa"/>
            <w:vMerge w:val="continue"/>
            <w:tcBorders>
              <w:top w:val="single" w:color="auto" w:sz="4" w:space="0"/>
              <w:left w:val="single" w:color="auto" w:sz="4" w:space="0"/>
              <w:right w:val="single" w:color="auto" w:sz="4" w:space="0"/>
            </w:tcBorders>
            <w:vAlign w:val="center"/>
          </w:tcPr>
          <w:p>
            <w:pPr>
              <w:spacing w:line="360" w:lineRule="exact"/>
              <w:jc w:val="center"/>
              <w:rPr>
                <w:rFonts w:ascii="宋体" w:hAnsi="宋体"/>
                <w:szCs w:val="21"/>
              </w:rPr>
            </w:pPr>
          </w:p>
        </w:tc>
        <w:tc>
          <w:tcPr>
            <w:tcW w:w="2335"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szCs w:val="21"/>
              </w:rPr>
            </w:pPr>
            <w:r>
              <w:rPr>
                <w:rFonts w:hint="eastAsia" w:ascii="宋体" w:hAnsi="宋体"/>
                <w:szCs w:val="21"/>
              </w:rPr>
              <w:t>投标保证金</w:t>
            </w:r>
          </w:p>
        </w:tc>
        <w:tc>
          <w:tcPr>
            <w:tcW w:w="5938"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szCs w:val="21"/>
              </w:rPr>
            </w:pPr>
            <w:r>
              <w:rPr>
                <w:rFonts w:hint="eastAsia" w:ascii="宋体" w:hAnsi="宋体"/>
                <w:szCs w:val="21"/>
              </w:rPr>
              <w:t>符合本招标文件“投标须知”有关规定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2" w:hRule="atLeast"/>
        </w:trPr>
        <w:tc>
          <w:tcPr>
            <w:tcW w:w="735" w:type="dxa"/>
            <w:vMerge w:val="continue"/>
            <w:tcBorders>
              <w:top w:val="single" w:color="auto" w:sz="4" w:space="0"/>
              <w:left w:val="single" w:color="auto" w:sz="4" w:space="0"/>
              <w:right w:val="single" w:color="auto" w:sz="4" w:space="0"/>
            </w:tcBorders>
            <w:vAlign w:val="center"/>
          </w:tcPr>
          <w:p>
            <w:pPr>
              <w:spacing w:line="360" w:lineRule="exact"/>
              <w:jc w:val="center"/>
              <w:rPr>
                <w:rFonts w:ascii="宋体" w:hAnsi="宋体"/>
                <w:szCs w:val="21"/>
              </w:rPr>
            </w:pPr>
          </w:p>
        </w:tc>
        <w:tc>
          <w:tcPr>
            <w:tcW w:w="2335"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szCs w:val="21"/>
              </w:rPr>
            </w:pPr>
            <w:r>
              <w:rPr>
                <w:rFonts w:hint="eastAsia" w:ascii="宋体" w:hAnsi="宋体"/>
                <w:szCs w:val="21"/>
              </w:rPr>
              <w:t>投标有效期</w:t>
            </w:r>
          </w:p>
        </w:tc>
        <w:tc>
          <w:tcPr>
            <w:tcW w:w="5938"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szCs w:val="21"/>
              </w:rPr>
            </w:pPr>
            <w:r>
              <w:rPr>
                <w:rFonts w:hint="eastAsia" w:ascii="宋体" w:hAnsi="宋体"/>
                <w:szCs w:val="21"/>
              </w:rPr>
              <w:t>投标文件递交截止日起</w:t>
            </w:r>
            <w:r>
              <w:rPr>
                <w:rFonts w:hint="eastAsia" w:ascii="宋体" w:hAnsi="宋体"/>
                <w:szCs w:val="21"/>
                <w:u w:val="single"/>
              </w:rPr>
              <w:t xml:space="preserve">60日历 </w:t>
            </w:r>
            <w:r>
              <w:rPr>
                <w:rFonts w:hint="eastAsia" w:ascii="宋体" w:hAnsi="宋体"/>
                <w:szCs w:val="21"/>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3" w:hRule="atLeast"/>
        </w:trPr>
        <w:tc>
          <w:tcPr>
            <w:tcW w:w="735" w:type="dxa"/>
            <w:vMerge w:val="continue"/>
            <w:tcBorders>
              <w:left w:val="single" w:color="auto" w:sz="4" w:space="0"/>
              <w:right w:val="single" w:color="auto" w:sz="4" w:space="0"/>
            </w:tcBorders>
            <w:vAlign w:val="center"/>
          </w:tcPr>
          <w:p>
            <w:pPr>
              <w:widowControl/>
              <w:spacing w:line="360" w:lineRule="exact"/>
              <w:jc w:val="left"/>
              <w:rPr>
                <w:rFonts w:ascii="宋体" w:hAnsi="宋体"/>
                <w:szCs w:val="21"/>
              </w:rPr>
            </w:pPr>
          </w:p>
        </w:tc>
        <w:tc>
          <w:tcPr>
            <w:tcW w:w="2335" w:type="dxa"/>
            <w:tcBorders>
              <w:top w:val="single" w:color="auto" w:sz="4" w:space="0"/>
              <w:left w:val="single" w:color="auto" w:sz="4" w:space="0"/>
              <w:right w:val="single" w:color="auto" w:sz="4" w:space="0"/>
            </w:tcBorders>
            <w:vAlign w:val="center"/>
          </w:tcPr>
          <w:p>
            <w:pPr>
              <w:spacing w:line="360" w:lineRule="exact"/>
              <w:jc w:val="center"/>
              <w:rPr>
                <w:rFonts w:ascii="宋体" w:hAnsi="宋体"/>
                <w:szCs w:val="21"/>
              </w:rPr>
            </w:pPr>
            <w:r>
              <w:rPr>
                <w:rFonts w:hint="eastAsia" w:ascii="宋体" w:hAnsi="宋体"/>
                <w:szCs w:val="21"/>
              </w:rPr>
              <w:t>投标文件的其他响应</w:t>
            </w:r>
          </w:p>
        </w:tc>
        <w:tc>
          <w:tcPr>
            <w:tcW w:w="5938" w:type="dxa"/>
            <w:tcBorders>
              <w:top w:val="single" w:color="auto" w:sz="4" w:space="0"/>
              <w:left w:val="single" w:color="auto" w:sz="4" w:space="0"/>
              <w:right w:val="single" w:color="auto" w:sz="4" w:space="0"/>
            </w:tcBorders>
            <w:vAlign w:val="center"/>
          </w:tcPr>
          <w:p>
            <w:pPr>
              <w:spacing w:line="360" w:lineRule="exact"/>
              <w:rPr>
                <w:rFonts w:ascii="宋体" w:hAnsi="宋体"/>
                <w:szCs w:val="21"/>
              </w:rPr>
            </w:pPr>
            <w:r>
              <w:rPr>
                <w:rFonts w:hint="eastAsia" w:ascii="宋体" w:hAnsi="宋体"/>
                <w:szCs w:val="21"/>
              </w:rPr>
              <w:t>不符合法律、法规和招标文件中规定的其他实质性要求的</w:t>
            </w:r>
          </w:p>
        </w:tc>
      </w:tr>
    </w:tbl>
    <w:p>
      <w:pPr>
        <w:spacing w:line="360" w:lineRule="exact"/>
        <w:rPr>
          <w:rFonts w:ascii="宋体" w:hAnsi="宋体"/>
          <w:b/>
          <w:szCs w:val="21"/>
        </w:rPr>
      </w:pPr>
    </w:p>
    <w:p>
      <w:pPr>
        <w:autoSpaceDE w:val="0"/>
        <w:autoSpaceDN w:val="0"/>
        <w:adjustRightInd w:val="0"/>
        <w:spacing w:line="360" w:lineRule="exact"/>
        <w:ind w:firstLine="413" w:firstLineChars="196"/>
        <w:rPr>
          <w:rFonts w:ascii="宋体" w:hAnsi="宋体"/>
          <w:b/>
          <w:kern w:val="0"/>
          <w:szCs w:val="21"/>
        </w:rPr>
      </w:pPr>
    </w:p>
    <w:p>
      <w:pPr>
        <w:numPr>
          <w:ilvl w:val="1"/>
          <w:numId w:val="3"/>
        </w:numPr>
        <w:autoSpaceDE w:val="0"/>
        <w:autoSpaceDN w:val="0"/>
        <w:adjustRightInd w:val="0"/>
        <w:spacing w:line="360" w:lineRule="exact"/>
        <w:rPr>
          <w:rFonts w:ascii="宋体" w:hAnsi="宋体"/>
          <w:b/>
          <w:kern w:val="0"/>
          <w:szCs w:val="21"/>
        </w:rPr>
      </w:pPr>
      <w:r>
        <w:rPr>
          <w:rFonts w:hint="eastAsia" w:ascii="宋体" w:hAnsi="宋体"/>
          <w:b/>
          <w:sz w:val="24"/>
        </w:rPr>
        <w:t>评分标准</w:t>
      </w:r>
      <w:r>
        <w:rPr>
          <w:rFonts w:hint="eastAsia" w:ascii="宋体" w:hAnsi="宋体"/>
          <w:b/>
          <w:szCs w:val="21"/>
        </w:rPr>
        <w:t>：</w:t>
      </w:r>
    </w:p>
    <w:p>
      <w:pPr>
        <w:autoSpaceDE w:val="0"/>
        <w:autoSpaceDN w:val="0"/>
        <w:adjustRightInd w:val="0"/>
        <w:spacing w:line="360" w:lineRule="exact"/>
        <w:ind w:left="472"/>
        <w:rPr>
          <w:rFonts w:ascii="宋体" w:hAnsi="宋体"/>
          <w:b/>
          <w:kern w:val="0"/>
          <w:szCs w:val="21"/>
        </w:rPr>
      </w:pPr>
    </w:p>
    <w:tbl>
      <w:tblPr>
        <w:tblStyle w:val="41"/>
        <w:tblW w:w="9000" w:type="dxa"/>
        <w:tblInd w:w="28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389"/>
        <w:gridCol w:w="1131"/>
        <w:gridCol w:w="1520"/>
        <w:gridCol w:w="496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97" w:hRule="atLeast"/>
        </w:trPr>
        <w:tc>
          <w:tcPr>
            <w:tcW w:w="2520"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szCs w:val="21"/>
              </w:rPr>
            </w:pPr>
            <w:r>
              <w:rPr>
                <w:rFonts w:hint="eastAsia" w:ascii="方正大黑简体" w:hAnsi="宋体" w:eastAsia="方正大黑简体"/>
                <w:szCs w:val="21"/>
              </w:rPr>
              <w:t>评分内容</w:t>
            </w:r>
          </w:p>
        </w:tc>
        <w:tc>
          <w:tcPr>
            <w:tcW w:w="152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szCs w:val="21"/>
              </w:rPr>
            </w:pPr>
            <w:r>
              <w:rPr>
                <w:rFonts w:hint="eastAsia" w:ascii="方正大黑简体" w:hAnsi="宋体" w:eastAsia="方正大黑简体"/>
                <w:szCs w:val="21"/>
              </w:rPr>
              <w:t>分值</w:t>
            </w:r>
          </w:p>
        </w:tc>
        <w:tc>
          <w:tcPr>
            <w:tcW w:w="4960"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color w:val="000000"/>
                <w:szCs w:val="21"/>
              </w:rPr>
            </w:pPr>
            <w:r>
              <w:rPr>
                <w:rFonts w:hint="eastAsia" w:ascii="方正大黑简体" w:hAnsi="宋体" w:eastAsia="方正大黑简体"/>
                <w:color w:val="000000"/>
                <w:szCs w:val="21"/>
              </w:rPr>
              <w:t>评标标准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557" w:hRule="atLeast"/>
        </w:trPr>
        <w:tc>
          <w:tcPr>
            <w:tcW w:w="1389" w:type="dxa"/>
            <w:vMerge w:val="restart"/>
            <w:tcBorders>
              <w:top w:val="single" w:color="auto" w:sz="4" w:space="0"/>
              <w:left w:val="single" w:color="auto" w:sz="4" w:space="0"/>
              <w:right w:val="single" w:color="auto" w:sz="4" w:space="0"/>
            </w:tcBorders>
            <w:vAlign w:val="center"/>
          </w:tcPr>
          <w:p>
            <w:pPr>
              <w:shd w:val="clear" w:color="auto" w:fill="FFFFFF"/>
              <w:spacing w:line="400" w:lineRule="exact"/>
              <w:rPr>
                <w:rFonts w:ascii="宋体" w:hAnsi="宋体"/>
                <w:color w:val="000000"/>
                <w:szCs w:val="21"/>
              </w:rPr>
            </w:pPr>
            <w:r>
              <w:rPr>
                <w:rFonts w:hint="eastAsia" w:ascii="宋体" w:hAnsi="宋体"/>
                <w:color w:val="000000"/>
                <w:szCs w:val="21"/>
              </w:rPr>
              <w:t xml:space="preserve">一、技术评分因素 </w:t>
            </w:r>
          </w:p>
          <w:p>
            <w:pPr>
              <w:shd w:val="clear" w:color="auto" w:fill="FFFFFF"/>
              <w:spacing w:line="400" w:lineRule="exact"/>
              <w:rPr>
                <w:rFonts w:ascii="宋体" w:hAnsi="宋体"/>
                <w:color w:val="000000"/>
                <w:szCs w:val="21"/>
              </w:rPr>
            </w:pPr>
            <w:r>
              <w:rPr>
                <w:rFonts w:hint="eastAsia" w:ascii="宋体" w:hAnsi="宋体"/>
                <w:color w:val="000000"/>
                <w:szCs w:val="21"/>
              </w:rPr>
              <w:t>(60分)</w:t>
            </w:r>
          </w:p>
        </w:tc>
        <w:tc>
          <w:tcPr>
            <w:tcW w:w="1131" w:type="dxa"/>
            <w:tcBorders>
              <w:top w:val="single" w:color="auto" w:sz="4" w:space="0"/>
              <w:left w:val="single" w:color="auto" w:sz="4" w:space="0"/>
              <w:bottom w:val="single" w:color="auto" w:sz="4" w:space="0"/>
              <w:right w:val="single" w:color="auto" w:sz="4" w:space="0"/>
            </w:tcBorders>
            <w:vAlign w:val="center"/>
          </w:tcPr>
          <w:p>
            <w:pPr>
              <w:shd w:val="clear" w:color="auto" w:fill="FFFFFF"/>
              <w:spacing w:line="400" w:lineRule="exact"/>
              <w:rPr>
                <w:rFonts w:ascii="宋体" w:hAnsi="宋体"/>
                <w:color w:val="000000"/>
                <w:szCs w:val="21"/>
              </w:rPr>
            </w:pPr>
            <w:r>
              <w:rPr>
                <w:rFonts w:hint="eastAsia" w:ascii="宋体" w:hAnsi="宋体"/>
                <w:color w:val="000000"/>
                <w:szCs w:val="21"/>
              </w:rPr>
              <w:t>1、货物的性能指标及技术参数</w:t>
            </w:r>
          </w:p>
        </w:tc>
        <w:tc>
          <w:tcPr>
            <w:tcW w:w="1520" w:type="dxa"/>
            <w:tcBorders>
              <w:top w:val="single" w:color="auto" w:sz="4" w:space="0"/>
              <w:left w:val="single" w:color="auto" w:sz="4" w:space="0"/>
              <w:bottom w:val="single" w:color="auto" w:sz="4" w:space="0"/>
              <w:right w:val="single" w:color="auto" w:sz="4" w:space="0"/>
            </w:tcBorders>
            <w:vAlign w:val="center"/>
          </w:tcPr>
          <w:p>
            <w:pPr>
              <w:shd w:val="clear" w:color="auto" w:fill="FFFFFF"/>
              <w:spacing w:line="400" w:lineRule="exact"/>
              <w:rPr>
                <w:rFonts w:ascii="宋体" w:hAnsi="宋体"/>
                <w:color w:val="000000"/>
                <w:szCs w:val="21"/>
              </w:rPr>
            </w:pPr>
            <w:r>
              <w:rPr>
                <w:rFonts w:hint="eastAsia" w:ascii="宋体" w:hAnsi="宋体"/>
                <w:color w:val="000000"/>
                <w:szCs w:val="21"/>
                <w:lang w:val="en-US" w:eastAsia="zh-CN"/>
              </w:rPr>
              <w:t>22</w:t>
            </w:r>
            <w:r>
              <w:rPr>
                <w:rFonts w:hint="eastAsia" w:ascii="宋体" w:hAnsi="宋体"/>
                <w:color w:val="000000"/>
                <w:szCs w:val="21"/>
              </w:rPr>
              <w:t>分</w:t>
            </w:r>
          </w:p>
        </w:tc>
        <w:tc>
          <w:tcPr>
            <w:tcW w:w="4960" w:type="dxa"/>
            <w:tcBorders>
              <w:top w:val="single" w:color="auto" w:sz="4" w:space="0"/>
              <w:left w:val="nil"/>
              <w:bottom w:val="single" w:color="auto" w:sz="4" w:space="0"/>
              <w:right w:val="single" w:color="auto" w:sz="4" w:space="0"/>
            </w:tcBorders>
            <w:vAlign w:val="center"/>
          </w:tcPr>
          <w:p>
            <w:pPr>
              <w:shd w:val="clear" w:color="auto" w:fill="FFFFFF"/>
              <w:spacing w:line="400" w:lineRule="exact"/>
              <w:rPr>
                <w:rFonts w:hint="eastAsia" w:ascii="宋体" w:hAnsi="宋体"/>
                <w:color w:val="000000"/>
                <w:szCs w:val="21"/>
              </w:rPr>
            </w:pPr>
            <w:r>
              <w:rPr>
                <w:rFonts w:hint="eastAsia" w:ascii="宋体" w:hAnsi="宋体"/>
                <w:color w:val="000000"/>
                <w:szCs w:val="21"/>
              </w:rPr>
              <w:t>一、节能水平（0-1</w:t>
            </w:r>
            <w:r>
              <w:rPr>
                <w:rFonts w:hint="eastAsia" w:ascii="宋体" w:hAnsi="宋体"/>
                <w:color w:val="000000"/>
                <w:szCs w:val="21"/>
                <w:lang w:val="en-US" w:eastAsia="zh-CN"/>
              </w:rPr>
              <w:t>2</w:t>
            </w:r>
            <w:r>
              <w:rPr>
                <w:rFonts w:hint="eastAsia" w:ascii="宋体" w:hAnsi="宋体"/>
                <w:color w:val="000000"/>
                <w:szCs w:val="21"/>
              </w:rPr>
              <w:t>）</w:t>
            </w:r>
          </w:p>
          <w:p>
            <w:pPr>
              <w:shd w:val="clear" w:color="auto" w:fill="FFFFFF"/>
              <w:spacing w:line="400" w:lineRule="exact"/>
              <w:rPr>
                <w:rFonts w:hint="eastAsia" w:ascii="宋体" w:hAnsi="宋体"/>
                <w:color w:val="000000"/>
                <w:szCs w:val="21"/>
              </w:rPr>
            </w:pPr>
            <w:r>
              <w:rPr>
                <w:rFonts w:hint="eastAsia" w:ascii="宋体" w:hAnsi="宋体"/>
                <w:color w:val="000000"/>
                <w:szCs w:val="21"/>
              </w:rPr>
              <w:t>（1）主机高温发生器具备多级安全保护措施得2分。没有不得分。</w:t>
            </w:r>
          </w:p>
          <w:p>
            <w:pPr>
              <w:shd w:val="clear" w:color="auto" w:fill="FFFFFF"/>
              <w:spacing w:line="400" w:lineRule="exact"/>
              <w:rPr>
                <w:rFonts w:hint="eastAsia" w:ascii="宋体" w:hAnsi="宋体"/>
                <w:color w:val="000000"/>
                <w:szCs w:val="21"/>
                <w:lang w:val="en-US" w:eastAsia="zh-CN"/>
              </w:rPr>
            </w:pPr>
            <w:r>
              <w:rPr>
                <w:rFonts w:hint="eastAsia" w:ascii="宋体" w:hAnsi="宋体"/>
                <w:color w:val="000000"/>
                <w:szCs w:val="21"/>
                <w:lang w:val="en-US" w:eastAsia="zh-CN"/>
              </w:rPr>
              <w:t>（2）主机产品效率（0-5分）：以制冷额定负荷COP：1.3为评分基准得0.5分，每增加0.03得1分，满分5分。（以省级及以上检验机构出具的检验报告为准）</w:t>
            </w:r>
          </w:p>
          <w:p>
            <w:pPr>
              <w:shd w:val="clear" w:color="auto" w:fill="FFFFFF"/>
              <w:spacing w:line="400" w:lineRule="exact"/>
              <w:rPr>
                <w:rFonts w:ascii="宋体" w:hAnsi="宋体"/>
                <w:color w:val="000000"/>
                <w:szCs w:val="21"/>
              </w:rPr>
            </w:pPr>
            <w:r>
              <w:rPr>
                <w:rFonts w:hint="eastAsia" w:ascii="宋体" w:hAnsi="宋体"/>
                <w:color w:val="000000"/>
                <w:szCs w:val="21"/>
              </w:rPr>
              <w:t>（3）主机在产生制冷时能够免费制取卫生热水的，节省相应空调能耗费用的得1分，不具备不得分。</w:t>
            </w:r>
          </w:p>
          <w:p>
            <w:pPr>
              <w:shd w:val="clear" w:color="auto" w:fill="FFFFFF"/>
              <w:spacing w:line="400" w:lineRule="exact"/>
              <w:rPr>
                <w:rFonts w:ascii="宋体" w:hAnsi="宋体"/>
                <w:color w:val="000000"/>
                <w:szCs w:val="21"/>
              </w:rPr>
            </w:pPr>
            <w:r>
              <w:rPr>
                <w:rFonts w:hint="eastAsia" w:ascii="宋体" w:hAnsi="宋体"/>
                <w:color w:val="000000"/>
                <w:szCs w:val="21"/>
                <w:highlight w:val="none"/>
              </w:rPr>
              <w:t>（4）所投型号直燃机获得中国能效标识网上备案等级的，1级得2分，2级得1分，3级得0.5分。没有不得分。（需在投标文件中提供网页</w:t>
            </w:r>
            <w:r>
              <w:rPr>
                <w:rFonts w:hint="eastAsia" w:ascii="宋体" w:hAnsi="宋体"/>
                <w:color w:val="000000"/>
                <w:szCs w:val="21"/>
                <w:highlight w:val="none"/>
                <w:lang w:eastAsia="zh-CN"/>
              </w:rPr>
              <w:t>图片</w:t>
            </w:r>
            <w:r>
              <w:rPr>
                <w:rFonts w:hint="eastAsia" w:ascii="宋体" w:hAnsi="宋体"/>
                <w:color w:val="000000"/>
                <w:szCs w:val="21"/>
                <w:highlight w:val="none"/>
              </w:rPr>
              <w:t>复印件）</w:t>
            </w:r>
          </w:p>
          <w:p>
            <w:pPr>
              <w:shd w:val="clear" w:color="auto" w:fill="FFFFFF"/>
              <w:tabs>
                <w:tab w:val="left" w:pos="0"/>
              </w:tabs>
              <w:spacing w:line="400" w:lineRule="exact"/>
              <w:rPr>
                <w:rFonts w:ascii="宋体" w:hAnsi="宋体"/>
                <w:color w:val="000000"/>
                <w:szCs w:val="21"/>
              </w:rPr>
            </w:pPr>
            <w:r>
              <w:rPr>
                <w:rFonts w:hint="eastAsia" w:ascii="宋体" w:hAnsi="宋体"/>
                <w:color w:val="000000"/>
                <w:szCs w:val="21"/>
              </w:rPr>
              <w:t>（5）空调机组负荷调节范围（跨度）为无级百分比调节，调节跨度以0.8为基准得0.5分，调节跨度每高0.1加1分，满分2分。（注：跨度=最高负荷百分比-最低负荷百分比）</w:t>
            </w:r>
          </w:p>
          <w:p>
            <w:pPr>
              <w:shd w:val="clear" w:color="auto" w:fill="FFFFFF"/>
              <w:spacing w:line="400" w:lineRule="exact"/>
              <w:rPr>
                <w:rFonts w:ascii="宋体" w:hAnsi="宋体"/>
                <w:color w:val="000000"/>
                <w:szCs w:val="21"/>
              </w:rPr>
            </w:pPr>
            <w:r>
              <w:rPr>
                <w:rFonts w:hint="eastAsia" w:ascii="宋体" w:hAnsi="宋体"/>
                <w:color w:val="000000"/>
                <w:szCs w:val="21"/>
              </w:rPr>
              <w:t>二、主要部件及性能：（0-</w:t>
            </w:r>
            <w:r>
              <w:rPr>
                <w:rFonts w:hint="eastAsia" w:ascii="宋体" w:hAnsi="宋体"/>
                <w:color w:val="000000"/>
                <w:szCs w:val="21"/>
                <w:lang w:val="en-US" w:eastAsia="zh-CN"/>
              </w:rPr>
              <w:t>3</w:t>
            </w:r>
            <w:r>
              <w:rPr>
                <w:rFonts w:hint="eastAsia" w:ascii="宋体" w:hAnsi="宋体"/>
                <w:color w:val="000000"/>
                <w:szCs w:val="21"/>
              </w:rPr>
              <w:t>分）</w:t>
            </w:r>
          </w:p>
          <w:p>
            <w:pPr>
              <w:spacing w:line="400" w:lineRule="exact"/>
              <w:rPr>
                <w:rFonts w:ascii="宋体" w:hAnsi="宋体"/>
                <w:color w:val="000000"/>
                <w:szCs w:val="21"/>
                <w:highlight w:val="none"/>
              </w:rPr>
            </w:pPr>
            <w:r>
              <w:rPr>
                <w:rFonts w:hint="eastAsia" w:ascii="宋体" w:hAnsi="宋体"/>
                <w:color w:val="000000"/>
                <w:szCs w:val="21"/>
                <w:highlight w:val="none"/>
              </w:rPr>
              <w:t>泵组输配系统（直燃机之外）在满足空调系统需求的前提下，以有效投标人的投标文件中所配最低泵组配电功率为评分基准（详见第六章“2.1直燃机和输配系统等配置清单”），其满分为3分，其他有效投标人所配泵组配电功率每高出评分基准5KW扣1分，扣完为止。</w:t>
            </w:r>
          </w:p>
          <w:p>
            <w:pPr>
              <w:shd w:val="clear" w:color="auto" w:fill="FFFFFF"/>
              <w:spacing w:line="400" w:lineRule="exact"/>
              <w:rPr>
                <w:rFonts w:ascii="宋体" w:hAnsi="宋体"/>
                <w:color w:val="000000"/>
                <w:szCs w:val="21"/>
              </w:rPr>
            </w:pPr>
            <w:r>
              <w:rPr>
                <w:rFonts w:hint="eastAsia" w:ascii="宋体" w:hAnsi="宋体"/>
                <w:color w:val="000000"/>
                <w:szCs w:val="21"/>
              </w:rPr>
              <w:t>三、技术先进性及节能性：（0-</w:t>
            </w:r>
            <w:r>
              <w:rPr>
                <w:rFonts w:hint="eastAsia" w:ascii="宋体" w:hAnsi="宋体"/>
                <w:color w:val="000000"/>
                <w:szCs w:val="21"/>
                <w:lang w:val="en-US" w:eastAsia="zh-CN"/>
              </w:rPr>
              <w:t>3</w:t>
            </w:r>
            <w:r>
              <w:rPr>
                <w:rFonts w:hint="eastAsia" w:ascii="宋体" w:hAnsi="宋体"/>
                <w:color w:val="000000"/>
                <w:szCs w:val="21"/>
              </w:rPr>
              <w:t>分）</w:t>
            </w:r>
          </w:p>
          <w:p>
            <w:pPr>
              <w:shd w:val="clear" w:color="auto" w:fill="FFFFFF"/>
              <w:spacing w:line="400" w:lineRule="exact"/>
              <w:rPr>
                <w:rFonts w:ascii="宋体" w:hAnsi="宋体"/>
                <w:color w:val="000000"/>
                <w:szCs w:val="21"/>
              </w:rPr>
            </w:pPr>
            <w:r>
              <w:rPr>
                <w:rFonts w:hint="eastAsia" w:ascii="宋体" w:hAnsi="宋体"/>
                <w:color w:val="000000"/>
                <w:szCs w:val="21"/>
              </w:rPr>
              <w:t>工况实现：管路仪表图清晰、正确，能清楚表述制冷、采暖、生活热水三种工况得1分；未清楚表述的不得分。</w:t>
            </w:r>
          </w:p>
          <w:p>
            <w:pPr>
              <w:shd w:val="clear" w:color="auto" w:fill="FFFFFF"/>
              <w:spacing w:line="400" w:lineRule="exact"/>
              <w:rPr>
                <w:rFonts w:ascii="宋体" w:hAnsi="宋体"/>
                <w:color w:val="000000"/>
                <w:szCs w:val="21"/>
              </w:rPr>
            </w:pPr>
            <w:r>
              <w:rPr>
                <w:rFonts w:hint="eastAsia" w:ascii="宋体" w:hAnsi="宋体"/>
                <w:color w:val="000000"/>
                <w:szCs w:val="21"/>
              </w:rPr>
              <w:t>自动抽排气：根据管路仪表图，直燃机具备自动抽排气功能且清楚表述得的1分；仅具备抽气功能但需要外置真空泵排气的得0.5分；不具备不得分。</w:t>
            </w:r>
          </w:p>
          <w:p>
            <w:pPr>
              <w:shd w:val="clear" w:color="auto" w:fill="FFFFFF"/>
              <w:spacing w:line="400" w:lineRule="exact"/>
              <w:rPr>
                <w:rFonts w:ascii="宋体" w:hAnsi="宋体"/>
                <w:color w:val="000000"/>
                <w:szCs w:val="21"/>
              </w:rPr>
            </w:pPr>
            <w:r>
              <w:rPr>
                <w:rFonts w:hint="eastAsia" w:ascii="宋体" w:hAnsi="宋体"/>
                <w:color w:val="000000"/>
                <w:szCs w:val="21"/>
              </w:rPr>
              <w:t>具备24小时不间断的联网监控系统，且终生免费，提供监控中心控制画面</w:t>
            </w:r>
            <w:r>
              <w:rPr>
                <w:rFonts w:hint="eastAsia" w:ascii="宋体" w:hAnsi="宋体"/>
                <w:color w:val="000000"/>
                <w:szCs w:val="21"/>
                <w:lang w:eastAsia="zh-CN"/>
              </w:rPr>
              <w:t>图片</w:t>
            </w:r>
            <w:r>
              <w:rPr>
                <w:rFonts w:hint="eastAsia" w:ascii="宋体" w:hAnsi="宋体"/>
                <w:color w:val="000000"/>
                <w:szCs w:val="21"/>
              </w:rPr>
              <w:t>得1分。</w:t>
            </w:r>
          </w:p>
          <w:p>
            <w:pPr>
              <w:shd w:val="clear" w:color="auto" w:fill="FFFFFF"/>
              <w:spacing w:line="400" w:lineRule="exact"/>
              <w:rPr>
                <w:rFonts w:ascii="宋体" w:hAnsi="宋体"/>
                <w:color w:val="000000"/>
                <w:szCs w:val="21"/>
              </w:rPr>
            </w:pPr>
            <w:r>
              <w:rPr>
                <w:rFonts w:hint="eastAsia" w:ascii="宋体" w:hAnsi="宋体"/>
                <w:color w:val="000000"/>
                <w:szCs w:val="21"/>
              </w:rPr>
              <w:t>四、控制系统：（0-</w:t>
            </w:r>
            <w:r>
              <w:rPr>
                <w:rFonts w:hint="eastAsia" w:ascii="宋体" w:hAnsi="宋体"/>
                <w:color w:val="000000"/>
                <w:szCs w:val="21"/>
                <w:lang w:val="en-US" w:eastAsia="zh-CN"/>
              </w:rPr>
              <w:t>4</w:t>
            </w:r>
            <w:r>
              <w:rPr>
                <w:rFonts w:hint="eastAsia" w:ascii="宋体" w:hAnsi="宋体"/>
                <w:color w:val="000000"/>
                <w:szCs w:val="21"/>
              </w:rPr>
              <w:t>）</w:t>
            </w:r>
          </w:p>
          <w:p>
            <w:pPr>
              <w:shd w:val="clear" w:color="auto" w:fill="FFFFFF"/>
              <w:spacing w:line="400" w:lineRule="exact"/>
              <w:rPr>
                <w:rFonts w:hint="eastAsia" w:ascii="宋体" w:hAnsi="宋体"/>
                <w:color w:val="000000"/>
                <w:szCs w:val="21"/>
              </w:rPr>
            </w:pPr>
            <w:r>
              <w:rPr>
                <w:rFonts w:hint="eastAsia" w:ascii="宋体" w:hAnsi="宋体"/>
                <w:color w:val="000000"/>
                <w:szCs w:val="21"/>
              </w:rPr>
              <w:t>具备实时显示机组运行效率，且能提供直燃机控制屏直观显示实时COP的界面图片得2分，不提供界面图片不得分。</w:t>
            </w:r>
          </w:p>
          <w:p>
            <w:pPr>
              <w:shd w:val="clear" w:color="auto" w:fill="FFFFFF"/>
              <w:spacing w:line="400" w:lineRule="exact"/>
              <w:rPr>
                <w:rFonts w:ascii="宋体" w:hAnsi="宋体"/>
                <w:color w:val="000000"/>
                <w:szCs w:val="21"/>
              </w:rPr>
            </w:pPr>
            <w:r>
              <w:rPr>
                <w:rFonts w:hint="eastAsia" w:ascii="宋体" w:hAnsi="宋体"/>
                <w:color w:val="000000"/>
                <w:szCs w:val="21"/>
              </w:rPr>
              <w:t>具有一键开关机控制功能。提供直燃机控制屏直观显示一键开机的界面图片得2分，无法提供界面图片不得分。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1" w:hRule="atLeast"/>
        </w:trPr>
        <w:tc>
          <w:tcPr>
            <w:tcW w:w="1389" w:type="dxa"/>
            <w:vMerge w:val="continue"/>
            <w:tcBorders>
              <w:left w:val="single" w:color="auto" w:sz="4" w:space="0"/>
              <w:right w:val="single" w:color="auto" w:sz="4" w:space="0"/>
            </w:tcBorders>
            <w:vAlign w:val="center"/>
          </w:tcPr>
          <w:p>
            <w:pPr>
              <w:shd w:val="clear" w:color="auto" w:fill="FFFFFF"/>
              <w:spacing w:line="400" w:lineRule="exact"/>
              <w:rPr>
                <w:rFonts w:ascii="宋体" w:hAnsi="宋体"/>
                <w:color w:val="000000"/>
                <w:szCs w:val="21"/>
              </w:rPr>
            </w:pPr>
          </w:p>
        </w:tc>
        <w:tc>
          <w:tcPr>
            <w:tcW w:w="1131" w:type="dxa"/>
            <w:tcBorders>
              <w:top w:val="single" w:color="auto" w:sz="4" w:space="0"/>
              <w:left w:val="single" w:color="auto" w:sz="4" w:space="0"/>
              <w:bottom w:val="single" w:color="auto" w:sz="4" w:space="0"/>
              <w:right w:val="single" w:color="auto" w:sz="4" w:space="0"/>
            </w:tcBorders>
            <w:vAlign w:val="center"/>
          </w:tcPr>
          <w:p>
            <w:pPr>
              <w:shd w:val="clear" w:color="auto" w:fill="FFFFFF"/>
              <w:spacing w:line="400" w:lineRule="exact"/>
              <w:rPr>
                <w:rFonts w:ascii="宋体" w:hAnsi="宋体"/>
                <w:color w:val="000000"/>
                <w:szCs w:val="21"/>
              </w:rPr>
            </w:pPr>
            <w:r>
              <w:rPr>
                <w:rFonts w:hint="eastAsia" w:ascii="宋体" w:hAnsi="宋体"/>
                <w:color w:val="000000"/>
                <w:szCs w:val="21"/>
              </w:rPr>
              <w:t>2、售后服务</w:t>
            </w:r>
          </w:p>
        </w:tc>
        <w:tc>
          <w:tcPr>
            <w:tcW w:w="1520" w:type="dxa"/>
            <w:tcBorders>
              <w:top w:val="single" w:color="auto" w:sz="4" w:space="0"/>
              <w:left w:val="single" w:color="auto" w:sz="4" w:space="0"/>
              <w:bottom w:val="single" w:color="auto" w:sz="4" w:space="0"/>
              <w:right w:val="single" w:color="auto" w:sz="4" w:space="0"/>
            </w:tcBorders>
            <w:vAlign w:val="center"/>
          </w:tcPr>
          <w:p>
            <w:pPr>
              <w:shd w:val="clear" w:color="auto" w:fill="FFFFFF"/>
              <w:spacing w:line="400" w:lineRule="exact"/>
              <w:rPr>
                <w:rFonts w:ascii="宋体" w:hAnsi="宋体"/>
                <w:color w:val="000000"/>
                <w:szCs w:val="21"/>
              </w:rPr>
            </w:pPr>
            <w:r>
              <w:rPr>
                <w:rFonts w:hint="eastAsia" w:ascii="宋体" w:hAnsi="宋体"/>
                <w:color w:val="000000"/>
                <w:szCs w:val="21"/>
              </w:rPr>
              <w:t>7分</w:t>
            </w:r>
          </w:p>
        </w:tc>
        <w:tc>
          <w:tcPr>
            <w:tcW w:w="4960" w:type="dxa"/>
            <w:tcBorders>
              <w:top w:val="single" w:color="auto" w:sz="4" w:space="0"/>
              <w:left w:val="nil"/>
              <w:bottom w:val="single" w:color="auto" w:sz="4" w:space="0"/>
              <w:right w:val="single" w:color="auto" w:sz="4" w:space="0"/>
            </w:tcBorders>
            <w:textDirection w:val="lrTb"/>
            <w:vAlign w:val="center"/>
          </w:tcPr>
          <w:p>
            <w:pPr>
              <w:numPr>
                <w:ilvl w:val="0"/>
                <w:numId w:val="4"/>
              </w:numPr>
              <w:shd w:val="clear" w:color="auto" w:fill="FFFFFF"/>
              <w:spacing w:line="400" w:lineRule="exact"/>
              <w:rPr>
                <w:rFonts w:ascii="宋体" w:hAnsi="宋体"/>
                <w:color w:val="000000"/>
                <w:szCs w:val="21"/>
              </w:rPr>
            </w:pPr>
            <w:r>
              <w:rPr>
                <w:rFonts w:hint="eastAsia" w:ascii="宋体" w:hAnsi="宋体"/>
                <w:color w:val="000000"/>
                <w:szCs w:val="21"/>
                <w:lang w:val="en-US" w:eastAsia="zh-CN"/>
              </w:rPr>
              <w:t>服务机构（4分）：主机设备厂家在河南省内有售后服务机构得2分；售后服务工程师10人及以上且厂家直接服务得2分；5-10人并且投标人省内有售后服务团队的得1分，5人以下不得分。（需提供服务工程师职称证且提供2016年上半年在制造商单位缴纳养老保险复印件）</w:t>
            </w:r>
          </w:p>
          <w:p>
            <w:pPr>
              <w:numPr>
                <w:ilvl w:val="0"/>
                <w:numId w:val="4"/>
              </w:numPr>
              <w:shd w:val="clear" w:color="auto" w:fill="FFFFFF"/>
              <w:spacing w:line="400" w:lineRule="exact"/>
              <w:rPr>
                <w:rFonts w:ascii="宋体" w:hAnsi="宋体"/>
                <w:color w:val="000000"/>
                <w:szCs w:val="21"/>
              </w:rPr>
            </w:pPr>
            <w:r>
              <w:rPr>
                <w:rFonts w:hint="eastAsia" w:ascii="宋体" w:hAnsi="宋体"/>
                <w:color w:val="000000"/>
                <w:szCs w:val="21"/>
              </w:rPr>
              <w:t>直燃机生产厂家须提供直燃机正常工作寿命承诺书。（≥20年得3分，≥15年得1分，不承诺不得分）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824" w:hRule="atLeast"/>
        </w:trPr>
        <w:tc>
          <w:tcPr>
            <w:tcW w:w="1389" w:type="dxa"/>
            <w:vMerge w:val="continue"/>
            <w:tcBorders>
              <w:left w:val="single" w:color="auto" w:sz="4" w:space="0"/>
              <w:right w:val="single" w:color="auto" w:sz="4" w:space="0"/>
            </w:tcBorders>
            <w:vAlign w:val="center"/>
          </w:tcPr>
          <w:p>
            <w:pPr>
              <w:shd w:val="clear" w:color="auto" w:fill="FFFFFF"/>
              <w:spacing w:line="400" w:lineRule="exact"/>
              <w:rPr>
                <w:rFonts w:ascii="宋体" w:hAnsi="宋体"/>
                <w:color w:val="000000"/>
                <w:szCs w:val="21"/>
              </w:rPr>
            </w:pPr>
          </w:p>
        </w:tc>
        <w:tc>
          <w:tcPr>
            <w:tcW w:w="1131" w:type="dxa"/>
            <w:tcBorders>
              <w:top w:val="single" w:color="auto" w:sz="4" w:space="0"/>
              <w:left w:val="single" w:color="auto" w:sz="4" w:space="0"/>
              <w:bottom w:val="single" w:color="auto" w:sz="4" w:space="0"/>
              <w:right w:val="single" w:color="auto" w:sz="4" w:space="0"/>
            </w:tcBorders>
            <w:vAlign w:val="center"/>
          </w:tcPr>
          <w:p>
            <w:pPr>
              <w:shd w:val="clear" w:color="auto" w:fill="FFFFFF"/>
              <w:spacing w:line="400" w:lineRule="exact"/>
              <w:rPr>
                <w:rFonts w:ascii="宋体" w:hAnsi="宋体"/>
                <w:color w:val="000000"/>
                <w:szCs w:val="21"/>
              </w:rPr>
            </w:pPr>
            <w:r>
              <w:rPr>
                <w:rFonts w:hint="eastAsia" w:ascii="宋体" w:hAnsi="宋体"/>
                <w:color w:val="000000"/>
                <w:szCs w:val="21"/>
              </w:rPr>
              <w:t>3、信誉</w:t>
            </w:r>
            <w:r>
              <w:rPr>
                <w:rFonts w:hint="eastAsia" w:ascii="宋体" w:hAnsi="宋体"/>
                <w:color w:val="000000"/>
                <w:szCs w:val="21"/>
                <w:highlight w:val="none"/>
              </w:rPr>
              <w:t>及业绩</w:t>
            </w:r>
          </w:p>
        </w:tc>
        <w:tc>
          <w:tcPr>
            <w:tcW w:w="1520" w:type="dxa"/>
            <w:tcBorders>
              <w:top w:val="single" w:color="auto" w:sz="4" w:space="0"/>
              <w:left w:val="single" w:color="auto" w:sz="4" w:space="0"/>
              <w:bottom w:val="single" w:color="auto" w:sz="4" w:space="0"/>
              <w:right w:val="single" w:color="auto" w:sz="4" w:space="0"/>
            </w:tcBorders>
            <w:vAlign w:val="center"/>
          </w:tcPr>
          <w:p>
            <w:pPr>
              <w:shd w:val="clear" w:color="auto" w:fill="FFFFFF"/>
              <w:spacing w:line="400" w:lineRule="exact"/>
              <w:rPr>
                <w:rFonts w:ascii="宋体" w:hAnsi="宋体"/>
                <w:szCs w:val="21"/>
              </w:rPr>
            </w:pPr>
            <w:r>
              <w:rPr>
                <w:rFonts w:hint="eastAsia" w:ascii="宋体" w:hAnsi="宋体"/>
                <w:szCs w:val="21"/>
              </w:rPr>
              <w:t>1</w:t>
            </w:r>
            <w:r>
              <w:rPr>
                <w:rFonts w:hint="eastAsia" w:ascii="宋体" w:hAnsi="宋体"/>
                <w:szCs w:val="21"/>
                <w:lang w:val="en-US" w:eastAsia="zh-CN"/>
              </w:rPr>
              <w:t>7</w:t>
            </w:r>
            <w:r>
              <w:rPr>
                <w:rFonts w:hint="eastAsia" w:ascii="宋体" w:hAnsi="宋体"/>
                <w:szCs w:val="21"/>
              </w:rPr>
              <w:t>分</w:t>
            </w:r>
          </w:p>
        </w:tc>
        <w:tc>
          <w:tcPr>
            <w:tcW w:w="4960" w:type="dxa"/>
            <w:tcBorders>
              <w:top w:val="single" w:color="auto" w:sz="4" w:space="0"/>
              <w:left w:val="nil"/>
              <w:bottom w:val="single" w:color="auto" w:sz="4" w:space="0"/>
              <w:right w:val="single" w:color="auto" w:sz="4" w:space="0"/>
            </w:tcBorders>
            <w:vAlign w:val="center"/>
          </w:tcPr>
          <w:p>
            <w:pPr>
              <w:shd w:val="clear" w:color="auto" w:fill="FFFFFF"/>
              <w:spacing w:line="360" w:lineRule="exact"/>
              <w:rPr>
                <w:rFonts w:ascii="宋体" w:hAnsi="宋体"/>
                <w:szCs w:val="21"/>
              </w:rPr>
            </w:pPr>
            <w:r>
              <w:rPr>
                <w:rFonts w:hint="eastAsia" w:ascii="宋体" w:hAnsi="宋体"/>
                <w:szCs w:val="21"/>
              </w:rPr>
              <w:t>荣誉及资质认证（</w:t>
            </w:r>
            <w:r>
              <w:rPr>
                <w:rFonts w:hint="eastAsia" w:ascii="宋体" w:hAnsi="宋体"/>
                <w:szCs w:val="21"/>
                <w:lang w:val="en-US" w:eastAsia="zh-CN"/>
              </w:rPr>
              <w:t>12</w:t>
            </w:r>
            <w:r>
              <w:rPr>
                <w:rFonts w:hint="eastAsia" w:ascii="宋体" w:hAnsi="宋体"/>
                <w:szCs w:val="21"/>
              </w:rPr>
              <w:t>分）：</w:t>
            </w:r>
          </w:p>
          <w:p>
            <w:pPr>
              <w:shd w:val="clear" w:color="auto" w:fill="FFFFFF"/>
              <w:spacing w:line="360" w:lineRule="exact"/>
              <w:rPr>
                <w:rFonts w:ascii="宋体" w:hAnsi="宋体"/>
                <w:szCs w:val="21"/>
              </w:rPr>
            </w:pPr>
            <w:r>
              <w:rPr>
                <w:rFonts w:hint="eastAsia" w:ascii="宋体" w:hAnsi="宋体"/>
                <w:szCs w:val="21"/>
              </w:rPr>
              <w:t>制造商通过ISO9001：2008质量管理体系认证，直燃机组和泵组的设计、制造、销售通过认证的，满分3分，少一项不得分。</w:t>
            </w:r>
          </w:p>
          <w:p>
            <w:pPr>
              <w:shd w:val="clear" w:color="auto" w:fill="FFFFFF"/>
              <w:spacing w:line="360" w:lineRule="exact"/>
              <w:rPr>
                <w:rFonts w:ascii="宋体" w:hAnsi="宋体"/>
                <w:szCs w:val="21"/>
              </w:rPr>
            </w:pPr>
            <w:r>
              <w:rPr>
                <w:rFonts w:hint="eastAsia" w:ascii="宋体" w:hAnsi="宋体"/>
                <w:szCs w:val="21"/>
              </w:rPr>
              <w:t>制造商通过IS014001环境管理体系认证得2分。</w:t>
            </w:r>
          </w:p>
          <w:p>
            <w:pPr>
              <w:shd w:val="clear" w:color="auto" w:fill="FFFFFF"/>
              <w:spacing w:line="360" w:lineRule="exact"/>
              <w:rPr>
                <w:rFonts w:ascii="宋体" w:hAnsi="宋体"/>
                <w:szCs w:val="21"/>
                <w:highlight w:val="none"/>
              </w:rPr>
            </w:pPr>
            <w:r>
              <w:rPr>
                <w:rFonts w:hint="eastAsia" w:ascii="宋体" w:hAnsi="宋体"/>
                <w:szCs w:val="21"/>
                <w:highlight w:val="none"/>
              </w:rPr>
              <w:t>所投产品在“节能产品政府采购清单”内得</w:t>
            </w:r>
            <w:r>
              <w:rPr>
                <w:rFonts w:hint="eastAsia" w:ascii="宋体" w:hAnsi="宋体"/>
                <w:szCs w:val="21"/>
                <w:highlight w:val="none"/>
                <w:lang w:val="en-US" w:eastAsia="zh-CN"/>
              </w:rPr>
              <w:t>4</w:t>
            </w:r>
            <w:r>
              <w:rPr>
                <w:rFonts w:hint="eastAsia" w:ascii="宋体" w:hAnsi="宋体"/>
                <w:szCs w:val="21"/>
                <w:highlight w:val="none"/>
              </w:rPr>
              <w:t>分。（提供相关证明材料）</w:t>
            </w:r>
          </w:p>
          <w:p>
            <w:pPr>
              <w:shd w:val="clear" w:color="auto" w:fill="FFFFFF"/>
              <w:spacing w:line="360" w:lineRule="exact"/>
              <w:rPr>
                <w:rFonts w:ascii="宋体" w:hAnsi="宋体"/>
                <w:szCs w:val="21"/>
                <w:highlight w:val="none"/>
              </w:rPr>
            </w:pPr>
            <w:r>
              <w:rPr>
                <w:rFonts w:hint="eastAsia" w:ascii="宋体" w:hAnsi="宋体"/>
                <w:szCs w:val="21"/>
                <w:highlight w:val="none"/>
              </w:rPr>
              <w:t>所投产品在“环境标志政府采购清单”内得</w:t>
            </w:r>
            <w:r>
              <w:rPr>
                <w:rFonts w:hint="eastAsia" w:ascii="宋体" w:hAnsi="宋体"/>
                <w:szCs w:val="21"/>
                <w:highlight w:val="none"/>
                <w:lang w:val="en-US" w:eastAsia="zh-CN"/>
              </w:rPr>
              <w:t>3</w:t>
            </w:r>
            <w:r>
              <w:rPr>
                <w:rFonts w:hint="eastAsia" w:ascii="宋体" w:hAnsi="宋体"/>
                <w:szCs w:val="21"/>
                <w:highlight w:val="none"/>
              </w:rPr>
              <w:t>分。（提供相关证明材料）</w:t>
            </w:r>
          </w:p>
          <w:p>
            <w:pPr>
              <w:shd w:val="clear" w:color="auto" w:fill="FFFFFF"/>
              <w:spacing w:line="360" w:lineRule="exact"/>
              <w:rPr>
                <w:rFonts w:ascii="宋体" w:hAnsi="宋体"/>
                <w:szCs w:val="21"/>
              </w:rPr>
            </w:pPr>
            <w:r>
              <w:rPr>
                <w:rFonts w:hint="eastAsia" w:ascii="宋体" w:hAnsi="宋体"/>
                <w:szCs w:val="21"/>
              </w:rPr>
              <w:t>业绩（5分）：近三年有主机功率大于3000kw且金额大于700万的医院用户，每提供一家有效用户得1分，最多得5分。（有效用户：提供中标通知书、合同、验收报告）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400" w:hRule="atLeast"/>
        </w:trPr>
        <w:tc>
          <w:tcPr>
            <w:tcW w:w="1389" w:type="dxa"/>
            <w:vMerge w:val="continue"/>
            <w:tcBorders>
              <w:left w:val="single" w:color="auto" w:sz="4" w:space="0"/>
              <w:bottom w:val="single" w:color="auto" w:sz="4" w:space="0"/>
              <w:right w:val="single" w:color="auto" w:sz="4" w:space="0"/>
            </w:tcBorders>
            <w:vAlign w:val="center"/>
          </w:tcPr>
          <w:p>
            <w:pPr>
              <w:shd w:val="clear" w:color="auto" w:fill="FFFFFF"/>
              <w:spacing w:line="400" w:lineRule="exact"/>
              <w:rPr>
                <w:rFonts w:ascii="宋体" w:hAnsi="宋体"/>
                <w:color w:val="000000"/>
                <w:szCs w:val="21"/>
              </w:rPr>
            </w:pPr>
          </w:p>
        </w:tc>
        <w:tc>
          <w:tcPr>
            <w:tcW w:w="1131" w:type="dxa"/>
            <w:tcBorders>
              <w:top w:val="single" w:color="auto" w:sz="4" w:space="0"/>
              <w:left w:val="single" w:color="auto" w:sz="4" w:space="0"/>
              <w:bottom w:val="single" w:color="auto" w:sz="4" w:space="0"/>
              <w:right w:val="single" w:color="auto" w:sz="4" w:space="0"/>
            </w:tcBorders>
            <w:vAlign w:val="center"/>
          </w:tcPr>
          <w:p>
            <w:pPr>
              <w:shd w:val="clear" w:color="auto" w:fill="FFFFFF"/>
              <w:spacing w:line="400" w:lineRule="exact"/>
              <w:rPr>
                <w:rFonts w:ascii="宋体" w:hAnsi="宋体"/>
                <w:color w:val="000000"/>
                <w:szCs w:val="21"/>
                <w:highlight w:val="none"/>
              </w:rPr>
            </w:pPr>
            <w:r>
              <w:rPr>
                <w:rFonts w:hint="eastAsia" w:ascii="宋体" w:hAnsi="宋体"/>
                <w:color w:val="000000"/>
                <w:szCs w:val="21"/>
                <w:highlight w:val="none"/>
              </w:rPr>
              <w:t>4、施工组织设计</w:t>
            </w:r>
          </w:p>
        </w:tc>
        <w:tc>
          <w:tcPr>
            <w:tcW w:w="1520" w:type="dxa"/>
            <w:tcBorders>
              <w:top w:val="single" w:color="auto" w:sz="4" w:space="0"/>
              <w:left w:val="single" w:color="auto" w:sz="4" w:space="0"/>
              <w:bottom w:val="single" w:color="auto" w:sz="4" w:space="0"/>
              <w:right w:val="single" w:color="auto" w:sz="4" w:space="0"/>
            </w:tcBorders>
            <w:vAlign w:val="center"/>
          </w:tcPr>
          <w:p>
            <w:pPr>
              <w:shd w:val="clear" w:color="auto" w:fill="FFFFFF"/>
              <w:spacing w:line="400" w:lineRule="exact"/>
              <w:rPr>
                <w:rFonts w:ascii="宋体" w:hAnsi="宋体"/>
                <w:color w:val="000000"/>
                <w:szCs w:val="21"/>
                <w:highlight w:val="none"/>
              </w:rPr>
            </w:pPr>
            <w:r>
              <w:rPr>
                <w:rFonts w:hint="eastAsia" w:ascii="宋体" w:hAnsi="宋体"/>
                <w:color w:val="000000"/>
                <w:szCs w:val="21"/>
                <w:highlight w:val="none"/>
                <w:lang w:val="en-US" w:eastAsia="zh-CN"/>
              </w:rPr>
              <w:t>14</w:t>
            </w:r>
            <w:r>
              <w:rPr>
                <w:rFonts w:hint="eastAsia" w:ascii="宋体" w:hAnsi="宋体"/>
                <w:color w:val="000000"/>
                <w:szCs w:val="21"/>
                <w:highlight w:val="none"/>
              </w:rPr>
              <w:t>分</w:t>
            </w:r>
          </w:p>
        </w:tc>
        <w:tc>
          <w:tcPr>
            <w:tcW w:w="4960" w:type="dxa"/>
            <w:tcBorders>
              <w:top w:val="single" w:color="auto" w:sz="4" w:space="0"/>
              <w:left w:val="nil"/>
              <w:bottom w:val="single" w:color="auto" w:sz="4" w:space="0"/>
              <w:right w:val="single" w:color="auto" w:sz="4" w:space="0"/>
            </w:tcBorders>
            <w:vAlign w:val="center"/>
          </w:tcPr>
          <w:p>
            <w:pPr>
              <w:pStyle w:val="45"/>
              <w:keepNext w:val="0"/>
              <w:keepLines w:val="0"/>
              <w:pageBreakBefore w:val="0"/>
              <w:shd w:val="clear" w:color="auto" w:fill="FFFFFF"/>
              <w:kinsoku/>
              <w:wordWrap/>
              <w:overflowPunct/>
              <w:topLinePunct w:val="0"/>
              <w:autoSpaceDE/>
              <w:autoSpaceDN/>
              <w:bidi w:val="0"/>
              <w:adjustRightInd/>
              <w:snapToGrid/>
              <w:spacing w:line="280" w:lineRule="exact"/>
              <w:ind w:left="0" w:leftChars="0" w:right="0" w:rightChars="0" w:firstLine="0" w:firstLineChars="0"/>
              <w:textAlignment w:val="auto"/>
              <w:outlineLvl w:val="9"/>
              <w:rPr>
                <w:rFonts w:ascii="宋体" w:hAnsi="宋体"/>
                <w:color w:val="000000"/>
                <w:sz w:val="21"/>
                <w:szCs w:val="21"/>
              </w:rPr>
            </w:pPr>
            <w:r>
              <w:rPr>
                <w:rFonts w:hint="eastAsia" w:ascii="宋体" w:hAnsi="宋体"/>
                <w:color w:val="000000"/>
                <w:sz w:val="21"/>
                <w:szCs w:val="21"/>
              </w:rPr>
              <w:t>1、在投标文件中对设备性能叙述详尽合理、满足使用要求0-2分；</w:t>
            </w:r>
          </w:p>
          <w:p>
            <w:pPr>
              <w:pStyle w:val="45"/>
              <w:keepNext w:val="0"/>
              <w:keepLines w:val="0"/>
              <w:pageBreakBefore w:val="0"/>
              <w:shd w:val="clear" w:color="auto" w:fill="FFFFFF"/>
              <w:kinsoku/>
              <w:wordWrap/>
              <w:overflowPunct/>
              <w:topLinePunct w:val="0"/>
              <w:autoSpaceDE/>
              <w:autoSpaceDN/>
              <w:bidi w:val="0"/>
              <w:adjustRightInd/>
              <w:snapToGrid/>
              <w:spacing w:line="280" w:lineRule="exact"/>
              <w:ind w:left="0" w:leftChars="0" w:right="0" w:rightChars="0" w:firstLine="0" w:firstLineChars="0"/>
              <w:textAlignment w:val="auto"/>
              <w:outlineLvl w:val="9"/>
              <w:rPr>
                <w:rFonts w:hint="eastAsia" w:ascii="宋体" w:hAnsi="宋体"/>
                <w:color w:val="000000"/>
                <w:sz w:val="21"/>
                <w:szCs w:val="21"/>
              </w:rPr>
            </w:pPr>
            <w:r>
              <w:rPr>
                <w:rFonts w:hint="eastAsia" w:ascii="宋体" w:hAnsi="宋体"/>
                <w:color w:val="000000"/>
                <w:sz w:val="21"/>
                <w:szCs w:val="21"/>
              </w:rPr>
              <w:t>2、确保合理的施工质量、安全文明施工的技术组织措施0-2分；</w:t>
            </w:r>
          </w:p>
          <w:p>
            <w:pPr>
              <w:pStyle w:val="45"/>
              <w:keepNext w:val="0"/>
              <w:keepLines w:val="0"/>
              <w:pageBreakBefore w:val="0"/>
              <w:shd w:val="clear" w:color="auto" w:fill="FFFFFF"/>
              <w:kinsoku/>
              <w:wordWrap/>
              <w:overflowPunct/>
              <w:topLinePunct w:val="0"/>
              <w:autoSpaceDE/>
              <w:autoSpaceDN/>
              <w:bidi w:val="0"/>
              <w:adjustRightInd/>
              <w:snapToGrid/>
              <w:spacing w:line="280" w:lineRule="exact"/>
              <w:ind w:left="0" w:leftChars="0" w:right="0" w:rightChars="0" w:firstLine="0" w:firstLineChars="0"/>
              <w:textAlignment w:val="auto"/>
              <w:outlineLvl w:val="9"/>
              <w:rPr>
                <w:rFonts w:hint="eastAsia" w:ascii="宋体" w:hAnsi="宋体"/>
                <w:color w:val="000000"/>
                <w:sz w:val="21"/>
                <w:szCs w:val="21"/>
              </w:rPr>
            </w:pPr>
            <w:r>
              <w:rPr>
                <w:rFonts w:hint="eastAsia" w:ascii="宋体" w:hAnsi="宋体"/>
                <w:color w:val="000000"/>
                <w:sz w:val="21"/>
                <w:szCs w:val="21"/>
              </w:rPr>
              <w:t>3、合理的施工总进度计划表或工期网络图0-2分；</w:t>
            </w:r>
          </w:p>
          <w:p>
            <w:pPr>
              <w:pStyle w:val="45"/>
              <w:keepNext w:val="0"/>
              <w:keepLines w:val="0"/>
              <w:pageBreakBefore w:val="0"/>
              <w:shd w:val="clear" w:color="auto" w:fill="FFFFFF"/>
              <w:kinsoku/>
              <w:wordWrap/>
              <w:overflowPunct/>
              <w:topLinePunct w:val="0"/>
              <w:autoSpaceDE/>
              <w:autoSpaceDN/>
              <w:bidi w:val="0"/>
              <w:adjustRightInd/>
              <w:snapToGrid/>
              <w:spacing w:line="280" w:lineRule="exact"/>
              <w:ind w:left="0" w:leftChars="0" w:right="0" w:rightChars="0" w:firstLine="0" w:firstLineChars="0"/>
              <w:textAlignment w:val="auto"/>
              <w:outlineLvl w:val="9"/>
              <w:rPr>
                <w:rFonts w:hint="eastAsia" w:ascii="宋体" w:hAnsi="宋体"/>
                <w:color w:val="000000"/>
                <w:sz w:val="21"/>
                <w:szCs w:val="21"/>
              </w:rPr>
            </w:pPr>
            <w:r>
              <w:rPr>
                <w:rFonts w:hint="eastAsia" w:ascii="宋体" w:hAnsi="宋体"/>
                <w:color w:val="000000"/>
                <w:sz w:val="21"/>
                <w:szCs w:val="21"/>
              </w:rPr>
              <w:t>4、合理的劳动力安排计划0-2分；</w:t>
            </w:r>
          </w:p>
          <w:p>
            <w:pPr>
              <w:pStyle w:val="45"/>
              <w:keepNext w:val="0"/>
              <w:keepLines w:val="0"/>
              <w:pageBreakBefore w:val="0"/>
              <w:shd w:val="clear" w:color="auto" w:fill="FFFFFF"/>
              <w:kinsoku/>
              <w:wordWrap/>
              <w:overflowPunct/>
              <w:topLinePunct w:val="0"/>
              <w:autoSpaceDE/>
              <w:autoSpaceDN/>
              <w:bidi w:val="0"/>
              <w:adjustRightInd/>
              <w:snapToGrid/>
              <w:spacing w:line="280" w:lineRule="exact"/>
              <w:ind w:left="0" w:leftChars="0" w:right="0" w:rightChars="0" w:firstLine="0" w:firstLineChars="0"/>
              <w:textAlignment w:val="auto"/>
              <w:outlineLvl w:val="9"/>
              <w:rPr>
                <w:rFonts w:hint="eastAsia" w:ascii="宋体" w:hAnsi="宋体"/>
                <w:color w:val="000000"/>
                <w:sz w:val="21"/>
                <w:szCs w:val="21"/>
              </w:rPr>
            </w:pPr>
            <w:r>
              <w:rPr>
                <w:rFonts w:hint="eastAsia" w:ascii="宋体" w:hAnsi="宋体"/>
                <w:color w:val="000000"/>
                <w:sz w:val="21"/>
                <w:szCs w:val="21"/>
              </w:rPr>
              <w:t>5、合理的安装材料、元件、备品备件及专用工具、维修工具选择的合理性0-2分；</w:t>
            </w:r>
          </w:p>
          <w:p>
            <w:pPr>
              <w:pStyle w:val="45"/>
              <w:keepNext w:val="0"/>
              <w:keepLines w:val="0"/>
              <w:pageBreakBefore w:val="0"/>
              <w:shd w:val="clear" w:color="auto" w:fill="FFFFFF"/>
              <w:kinsoku/>
              <w:wordWrap/>
              <w:overflowPunct/>
              <w:topLinePunct w:val="0"/>
              <w:autoSpaceDE/>
              <w:autoSpaceDN/>
              <w:bidi w:val="0"/>
              <w:adjustRightInd/>
              <w:snapToGrid/>
              <w:spacing w:line="280" w:lineRule="exact"/>
              <w:ind w:left="0" w:leftChars="0" w:right="0" w:rightChars="0" w:firstLine="0" w:firstLineChars="0"/>
              <w:textAlignment w:val="auto"/>
              <w:outlineLvl w:val="9"/>
              <w:rPr>
                <w:rFonts w:hint="eastAsia" w:ascii="宋体" w:hAnsi="宋体"/>
                <w:color w:val="000000"/>
                <w:sz w:val="21"/>
                <w:szCs w:val="21"/>
              </w:rPr>
            </w:pPr>
            <w:r>
              <w:rPr>
                <w:rFonts w:hint="eastAsia" w:ascii="宋体" w:hAnsi="宋体"/>
                <w:color w:val="000000"/>
                <w:sz w:val="21"/>
                <w:szCs w:val="21"/>
              </w:rPr>
              <w:t>6、合理的施工机械、仪器设备及主要的施工方法和检测方法0-2分；</w:t>
            </w:r>
          </w:p>
          <w:p>
            <w:pPr>
              <w:keepNext w:val="0"/>
              <w:keepLines w:val="0"/>
              <w:pageBreakBefore w:val="0"/>
              <w:shd w:val="clear" w:color="auto" w:fill="FFFFFF"/>
              <w:kinsoku/>
              <w:wordWrap/>
              <w:overflowPunct/>
              <w:topLinePunct w:val="0"/>
              <w:autoSpaceDE/>
              <w:autoSpaceDN/>
              <w:bidi w:val="0"/>
              <w:adjustRightInd/>
              <w:snapToGrid/>
              <w:spacing w:line="280" w:lineRule="exact"/>
              <w:ind w:left="0" w:leftChars="0" w:right="0" w:rightChars="0" w:firstLine="0" w:firstLineChars="0"/>
              <w:textAlignment w:val="auto"/>
              <w:outlineLvl w:val="9"/>
              <w:rPr>
                <w:rFonts w:ascii="宋体" w:hAnsi="宋体"/>
                <w:color w:val="000000"/>
                <w:szCs w:val="21"/>
              </w:rPr>
            </w:pPr>
            <w:r>
              <w:rPr>
                <w:rFonts w:hint="eastAsia" w:ascii="宋体" w:hAnsi="宋体"/>
                <w:color w:val="000000"/>
                <w:sz w:val="21"/>
                <w:szCs w:val="21"/>
              </w:rPr>
              <w:t>7、合理的项目管理班子配备2分；（五大员：材料员、施工员、质检员、安全员、造价员配备合理证书齐全得2分，缺一项不得分）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47" w:hRule="atLeast"/>
        </w:trPr>
        <w:tc>
          <w:tcPr>
            <w:tcW w:w="1389" w:type="dxa"/>
            <w:tcBorders>
              <w:top w:val="single" w:color="auto" w:sz="4" w:space="0"/>
              <w:left w:val="single" w:color="auto" w:sz="4" w:space="0"/>
              <w:bottom w:val="single" w:color="auto" w:sz="4" w:space="0"/>
              <w:right w:val="single" w:color="auto" w:sz="4" w:space="0"/>
            </w:tcBorders>
            <w:vAlign w:val="center"/>
          </w:tcPr>
          <w:p>
            <w:pPr>
              <w:shd w:val="clear" w:color="auto" w:fill="FFFFFF"/>
              <w:spacing w:line="400" w:lineRule="exact"/>
              <w:rPr>
                <w:rFonts w:ascii="宋体" w:hAnsi="宋体"/>
                <w:color w:val="000000"/>
                <w:szCs w:val="21"/>
              </w:rPr>
            </w:pPr>
            <w:r>
              <w:rPr>
                <w:rFonts w:hint="eastAsia" w:ascii="宋体" w:hAnsi="宋体"/>
                <w:color w:val="000000"/>
                <w:szCs w:val="21"/>
              </w:rPr>
              <w:t>二、商务报价</w:t>
            </w:r>
          </w:p>
          <w:p>
            <w:pPr>
              <w:shd w:val="clear" w:color="auto" w:fill="FFFFFF"/>
              <w:spacing w:line="400" w:lineRule="exact"/>
              <w:rPr>
                <w:rFonts w:ascii="宋体" w:hAnsi="宋体"/>
                <w:color w:val="000000"/>
                <w:szCs w:val="21"/>
              </w:rPr>
            </w:pPr>
            <w:r>
              <w:rPr>
                <w:rFonts w:hint="eastAsia" w:ascii="宋体" w:hAnsi="宋体"/>
                <w:color w:val="000000"/>
                <w:szCs w:val="21"/>
              </w:rPr>
              <w:t>（40分）</w:t>
            </w:r>
          </w:p>
        </w:tc>
        <w:tc>
          <w:tcPr>
            <w:tcW w:w="1131" w:type="dxa"/>
            <w:tcBorders>
              <w:top w:val="single" w:color="auto" w:sz="4" w:space="0"/>
              <w:left w:val="single" w:color="auto" w:sz="4" w:space="0"/>
              <w:bottom w:val="single" w:color="auto" w:sz="4" w:space="0"/>
              <w:right w:val="single" w:color="auto" w:sz="4" w:space="0"/>
            </w:tcBorders>
            <w:vAlign w:val="center"/>
          </w:tcPr>
          <w:p>
            <w:pPr>
              <w:shd w:val="clear" w:color="auto" w:fill="FFFFFF"/>
              <w:spacing w:line="400" w:lineRule="exact"/>
              <w:rPr>
                <w:rFonts w:ascii="宋体" w:hAnsi="宋体"/>
                <w:color w:val="000000"/>
                <w:szCs w:val="21"/>
              </w:rPr>
            </w:pPr>
          </w:p>
        </w:tc>
        <w:tc>
          <w:tcPr>
            <w:tcW w:w="1520" w:type="dxa"/>
            <w:tcBorders>
              <w:top w:val="single" w:color="auto" w:sz="4" w:space="0"/>
              <w:left w:val="single" w:color="auto" w:sz="4" w:space="0"/>
              <w:right w:val="single" w:color="auto" w:sz="4" w:space="0"/>
            </w:tcBorders>
            <w:vAlign w:val="center"/>
          </w:tcPr>
          <w:p>
            <w:pPr>
              <w:shd w:val="clear" w:color="auto" w:fill="FFFFFF"/>
              <w:spacing w:line="400" w:lineRule="exact"/>
              <w:rPr>
                <w:rFonts w:ascii="宋体" w:hAnsi="宋体"/>
                <w:color w:val="000000"/>
                <w:szCs w:val="21"/>
              </w:rPr>
            </w:pPr>
            <w:r>
              <w:rPr>
                <w:rFonts w:hint="eastAsia" w:ascii="宋体" w:hAnsi="宋体"/>
                <w:color w:val="000000"/>
                <w:szCs w:val="21"/>
              </w:rPr>
              <w:t xml:space="preserve">    40分</w:t>
            </w:r>
          </w:p>
        </w:tc>
        <w:tc>
          <w:tcPr>
            <w:tcW w:w="4960" w:type="dxa"/>
            <w:tcBorders>
              <w:top w:val="single" w:color="auto" w:sz="4" w:space="0"/>
              <w:left w:val="nil"/>
              <w:right w:val="single" w:color="auto" w:sz="4" w:space="0"/>
            </w:tcBorders>
            <w:vAlign w:val="center"/>
          </w:tcPr>
          <w:p>
            <w:pPr>
              <w:spacing w:line="360" w:lineRule="exact"/>
              <w:jc w:val="left"/>
              <w:rPr>
                <w:rFonts w:ascii="宋体" w:hAnsi="宋体" w:cs="仿宋_GB2312"/>
                <w:kern w:val="0"/>
                <w:szCs w:val="21"/>
              </w:rPr>
            </w:pPr>
            <w:r>
              <w:rPr>
                <w:rFonts w:hint="eastAsia" w:ascii="宋体" w:hAnsi="宋体" w:cs="仿宋_GB2312"/>
                <w:kern w:val="0"/>
                <w:szCs w:val="21"/>
              </w:rPr>
              <w:t>综合评分法中的价格分统一采用低价优先法计算，即满足招标文件要求且投标价格最低的投标报价为评标基准价，其价格分为满分。其他投标人的价格分统一按照下列公式计算：</w:t>
            </w:r>
          </w:p>
          <w:p>
            <w:pPr>
              <w:shd w:val="clear" w:color="auto" w:fill="FFFFFF"/>
              <w:spacing w:line="400" w:lineRule="exact"/>
              <w:rPr>
                <w:rFonts w:ascii="宋体" w:hAnsi="宋体"/>
                <w:color w:val="000000"/>
                <w:szCs w:val="21"/>
              </w:rPr>
            </w:pPr>
            <w:r>
              <w:rPr>
                <w:rFonts w:hint="eastAsia" w:ascii="宋体" w:hAnsi="宋体" w:cs="仿宋_GB2312"/>
                <w:kern w:val="0"/>
                <w:szCs w:val="21"/>
              </w:rPr>
              <w:t>投标报价得分=（评标基准价/投标报价）×价格权值×100。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705" w:hRule="atLeast"/>
        </w:trPr>
        <w:tc>
          <w:tcPr>
            <w:tcW w:w="9000" w:type="dxa"/>
            <w:gridSpan w:val="4"/>
            <w:tcBorders>
              <w:top w:val="single" w:color="auto" w:sz="4" w:space="0"/>
              <w:left w:val="single" w:color="auto" w:sz="4" w:space="0"/>
              <w:bottom w:val="single" w:color="auto" w:sz="4" w:space="0"/>
              <w:right w:val="single" w:color="auto" w:sz="4" w:space="0"/>
            </w:tcBorders>
            <w:vAlign w:val="center"/>
          </w:tcPr>
          <w:p>
            <w:pPr>
              <w:shd w:val="clear" w:color="auto" w:fill="FFFFFF"/>
              <w:spacing w:line="400" w:lineRule="exact"/>
              <w:rPr>
                <w:rFonts w:ascii="宋体" w:hAnsi="宋体"/>
                <w:color w:val="000000"/>
                <w:szCs w:val="21"/>
              </w:rPr>
            </w:pPr>
            <w:r>
              <w:rPr>
                <w:rFonts w:hint="eastAsia" w:ascii="宋体" w:hAnsi="宋体"/>
                <w:color w:val="000000"/>
                <w:szCs w:val="21"/>
              </w:rPr>
              <w:t>投标人综合得分=商务报价得分＋技术评分因素得分。</w:t>
            </w:r>
          </w:p>
          <w:p>
            <w:pPr>
              <w:shd w:val="clear" w:color="auto" w:fill="FFFFFF"/>
              <w:spacing w:line="400" w:lineRule="exact"/>
              <w:rPr>
                <w:rFonts w:ascii="宋体" w:hAnsi="宋体"/>
                <w:color w:val="000000"/>
                <w:szCs w:val="21"/>
              </w:rPr>
            </w:pPr>
            <w:r>
              <w:rPr>
                <w:rFonts w:hint="eastAsia" w:ascii="宋体" w:hAnsi="宋体"/>
                <w:color w:val="000000"/>
                <w:szCs w:val="21"/>
              </w:rPr>
              <w:t>投标人的最终得分：</w:t>
            </w:r>
          </w:p>
          <w:p>
            <w:pPr>
              <w:shd w:val="clear" w:color="auto" w:fill="FFFFFF"/>
              <w:spacing w:line="400" w:lineRule="exact"/>
              <w:rPr>
                <w:rFonts w:ascii="宋体" w:hAnsi="宋体"/>
                <w:color w:val="000000"/>
                <w:szCs w:val="21"/>
              </w:rPr>
            </w:pPr>
            <w:r>
              <w:rPr>
                <w:rFonts w:hint="eastAsia" w:ascii="宋体" w:hAnsi="宋体"/>
                <w:color w:val="000000"/>
                <w:szCs w:val="21"/>
              </w:rPr>
              <w:t>1．评标委员会完成评审后，取全部得分算术平均值，作为该投标人最终得分。</w:t>
            </w:r>
          </w:p>
          <w:p>
            <w:pPr>
              <w:shd w:val="clear" w:color="auto" w:fill="FFFFFF"/>
              <w:spacing w:line="400" w:lineRule="exact"/>
              <w:rPr>
                <w:rFonts w:ascii="宋体" w:hAnsi="宋体"/>
                <w:color w:val="000000"/>
                <w:szCs w:val="21"/>
              </w:rPr>
            </w:pPr>
            <w:r>
              <w:rPr>
                <w:rFonts w:hint="eastAsia" w:ascii="宋体" w:hAnsi="宋体"/>
                <w:color w:val="000000"/>
                <w:szCs w:val="21"/>
              </w:rPr>
              <w:t>2．本办法计算过程中分值按四舍五入保留二位小数。</w:t>
            </w:r>
          </w:p>
        </w:tc>
      </w:tr>
    </w:tbl>
    <w:p>
      <w:pPr>
        <w:shd w:val="clear" w:color="auto" w:fill="FFFFFF"/>
        <w:spacing w:line="400" w:lineRule="exact"/>
        <w:rPr>
          <w:rFonts w:ascii="宋体" w:hAnsi="宋体"/>
          <w:color w:val="000000"/>
          <w:szCs w:val="21"/>
        </w:rPr>
      </w:pPr>
    </w:p>
    <w:p>
      <w:pPr>
        <w:autoSpaceDE w:val="0"/>
        <w:autoSpaceDN w:val="0"/>
        <w:adjustRightInd w:val="0"/>
        <w:spacing w:line="440" w:lineRule="exact"/>
        <w:ind w:firstLine="482" w:firstLineChars="200"/>
        <w:rPr>
          <w:rFonts w:ascii="宋体" w:hAnsi="宋体"/>
          <w:b/>
          <w:kern w:val="0"/>
          <w:sz w:val="24"/>
        </w:rPr>
      </w:pPr>
      <w:r>
        <w:rPr>
          <w:rFonts w:hint="eastAsia" w:ascii="宋体" w:hAnsi="宋体"/>
          <w:b/>
          <w:kern w:val="0"/>
          <w:sz w:val="24"/>
        </w:rPr>
        <w:t>3.评标程序</w:t>
      </w:r>
    </w:p>
    <w:p>
      <w:pPr>
        <w:autoSpaceDE w:val="0"/>
        <w:autoSpaceDN w:val="0"/>
        <w:adjustRightInd w:val="0"/>
        <w:spacing w:line="440" w:lineRule="exact"/>
        <w:ind w:firstLine="420" w:firstLineChars="200"/>
        <w:rPr>
          <w:rFonts w:ascii="宋体" w:hAnsi="宋体"/>
          <w:kern w:val="0"/>
          <w:szCs w:val="21"/>
        </w:rPr>
      </w:pPr>
      <w:r>
        <w:rPr>
          <w:rFonts w:hint="eastAsia" w:ascii="宋体" w:hAnsi="宋体"/>
          <w:kern w:val="0"/>
          <w:szCs w:val="21"/>
        </w:rPr>
        <w:t>3.1  初步评审</w:t>
      </w:r>
    </w:p>
    <w:p>
      <w:pPr>
        <w:autoSpaceDE w:val="0"/>
        <w:autoSpaceDN w:val="0"/>
        <w:adjustRightInd w:val="0"/>
        <w:spacing w:line="440" w:lineRule="exact"/>
        <w:ind w:firstLine="420" w:firstLineChars="200"/>
        <w:rPr>
          <w:rFonts w:ascii="宋体" w:hAnsi="宋体"/>
          <w:kern w:val="0"/>
          <w:szCs w:val="21"/>
        </w:rPr>
      </w:pPr>
      <w:r>
        <w:rPr>
          <w:rFonts w:hint="eastAsia" w:ascii="宋体" w:hAnsi="宋体"/>
          <w:kern w:val="0"/>
          <w:szCs w:val="21"/>
        </w:rPr>
        <w:t>3.1.1  评标委员会可以要求投标人提交第二章“投标人须知”第3.7.1项至第3.7.3项规定的有关证明和证件的原件，以便核验。评标委员会依据本章第2.1款规定的标准对投标文件进行初步评审。有一项不符合评审标准的，作无效投标处理。</w:t>
      </w:r>
    </w:p>
    <w:p>
      <w:pPr>
        <w:spacing w:line="440" w:lineRule="exact"/>
        <w:ind w:firstLine="420" w:firstLineChars="200"/>
        <w:rPr>
          <w:rFonts w:ascii="宋体" w:hAnsi="宋体"/>
          <w:kern w:val="0"/>
          <w:szCs w:val="21"/>
        </w:rPr>
      </w:pPr>
      <w:r>
        <w:rPr>
          <w:rFonts w:hint="eastAsia" w:ascii="宋体" w:hAnsi="宋体"/>
          <w:kern w:val="0"/>
          <w:szCs w:val="21"/>
        </w:rPr>
        <w:t xml:space="preserve">3.1.2  </w:t>
      </w:r>
      <w:r>
        <w:rPr>
          <w:rFonts w:ascii="宋体" w:hAnsi="宋体"/>
          <w:kern w:val="0"/>
          <w:szCs w:val="21"/>
        </w:rPr>
        <w:t>投标文件属下列情况之一的，应当在资格性、符合性检查时按照无效投标处理：</w:t>
      </w:r>
    </w:p>
    <w:p>
      <w:pPr>
        <w:widowControl/>
        <w:spacing w:line="440" w:lineRule="exact"/>
        <w:ind w:firstLine="420" w:firstLineChars="200"/>
        <w:jc w:val="left"/>
        <w:rPr>
          <w:rFonts w:ascii="宋体" w:hAnsi="宋体"/>
          <w:kern w:val="0"/>
          <w:szCs w:val="21"/>
        </w:rPr>
      </w:pPr>
      <w:r>
        <w:rPr>
          <w:rFonts w:ascii="宋体" w:hAnsi="宋体"/>
          <w:kern w:val="0"/>
          <w:szCs w:val="21"/>
        </w:rPr>
        <w:t>（</w:t>
      </w:r>
      <w:r>
        <w:rPr>
          <w:rFonts w:hint="eastAsia" w:ascii="宋体" w:hAnsi="宋体"/>
          <w:kern w:val="0"/>
          <w:szCs w:val="21"/>
        </w:rPr>
        <w:t>1</w:t>
      </w:r>
      <w:r>
        <w:rPr>
          <w:rFonts w:ascii="宋体" w:hAnsi="宋体"/>
          <w:kern w:val="0"/>
          <w:szCs w:val="21"/>
        </w:rPr>
        <w:t>）应交未交投标保证金的；</w:t>
      </w:r>
    </w:p>
    <w:p>
      <w:pPr>
        <w:widowControl/>
        <w:spacing w:line="440" w:lineRule="exact"/>
        <w:ind w:firstLine="420" w:firstLineChars="200"/>
        <w:jc w:val="left"/>
        <w:rPr>
          <w:rFonts w:ascii="宋体" w:hAnsi="宋体"/>
          <w:kern w:val="0"/>
          <w:szCs w:val="21"/>
        </w:rPr>
      </w:pPr>
      <w:r>
        <w:rPr>
          <w:rFonts w:ascii="宋体" w:hAnsi="宋体"/>
          <w:kern w:val="0"/>
          <w:szCs w:val="21"/>
        </w:rPr>
        <w:t>（</w:t>
      </w:r>
      <w:r>
        <w:rPr>
          <w:rFonts w:hint="eastAsia" w:ascii="宋体" w:hAnsi="宋体"/>
          <w:kern w:val="0"/>
          <w:szCs w:val="21"/>
        </w:rPr>
        <w:t>2</w:t>
      </w:r>
      <w:r>
        <w:rPr>
          <w:rFonts w:ascii="宋体" w:hAnsi="宋体"/>
          <w:kern w:val="0"/>
          <w:szCs w:val="21"/>
        </w:rPr>
        <w:t>）未按照招标文件规定要求密封、签署、盖章的；</w:t>
      </w:r>
    </w:p>
    <w:p>
      <w:pPr>
        <w:widowControl/>
        <w:spacing w:line="440" w:lineRule="exact"/>
        <w:ind w:firstLine="420" w:firstLineChars="200"/>
        <w:jc w:val="left"/>
        <w:rPr>
          <w:rFonts w:ascii="宋体" w:hAnsi="宋体"/>
          <w:kern w:val="0"/>
          <w:szCs w:val="21"/>
        </w:rPr>
      </w:pPr>
      <w:r>
        <w:rPr>
          <w:rFonts w:ascii="宋体" w:hAnsi="宋体"/>
          <w:kern w:val="0"/>
          <w:szCs w:val="21"/>
        </w:rPr>
        <w:t>（</w:t>
      </w:r>
      <w:r>
        <w:rPr>
          <w:rFonts w:hint="eastAsia" w:ascii="宋体" w:hAnsi="宋体"/>
          <w:kern w:val="0"/>
          <w:szCs w:val="21"/>
        </w:rPr>
        <w:t>3</w:t>
      </w:r>
      <w:r>
        <w:rPr>
          <w:rFonts w:ascii="宋体" w:hAnsi="宋体"/>
          <w:kern w:val="0"/>
          <w:szCs w:val="21"/>
        </w:rPr>
        <w:t>）不具备招标文件中规定资格要求的；</w:t>
      </w:r>
    </w:p>
    <w:p>
      <w:pPr>
        <w:spacing w:line="440" w:lineRule="exact"/>
        <w:ind w:firstLine="420" w:firstLineChars="200"/>
        <w:rPr>
          <w:rFonts w:ascii="宋体" w:hAnsi="宋体"/>
          <w:szCs w:val="21"/>
        </w:rPr>
      </w:pPr>
      <w:r>
        <w:rPr>
          <w:rFonts w:ascii="宋体" w:hAnsi="宋体"/>
          <w:kern w:val="0"/>
          <w:szCs w:val="21"/>
        </w:rPr>
        <w:t>（</w:t>
      </w:r>
      <w:r>
        <w:rPr>
          <w:rFonts w:hint="eastAsia" w:ascii="宋体" w:hAnsi="宋体"/>
          <w:kern w:val="0"/>
          <w:szCs w:val="21"/>
        </w:rPr>
        <w:t>4</w:t>
      </w:r>
      <w:r>
        <w:rPr>
          <w:rFonts w:ascii="宋体" w:hAnsi="宋体"/>
          <w:kern w:val="0"/>
          <w:szCs w:val="21"/>
        </w:rPr>
        <w:t>）不符合法律、法规和招标文件中规定的其他实质性要求的。</w:t>
      </w:r>
    </w:p>
    <w:p>
      <w:pPr>
        <w:spacing w:line="440" w:lineRule="exact"/>
        <w:ind w:firstLine="420" w:firstLineChars="200"/>
        <w:rPr>
          <w:rFonts w:ascii="宋体" w:hAnsi="宋体"/>
          <w:szCs w:val="21"/>
        </w:rPr>
      </w:pPr>
      <w:r>
        <w:rPr>
          <w:rFonts w:hint="eastAsia" w:ascii="宋体" w:hAnsi="宋体"/>
          <w:szCs w:val="21"/>
        </w:rPr>
        <w:t>3.1.3  投标报价有算数错误的，评标委员会按以下原则对投标报价进行修正，修正的价格经投标人书面确认后具有约束力。投标人不接受修正价格的，其投标作无效投标处理。</w:t>
      </w:r>
    </w:p>
    <w:p>
      <w:pPr>
        <w:spacing w:line="440" w:lineRule="exact"/>
        <w:ind w:firstLine="420" w:firstLineChars="200"/>
        <w:rPr>
          <w:rFonts w:ascii="宋体" w:hAnsi="宋体"/>
          <w:szCs w:val="21"/>
        </w:rPr>
      </w:pPr>
      <w:r>
        <w:rPr>
          <w:rFonts w:hint="eastAsia" w:ascii="宋体" w:hAnsi="宋体"/>
          <w:szCs w:val="21"/>
        </w:rPr>
        <w:t>（1）投标文件中的大写金额与小写金额不一致的，以大写金额为准；</w:t>
      </w:r>
    </w:p>
    <w:p>
      <w:pPr>
        <w:spacing w:line="440" w:lineRule="exact"/>
        <w:ind w:firstLine="420" w:firstLineChars="200"/>
        <w:rPr>
          <w:rFonts w:ascii="宋体" w:hAnsi="宋体"/>
          <w:szCs w:val="21"/>
        </w:rPr>
      </w:pPr>
      <w:r>
        <w:rPr>
          <w:rFonts w:hint="eastAsia" w:ascii="宋体" w:hAnsi="宋体"/>
          <w:szCs w:val="21"/>
        </w:rPr>
        <w:t>（2）</w:t>
      </w:r>
      <w:r>
        <w:rPr>
          <w:rFonts w:ascii="宋体" w:hAnsi="宋体"/>
          <w:szCs w:val="21"/>
        </w:rPr>
        <w:t>投标文件中开标一览表(报价表)内容与投标文件中明细表内容不一致的，以开标一览表(报价表)为准。</w:t>
      </w:r>
    </w:p>
    <w:p>
      <w:pPr>
        <w:widowControl/>
        <w:spacing w:line="440" w:lineRule="exact"/>
        <w:ind w:firstLine="420" w:firstLineChars="200"/>
        <w:jc w:val="left"/>
        <w:rPr>
          <w:rFonts w:ascii="宋体" w:hAnsi="宋体"/>
          <w:szCs w:val="21"/>
        </w:rPr>
      </w:pPr>
      <w:r>
        <w:rPr>
          <w:rFonts w:ascii="宋体" w:hAnsi="宋体"/>
          <w:szCs w:val="21"/>
        </w:rPr>
        <w:t>投标文件的大写金额和小写金额不一致的，以大写金额为准；总价金额与按单价汇总金额不一致的，以单价金额计算结果为准；单价金额小数点有明显错位的，应以总价为准，并修改单价；对不同文字文本投标文件的解释发生异议的，以中文文本为准。</w:t>
      </w:r>
    </w:p>
    <w:p>
      <w:pPr>
        <w:spacing w:line="440" w:lineRule="exact"/>
        <w:ind w:firstLine="482" w:firstLineChars="200"/>
        <w:rPr>
          <w:rFonts w:ascii="宋体" w:hAnsi="宋体"/>
          <w:b/>
          <w:sz w:val="24"/>
        </w:rPr>
      </w:pPr>
      <w:r>
        <w:rPr>
          <w:rFonts w:hint="eastAsia" w:ascii="宋体" w:hAnsi="宋体"/>
          <w:b/>
          <w:sz w:val="24"/>
        </w:rPr>
        <w:t>3.2  详细评审</w:t>
      </w:r>
    </w:p>
    <w:p>
      <w:pPr>
        <w:spacing w:line="440" w:lineRule="exact"/>
        <w:ind w:firstLine="420" w:firstLineChars="200"/>
        <w:rPr>
          <w:rFonts w:ascii="宋体" w:hAnsi="宋体"/>
          <w:szCs w:val="21"/>
        </w:rPr>
      </w:pPr>
      <w:r>
        <w:rPr>
          <w:rFonts w:hint="eastAsia" w:ascii="宋体" w:hAnsi="宋体"/>
          <w:szCs w:val="21"/>
        </w:rPr>
        <w:t>3.2.1  评标委员会按本章第2.2款的评分标准进行打分，并计算出综合评审得分。</w:t>
      </w:r>
    </w:p>
    <w:p>
      <w:pPr>
        <w:spacing w:line="440" w:lineRule="exact"/>
        <w:ind w:firstLine="420" w:firstLineChars="200"/>
        <w:rPr>
          <w:rFonts w:ascii="宋体" w:hAnsi="宋体"/>
          <w:szCs w:val="21"/>
        </w:rPr>
      </w:pPr>
      <w:r>
        <w:rPr>
          <w:rFonts w:hint="eastAsia" w:ascii="宋体" w:hAnsi="宋体"/>
          <w:szCs w:val="21"/>
        </w:rPr>
        <w:t xml:space="preserve">3.2.2  </w:t>
      </w:r>
      <w:r>
        <w:rPr>
          <w:rFonts w:hint="eastAsia" w:ascii="宋体" w:hAnsi="宋体" w:cs="仿宋_GB2312"/>
          <w:kern w:val="0"/>
          <w:szCs w:val="21"/>
        </w:rPr>
        <w:t>评标委员会发现投标人的投标总报价明显低于其他投标报价，使其投报价可能低于其个别成本的，评标委员会应当对其质询，并要求该投标人作出书面说明和提供相关的证明材料；该投标人不能合理说明或提供证明材料的，评标委员会应按无效投标处理。</w:t>
      </w:r>
    </w:p>
    <w:p>
      <w:pPr>
        <w:autoSpaceDE w:val="0"/>
        <w:autoSpaceDN w:val="0"/>
        <w:adjustRightInd w:val="0"/>
        <w:spacing w:line="440" w:lineRule="exact"/>
        <w:ind w:firstLine="482" w:firstLineChars="200"/>
        <w:jc w:val="left"/>
        <w:rPr>
          <w:rFonts w:ascii="宋体" w:hAnsi="宋体"/>
          <w:b/>
          <w:kern w:val="0"/>
          <w:sz w:val="24"/>
        </w:rPr>
      </w:pPr>
      <w:r>
        <w:rPr>
          <w:rFonts w:hint="eastAsia" w:ascii="宋体" w:hAnsi="宋体"/>
          <w:b/>
          <w:kern w:val="0"/>
          <w:sz w:val="24"/>
        </w:rPr>
        <w:t>3.3  投标文件的澄清和补正</w:t>
      </w:r>
    </w:p>
    <w:p>
      <w:pPr>
        <w:autoSpaceDE w:val="0"/>
        <w:autoSpaceDN w:val="0"/>
        <w:adjustRightInd w:val="0"/>
        <w:spacing w:line="440" w:lineRule="exact"/>
        <w:ind w:firstLine="420" w:firstLineChars="200"/>
        <w:jc w:val="left"/>
        <w:rPr>
          <w:rFonts w:ascii="宋体" w:hAnsi="宋体"/>
          <w:kern w:val="0"/>
          <w:szCs w:val="21"/>
        </w:rPr>
      </w:pPr>
      <w:r>
        <w:rPr>
          <w:rFonts w:hint="eastAsia" w:ascii="宋体" w:hAnsi="宋体"/>
          <w:szCs w:val="21"/>
        </w:rPr>
        <w:t>3.3.1 在评标过程中，评标委员会可以书面形式要求投标人对所提交投标文件中不明确的内容进行书面澄清或说明，或者对细微偏差进行补正。</w:t>
      </w:r>
    </w:p>
    <w:p>
      <w:pPr>
        <w:autoSpaceDE w:val="0"/>
        <w:autoSpaceDN w:val="0"/>
        <w:adjustRightInd w:val="0"/>
        <w:spacing w:line="440" w:lineRule="exact"/>
        <w:ind w:firstLine="420" w:firstLineChars="200"/>
        <w:jc w:val="left"/>
        <w:rPr>
          <w:rFonts w:ascii="宋体" w:hAnsi="宋体"/>
          <w:szCs w:val="21"/>
        </w:rPr>
      </w:pPr>
      <w:r>
        <w:rPr>
          <w:rFonts w:hint="eastAsia" w:ascii="宋体" w:hAnsi="宋体"/>
          <w:szCs w:val="21"/>
        </w:rPr>
        <w:t>3.3.2 澄清、说明和补正不得改变投标文件的实质性内容（算术性错误修正的除外）。投标人的书面澄清、说明和补正属于投标文件的组成部分。</w:t>
      </w:r>
    </w:p>
    <w:p>
      <w:pPr>
        <w:autoSpaceDE w:val="0"/>
        <w:autoSpaceDN w:val="0"/>
        <w:adjustRightInd w:val="0"/>
        <w:spacing w:line="440" w:lineRule="exact"/>
        <w:ind w:left="-178" w:leftChars="-85" w:firstLine="482" w:firstLineChars="200"/>
        <w:jc w:val="left"/>
        <w:rPr>
          <w:rFonts w:ascii="宋体" w:hAnsi="宋体"/>
          <w:b/>
          <w:sz w:val="24"/>
        </w:rPr>
      </w:pPr>
      <w:r>
        <w:rPr>
          <w:rFonts w:hint="eastAsia" w:ascii="宋体" w:hAnsi="宋体"/>
          <w:b/>
          <w:sz w:val="24"/>
        </w:rPr>
        <w:t xml:space="preserve"> 3.4  评标结果</w:t>
      </w:r>
    </w:p>
    <w:p>
      <w:pPr>
        <w:autoSpaceDE w:val="0"/>
        <w:autoSpaceDN w:val="0"/>
        <w:adjustRightInd w:val="0"/>
        <w:spacing w:line="440" w:lineRule="exact"/>
        <w:ind w:left="-178" w:leftChars="-85" w:firstLine="420" w:firstLineChars="200"/>
        <w:jc w:val="left"/>
        <w:rPr>
          <w:rFonts w:ascii="宋体" w:hAnsi="宋体"/>
          <w:szCs w:val="21"/>
        </w:rPr>
      </w:pPr>
      <w:r>
        <w:rPr>
          <w:rFonts w:hint="eastAsia" w:ascii="宋体" w:hAnsi="宋体"/>
          <w:szCs w:val="21"/>
        </w:rPr>
        <w:t xml:space="preserve">  3.4.1 评标文员会按照得分由高到低的顺序推荐中标候选人。</w:t>
      </w:r>
    </w:p>
    <w:p>
      <w:pPr>
        <w:autoSpaceDE w:val="0"/>
        <w:autoSpaceDN w:val="0"/>
        <w:adjustRightInd w:val="0"/>
        <w:spacing w:line="440" w:lineRule="exact"/>
        <w:ind w:left="-178" w:leftChars="-85" w:firstLine="630" w:firstLineChars="300"/>
        <w:rPr>
          <w:rFonts w:ascii="宋体" w:hAnsi="宋体"/>
          <w:b/>
          <w:kern w:val="0"/>
          <w:szCs w:val="21"/>
        </w:rPr>
      </w:pPr>
      <w:r>
        <w:rPr>
          <w:rFonts w:hint="eastAsia" w:ascii="宋体" w:hAnsi="宋体"/>
          <w:szCs w:val="21"/>
        </w:rPr>
        <w:t>3.4.2 评标委员会完成评标后，应当向采购人提交书面评标报告。</w:t>
      </w:r>
    </w:p>
    <w:p>
      <w:pPr>
        <w:autoSpaceDE w:val="0"/>
        <w:autoSpaceDN w:val="0"/>
        <w:adjustRightInd w:val="0"/>
        <w:spacing w:line="440" w:lineRule="exact"/>
        <w:ind w:firstLine="482" w:firstLineChars="200"/>
        <w:rPr>
          <w:rFonts w:ascii="宋体" w:hAnsi="宋体"/>
          <w:b/>
          <w:kern w:val="0"/>
          <w:szCs w:val="21"/>
        </w:rPr>
      </w:pPr>
      <w:r>
        <w:rPr>
          <w:rFonts w:hint="eastAsia" w:ascii="宋体" w:hAnsi="宋体"/>
          <w:b/>
          <w:sz w:val="24"/>
        </w:rPr>
        <w:t>3.5  顺延中标人或重新招标</w:t>
      </w:r>
    </w:p>
    <w:p>
      <w:pPr>
        <w:rPr>
          <w:rFonts w:ascii="宋体" w:hAnsi="宋体"/>
          <w:szCs w:val="21"/>
        </w:rPr>
      </w:pPr>
      <w:r>
        <w:rPr>
          <w:rFonts w:ascii="宋体" w:hAnsi="宋体"/>
          <w:szCs w:val="21"/>
        </w:rPr>
        <w:t>中标</w:t>
      </w:r>
      <w:r>
        <w:rPr>
          <w:rFonts w:hint="eastAsia" w:ascii="宋体" w:hAnsi="宋体"/>
          <w:szCs w:val="21"/>
        </w:rPr>
        <w:t>人</w:t>
      </w:r>
      <w:r>
        <w:rPr>
          <w:rFonts w:ascii="宋体" w:hAnsi="宋体"/>
          <w:szCs w:val="21"/>
        </w:rPr>
        <w:t>因不可抗力不能履行政府采购合同的，采购人可以与排位在中标</w:t>
      </w:r>
      <w:r>
        <w:rPr>
          <w:rFonts w:hint="eastAsia" w:ascii="宋体" w:hAnsi="宋体"/>
          <w:szCs w:val="21"/>
        </w:rPr>
        <w:t>人</w:t>
      </w:r>
      <w:r>
        <w:rPr>
          <w:rFonts w:ascii="宋体" w:hAnsi="宋体"/>
          <w:szCs w:val="21"/>
        </w:rPr>
        <w:t>之后第一位的中标候选</w:t>
      </w:r>
      <w:r>
        <w:rPr>
          <w:rFonts w:hint="eastAsia" w:ascii="宋体" w:hAnsi="宋体"/>
          <w:szCs w:val="21"/>
        </w:rPr>
        <w:t>人</w:t>
      </w:r>
      <w:r>
        <w:rPr>
          <w:rFonts w:ascii="宋体" w:hAnsi="宋体"/>
          <w:szCs w:val="21"/>
        </w:rPr>
        <w:t>签订政府采购合同，</w:t>
      </w:r>
      <w:r>
        <w:rPr>
          <w:rFonts w:hint="eastAsia" w:ascii="宋体" w:hAnsi="宋体"/>
          <w:szCs w:val="21"/>
        </w:rPr>
        <w:t>或者重新招标</w:t>
      </w:r>
      <w:r>
        <w:rPr>
          <w:rFonts w:ascii="宋体" w:hAnsi="宋体"/>
          <w:szCs w:val="21"/>
        </w:rPr>
        <w:t>。</w:t>
      </w:r>
    </w:p>
    <w:p>
      <w:pPr>
        <w:pStyle w:val="2"/>
        <w:numPr>
          <w:ilvl w:val="0"/>
          <w:numId w:val="5"/>
        </w:numPr>
        <w:jc w:val="center"/>
      </w:pPr>
      <w:bookmarkStart w:id="450" w:name="_Toc179632627"/>
      <w:bookmarkStart w:id="451" w:name="_Toc152042387"/>
      <w:bookmarkStart w:id="452" w:name="_Toc246996252"/>
      <w:bookmarkStart w:id="453" w:name="_Toc144974577"/>
      <w:bookmarkStart w:id="454" w:name="_Toc152045609"/>
      <w:bookmarkStart w:id="455" w:name="_Toc246996995"/>
      <w:bookmarkStart w:id="456" w:name="_Toc247085767"/>
      <w:bookmarkStart w:id="457" w:name="_Toc8600"/>
      <w:r>
        <w:rPr>
          <w:rFonts w:hint="eastAsia"/>
        </w:rPr>
        <w:t>合同条款及格式</w:t>
      </w:r>
      <w:bookmarkEnd w:id="450"/>
      <w:bookmarkEnd w:id="451"/>
      <w:bookmarkEnd w:id="452"/>
      <w:bookmarkEnd w:id="453"/>
      <w:bookmarkEnd w:id="454"/>
      <w:bookmarkEnd w:id="455"/>
      <w:bookmarkEnd w:id="456"/>
      <w:bookmarkEnd w:id="457"/>
    </w:p>
    <w:p>
      <w:pPr>
        <w:widowControl/>
        <w:spacing w:line="520" w:lineRule="exact"/>
        <w:jc w:val="center"/>
        <w:outlineLvl w:val="0"/>
        <w:rPr>
          <w:rFonts w:ascii="宋体" w:hAnsi="宋体" w:cs="宋体"/>
          <w:b/>
          <w:kern w:val="0"/>
          <w:sz w:val="24"/>
        </w:rPr>
      </w:pPr>
      <w:bookmarkStart w:id="458" w:name="_Toc427828922"/>
      <w:bookmarkStart w:id="459" w:name="_Toc3739"/>
      <w:bookmarkStart w:id="460" w:name="_Toc246997083"/>
      <w:bookmarkStart w:id="461" w:name="_Toc144974834"/>
      <w:bookmarkStart w:id="462" w:name="_Toc152042554"/>
      <w:bookmarkStart w:id="463" w:name="_Toc247085855"/>
      <w:bookmarkStart w:id="464" w:name="_Toc152045772"/>
      <w:bookmarkStart w:id="465" w:name="_Toc246996340"/>
      <w:bookmarkStart w:id="466" w:name="_Toc179632789"/>
      <w:bookmarkStart w:id="467" w:name="_Toc152042575"/>
      <w:bookmarkStart w:id="468" w:name="_Toc152045786"/>
      <w:bookmarkStart w:id="469" w:name="_Toc246996354"/>
      <w:bookmarkStart w:id="470" w:name="_Toc246997097"/>
      <w:bookmarkStart w:id="471" w:name="_Toc179632806"/>
      <w:bookmarkStart w:id="472" w:name="_Toc144974855"/>
      <w:bookmarkStart w:id="473" w:name="_Toc247085872"/>
      <w:r>
        <w:rPr>
          <w:rFonts w:hint="eastAsia" w:ascii="宋体" w:hAnsi="宋体" w:cs="宋体"/>
          <w:b/>
          <w:kern w:val="0"/>
          <w:sz w:val="24"/>
        </w:rPr>
        <w:t>第一部分 合同协议书</w:t>
      </w:r>
      <w:bookmarkEnd w:id="458"/>
      <w:bookmarkEnd w:id="459"/>
    </w:p>
    <w:p>
      <w:pPr>
        <w:widowControl/>
        <w:spacing w:line="360" w:lineRule="auto"/>
        <w:ind w:firstLine="358" w:firstLineChars="170"/>
        <w:jc w:val="left"/>
        <w:textAlignment w:val="top"/>
        <w:rPr>
          <w:rFonts w:ascii="宋体" w:hAnsi="宋体" w:cs="MingLiU_HKSCS"/>
          <w:b/>
          <w:bCs/>
          <w:color w:val="000000"/>
          <w:kern w:val="0"/>
          <w:szCs w:val="21"/>
          <w:u w:val="single"/>
        </w:rPr>
      </w:pPr>
      <w:r>
        <w:rPr>
          <w:rFonts w:hint="eastAsia" w:ascii="宋体" w:hAnsi="宋体" w:cs="Arial"/>
          <w:b/>
          <w:bCs/>
          <w:color w:val="000000"/>
          <w:kern w:val="0"/>
          <w:szCs w:val="21"/>
        </w:rPr>
        <w:t>发包人（全称）：</w:t>
      </w:r>
      <w:r>
        <w:rPr>
          <w:rFonts w:hint="eastAsia" w:ascii="宋体" w:hAnsi="宋体" w:cs="宋体"/>
          <w:b/>
          <w:bCs/>
          <w:color w:val="000000"/>
          <w:kern w:val="0"/>
          <w:szCs w:val="21"/>
          <w:u w:val="single"/>
        </w:rPr>
        <w:t></w:t>
      </w:r>
      <w:r>
        <w:rPr>
          <w:rFonts w:hint="eastAsia" w:ascii="宋体" w:hAnsi="宋体" w:cs="Arial"/>
          <w:b/>
          <w:bCs/>
          <w:color w:val="000000"/>
          <w:kern w:val="0"/>
          <w:szCs w:val="21"/>
          <w:u w:val="single"/>
        </w:rPr>
        <w:t>               </w:t>
      </w:r>
      <w:r>
        <w:rPr>
          <w:rFonts w:hint="eastAsia" w:ascii="宋体" w:hAnsi="宋体" w:cs="宋体"/>
          <w:b/>
          <w:bCs/>
          <w:color w:val="000000"/>
          <w:kern w:val="0"/>
          <w:szCs w:val="21"/>
          <w:u w:val="single"/>
        </w:rPr>
        <w:t></w:t>
      </w:r>
      <w:r>
        <w:rPr>
          <w:rFonts w:hint="eastAsia" w:ascii="宋体" w:hAnsi="宋体" w:cs="Arial"/>
          <w:b/>
          <w:bCs/>
          <w:color w:val="000000"/>
          <w:kern w:val="0"/>
          <w:szCs w:val="21"/>
          <w:u w:val="single"/>
        </w:rPr>
        <w:t xml:space="preserve">      </w:t>
      </w:r>
      <w:r>
        <w:rPr>
          <w:rFonts w:hint="eastAsia" w:ascii="宋体" w:hAnsi="宋体" w:cs="宋体"/>
          <w:b/>
          <w:bCs/>
          <w:color w:val="000000"/>
          <w:kern w:val="0"/>
          <w:szCs w:val="21"/>
          <w:u w:val="single"/>
        </w:rPr>
        <w:t></w:t>
      </w:r>
    </w:p>
    <w:p>
      <w:pPr>
        <w:widowControl/>
        <w:spacing w:line="360" w:lineRule="auto"/>
        <w:ind w:firstLine="358" w:firstLineChars="170"/>
        <w:jc w:val="left"/>
        <w:textAlignment w:val="top"/>
        <w:rPr>
          <w:rFonts w:ascii="宋体" w:hAnsi="宋体" w:cs="Arial"/>
          <w:color w:val="000000"/>
          <w:kern w:val="0"/>
          <w:szCs w:val="21"/>
        </w:rPr>
      </w:pPr>
      <w:r>
        <w:rPr>
          <w:rFonts w:hint="eastAsia" w:ascii="宋体" w:hAnsi="宋体" w:cs="Arial"/>
          <w:b/>
          <w:bCs/>
          <w:color w:val="000000"/>
          <w:kern w:val="0"/>
          <w:szCs w:val="21"/>
        </w:rPr>
        <w:t>承包人（全称）：</w:t>
      </w:r>
      <w:r>
        <w:rPr>
          <w:rFonts w:hint="eastAsia" w:ascii="宋体" w:hAnsi="宋体" w:cs="宋体"/>
          <w:b/>
          <w:bCs/>
          <w:color w:val="000000"/>
          <w:kern w:val="0"/>
          <w:szCs w:val="21"/>
          <w:u w:val="single"/>
        </w:rPr>
        <w:t></w:t>
      </w:r>
      <w:r>
        <w:rPr>
          <w:rFonts w:hint="eastAsia" w:ascii="宋体" w:hAnsi="宋体" w:cs="Arial"/>
          <w:b/>
          <w:bCs/>
          <w:color w:val="000000"/>
          <w:kern w:val="0"/>
          <w:szCs w:val="21"/>
          <w:u w:val="single"/>
        </w:rPr>
        <w:t>              </w:t>
      </w:r>
      <w:r>
        <w:rPr>
          <w:rFonts w:hint="eastAsia" w:ascii="宋体" w:hAnsi="宋体" w:cs="宋体"/>
          <w:b/>
          <w:bCs/>
          <w:color w:val="000000"/>
          <w:kern w:val="0"/>
          <w:szCs w:val="21"/>
          <w:u w:val="single"/>
        </w:rPr>
        <w:t></w:t>
      </w:r>
      <w:r>
        <w:rPr>
          <w:rFonts w:hint="eastAsia" w:ascii="宋体" w:hAnsi="宋体" w:cs="Arial"/>
          <w:b/>
          <w:bCs/>
          <w:color w:val="000000"/>
          <w:kern w:val="0"/>
          <w:szCs w:val="21"/>
          <w:u w:val="single"/>
        </w:rPr>
        <w:t>      </w:t>
      </w:r>
      <w:r>
        <w:rPr>
          <w:rFonts w:hint="eastAsia" w:ascii="宋体" w:hAnsi="宋体" w:cs="宋体"/>
          <w:b/>
          <w:bCs/>
          <w:color w:val="000000"/>
          <w:kern w:val="0"/>
          <w:szCs w:val="21"/>
          <w:u w:val="single"/>
        </w:rPr>
        <w:t></w:t>
      </w:r>
      <w:r>
        <w:rPr>
          <w:rFonts w:hint="eastAsia" w:ascii="宋体" w:hAnsi="宋体" w:cs="Arial"/>
          <w:b/>
          <w:bCs/>
          <w:color w:val="000000"/>
          <w:kern w:val="0"/>
          <w:szCs w:val="21"/>
          <w:u w:val="single"/>
        </w:rPr>
        <w:t xml:space="preserve">  </w:t>
      </w:r>
      <w:r>
        <w:rPr>
          <w:rFonts w:hint="eastAsia" w:ascii="宋体" w:hAnsi="宋体" w:cs="宋体"/>
          <w:b/>
          <w:bCs/>
          <w:color w:val="000000"/>
          <w:kern w:val="0"/>
          <w:szCs w:val="21"/>
          <w:u w:val="single"/>
        </w:rPr>
        <w:t></w:t>
      </w:r>
    </w:p>
    <w:p>
      <w:pPr>
        <w:widowControl/>
        <w:spacing w:line="400" w:lineRule="exact"/>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根据《中华人民共和国合同法》、《中华人民共和国建筑法》及有关法律规定，遵循平等、自愿、公平和诚实信用的原则，双方就</w:t>
      </w:r>
      <w:r>
        <w:rPr>
          <w:rFonts w:hint="eastAsia" w:ascii="宋体" w:hAnsi="宋体" w:cs="Arial"/>
          <w:color w:val="000000"/>
          <w:kern w:val="0"/>
          <w:szCs w:val="21"/>
          <w:u w:val="single"/>
        </w:rPr>
        <w:t xml:space="preserve">                       </w:t>
      </w:r>
      <w:r>
        <w:rPr>
          <w:rFonts w:hint="eastAsia" w:ascii="宋体" w:hAnsi="宋体" w:cs="Arial"/>
          <w:color w:val="000000"/>
          <w:kern w:val="0"/>
          <w:szCs w:val="21"/>
        </w:rPr>
        <w:t>工程施工及有关事项协商一致，共同达成如下协议：</w:t>
      </w:r>
    </w:p>
    <w:p>
      <w:pPr>
        <w:widowControl/>
        <w:spacing w:line="400" w:lineRule="exact"/>
        <w:ind w:firstLine="358" w:firstLineChars="170"/>
        <w:jc w:val="left"/>
        <w:textAlignment w:val="top"/>
        <w:outlineLvl w:val="3"/>
        <w:rPr>
          <w:rFonts w:ascii="宋体" w:hAnsi="宋体" w:cs="Arial"/>
          <w:b/>
          <w:bCs/>
          <w:color w:val="000000"/>
          <w:kern w:val="0"/>
          <w:szCs w:val="21"/>
        </w:rPr>
      </w:pPr>
      <w:bookmarkStart w:id="474" w:name="_Toc351203481"/>
      <w:r>
        <w:rPr>
          <w:rFonts w:hint="eastAsia" w:ascii="宋体" w:hAnsi="宋体" w:cs="Arial"/>
          <w:b/>
          <w:bCs/>
          <w:color w:val="000000"/>
          <w:kern w:val="0"/>
          <w:szCs w:val="21"/>
        </w:rPr>
        <w:t>一、工程概况</w:t>
      </w:r>
      <w:bookmarkEnd w:id="474"/>
    </w:p>
    <w:p>
      <w:pPr>
        <w:widowControl/>
        <w:spacing w:line="400" w:lineRule="exact"/>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1.工程名称：</w:t>
      </w:r>
      <w:r>
        <w:rPr>
          <w:rFonts w:hint="eastAsia" w:ascii="宋体" w:hAnsi="宋体" w:cs="宋体"/>
          <w:color w:val="000000"/>
          <w:kern w:val="0"/>
          <w:szCs w:val="21"/>
          <w:u w:val="single"/>
        </w:rPr>
        <w:t></w:t>
      </w:r>
      <w:r>
        <w:rPr>
          <w:rFonts w:hint="eastAsia" w:ascii="宋体" w:hAnsi="宋体" w:cs="Arial"/>
          <w:color w:val="000000"/>
          <w:kern w:val="0"/>
          <w:szCs w:val="21"/>
          <w:u w:val="single"/>
        </w:rPr>
        <w:t xml:space="preserve">      </w:t>
      </w:r>
      <w:r>
        <w:rPr>
          <w:rFonts w:hint="eastAsia" w:ascii="宋体" w:hAnsi="宋体" w:cs="宋体"/>
          <w:color w:val="000000"/>
          <w:kern w:val="0"/>
          <w:szCs w:val="21"/>
          <w:u w:val="single"/>
        </w:rPr>
        <w:t></w:t>
      </w:r>
      <w:r>
        <w:rPr>
          <w:rFonts w:hint="eastAsia" w:ascii="宋体" w:hAnsi="宋体" w:cs="Arial"/>
          <w:color w:val="000000"/>
          <w:kern w:val="0"/>
          <w:szCs w:val="21"/>
        </w:rPr>
        <w:t>。</w:t>
      </w:r>
    </w:p>
    <w:p>
      <w:pPr>
        <w:widowControl/>
        <w:spacing w:line="400" w:lineRule="exact"/>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2.工程地点：</w:t>
      </w:r>
      <w:r>
        <w:rPr>
          <w:rFonts w:hint="eastAsia" w:ascii="宋体" w:hAnsi="宋体" w:cs="宋体"/>
          <w:color w:val="000000"/>
          <w:kern w:val="0"/>
          <w:szCs w:val="21"/>
          <w:u w:val="single"/>
        </w:rPr>
        <w:t></w:t>
      </w:r>
      <w:r>
        <w:rPr>
          <w:rFonts w:hint="eastAsia" w:ascii="宋体" w:hAnsi="宋体" w:cs="Arial"/>
          <w:color w:val="000000"/>
          <w:kern w:val="0"/>
          <w:szCs w:val="21"/>
          <w:u w:val="single"/>
        </w:rPr>
        <w:t xml:space="preserve">      </w:t>
      </w:r>
      <w:r>
        <w:rPr>
          <w:rFonts w:hint="eastAsia" w:ascii="宋体" w:hAnsi="宋体" w:cs="宋体"/>
          <w:color w:val="000000"/>
          <w:kern w:val="0"/>
          <w:szCs w:val="21"/>
          <w:u w:val="single"/>
        </w:rPr>
        <w:t></w:t>
      </w:r>
      <w:r>
        <w:rPr>
          <w:rFonts w:hint="eastAsia" w:ascii="宋体" w:hAnsi="宋体" w:cs="Arial"/>
          <w:color w:val="000000"/>
          <w:kern w:val="0"/>
          <w:szCs w:val="21"/>
        </w:rPr>
        <w:t>。</w:t>
      </w:r>
    </w:p>
    <w:p>
      <w:pPr>
        <w:widowControl/>
        <w:spacing w:line="400" w:lineRule="exact"/>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3.工程立项批准文号：</w:t>
      </w:r>
      <w:r>
        <w:rPr>
          <w:rFonts w:hint="eastAsia" w:ascii="宋体" w:hAnsi="宋体" w:cs="宋体"/>
          <w:color w:val="000000"/>
          <w:kern w:val="0"/>
          <w:szCs w:val="21"/>
          <w:u w:val="single"/>
        </w:rPr>
        <w:t></w:t>
      </w:r>
      <w:r>
        <w:rPr>
          <w:rFonts w:hint="eastAsia" w:ascii="宋体" w:hAnsi="宋体" w:cs="Arial"/>
          <w:color w:val="000000"/>
          <w:kern w:val="0"/>
          <w:szCs w:val="21"/>
          <w:u w:val="single"/>
        </w:rPr>
        <w:t xml:space="preserve">      </w:t>
      </w:r>
      <w:r>
        <w:rPr>
          <w:rFonts w:hint="eastAsia" w:ascii="宋体" w:hAnsi="宋体" w:cs="宋体"/>
          <w:color w:val="000000"/>
          <w:kern w:val="0"/>
          <w:szCs w:val="21"/>
          <w:u w:val="single"/>
        </w:rPr>
        <w:t></w:t>
      </w:r>
      <w:r>
        <w:rPr>
          <w:rFonts w:hint="eastAsia" w:ascii="宋体" w:hAnsi="宋体" w:cs="Arial"/>
          <w:color w:val="000000"/>
          <w:kern w:val="0"/>
          <w:szCs w:val="21"/>
        </w:rPr>
        <w:t>。</w:t>
      </w:r>
    </w:p>
    <w:p>
      <w:pPr>
        <w:widowControl/>
        <w:spacing w:line="400" w:lineRule="exact"/>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4.资金来源：</w:t>
      </w:r>
      <w:r>
        <w:rPr>
          <w:rFonts w:hint="eastAsia" w:ascii="宋体" w:hAnsi="宋体" w:cs="宋体"/>
          <w:color w:val="000000"/>
          <w:kern w:val="0"/>
          <w:szCs w:val="21"/>
          <w:u w:val="single"/>
        </w:rPr>
        <w:t></w:t>
      </w:r>
      <w:r>
        <w:rPr>
          <w:rFonts w:hint="eastAsia" w:ascii="宋体" w:hAnsi="宋体" w:cs="Arial"/>
          <w:color w:val="000000"/>
          <w:kern w:val="0"/>
          <w:szCs w:val="21"/>
          <w:u w:val="single"/>
        </w:rPr>
        <w:t xml:space="preserve">      </w:t>
      </w:r>
      <w:r>
        <w:rPr>
          <w:rFonts w:hint="eastAsia" w:ascii="宋体" w:hAnsi="宋体" w:cs="宋体"/>
          <w:color w:val="000000"/>
          <w:kern w:val="0"/>
          <w:szCs w:val="21"/>
          <w:u w:val="single"/>
        </w:rPr>
        <w:t></w:t>
      </w:r>
      <w:r>
        <w:rPr>
          <w:rFonts w:hint="eastAsia" w:ascii="宋体" w:hAnsi="宋体" w:cs="Arial"/>
          <w:color w:val="000000"/>
          <w:kern w:val="0"/>
          <w:szCs w:val="21"/>
        </w:rPr>
        <w:t>。</w:t>
      </w:r>
    </w:p>
    <w:p>
      <w:pPr>
        <w:widowControl/>
        <w:spacing w:line="400" w:lineRule="exact"/>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5.工程内容：</w:t>
      </w:r>
      <w:r>
        <w:rPr>
          <w:rFonts w:hint="eastAsia" w:ascii="宋体" w:hAnsi="宋体" w:cs="宋体"/>
          <w:color w:val="000000"/>
          <w:kern w:val="0"/>
          <w:szCs w:val="21"/>
          <w:u w:val="single"/>
        </w:rPr>
        <w:t></w:t>
      </w:r>
      <w:r>
        <w:rPr>
          <w:rFonts w:hint="eastAsia" w:ascii="宋体" w:hAnsi="宋体" w:cs="Arial"/>
          <w:color w:val="000000"/>
          <w:kern w:val="0"/>
          <w:szCs w:val="21"/>
          <w:u w:val="single"/>
        </w:rPr>
        <w:t xml:space="preserve">      </w:t>
      </w:r>
      <w:r>
        <w:rPr>
          <w:rFonts w:hint="eastAsia" w:ascii="宋体" w:hAnsi="宋体" w:cs="宋体"/>
          <w:color w:val="000000"/>
          <w:kern w:val="0"/>
          <w:szCs w:val="21"/>
          <w:u w:val="single"/>
        </w:rPr>
        <w:t></w:t>
      </w:r>
      <w:r>
        <w:rPr>
          <w:rFonts w:hint="eastAsia" w:ascii="宋体" w:hAnsi="宋体" w:cs="Arial"/>
          <w:color w:val="000000"/>
          <w:kern w:val="0"/>
          <w:szCs w:val="21"/>
        </w:rPr>
        <w:t>。</w:t>
      </w:r>
    </w:p>
    <w:p>
      <w:pPr>
        <w:widowControl/>
        <w:spacing w:line="400" w:lineRule="exact"/>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群体工程应附《承包人承揽工程项目一览表》（附件1）。</w:t>
      </w:r>
    </w:p>
    <w:p>
      <w:pPr>
        <w:widowControl/>
        <w:spacing w:line="400" w:lineRule="exact"/>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6.工程承包范围：</w:t>
      </w:r>
    </w:p>
    <w:p>
      <w:pPr>
        <w:widowControl/>
        <w:spacing w:line="400" w:lineRule="exact"/>
        <w:ind w:firstLine="357" w:firstLineChars="170"/>
        <w:jc w:val="left"/>
        <w:textAlignment w:val="top"/>
        <w:rPr>
          <w:rFonts w:ascii="宋体" w:hAnsi="宋体" w:cs="Arial"/>
          <w:color w:val="000000"/>
          <w:kern w:val="0"/>
          <w:szCs w:val="21"/>
        </w:rPr>
      </w:pPr>
      <w:r>
        <w:rPr>
          <w:rFonts w:hint="eastAsia" w:ascii="宋体" w:hAnsi="宋体" w:cs="宋体"/>
          <w:color w:val="000000"/>
          <w:kern w:val="0"/>
          <w:szCs w:val="21"/>
          <w:u w:val="single"/>
        </w:rPr>
        <w:t></w:t>
      </w:r>
      <w:r>
        <w:rPr>
          <w:rFonts w:hint="eastAsia" w:ascii="宋体" w:hAnsi="宋体" w:cs="Arial"/>
          <w:color w:val="000000"/>
          <w:kern w:val="0"/>
          <w:szCs w:val="21"/>
          <w:u w:val="single"/>
        </w:rPr>
        <w:t xml:space="preserve">   </w:t>
      </w:r>
      <w:r>
        <w:rPr>
          <w:rFonts w:hint="eastAsia" w:ascii="宋体" w:hAnsi="宋体" w:cs="宋体"/>
          <w:color w:val="000000"/>
          <w:kern w:val="0"/>
          <w:szCs w:val="21"/>
          <w:u w:val="single"/>
        </w:rPr>
        <w:t></w:t>
      </w:r>
    </w:p>
    <w:p>
      <w:pPr>
        <w:widowControl/>
        <w:spacing w:line="400" w:lineRule="exact"/>
        <w:ind w:firstLine="357" w:firstLineChars="170"/>
        <w:jc w:val="left"/>
        <w:textAlignment w:val="top"/>
        <w:rPr>
          <w:rFonts w:ascii="宋体" w:hAnsi="宋体" w:cs="Arial"/>
          <w:color w:val="000000"/>
          <w:kern w:val="0"/>
          <w:szCs w:val="21"/>
        </w:rPr>
      </w:pPr>
      <w:r>
        <w:rPr>
          <w:rFonts w:hint="eastAsia" w:ascii="宋体" w:hAnsi="宋体" w:cs="宋体"/>
          <w:color w:val="000000"/>
          <w:kern w:val="0"/>
          <w:szCs w:val="21"/>
          <w:u w:val="single"/>
        </w:rPr>
        <w:t></w:t>
      </w:r>
      <w:r>
        <w:rPr>
          <w:rFonts w:hint="eastAsia" w:ascii="宋体" w:hAnsi="宋体" w:cs="Arial"/>
          <w:color w:val="000000"/>
          <w:kern w:val="0"/>
          <w:szCs w:val="21"/>
        </w:rPr>
        <w:t>。</w:t>
      </w:r>
    </w:p>
    <w:p>
      <w:pPr>
        <w:widowControl/>
        <w:spacing w:line="400" w:lineRule="exact"/>
        <w:ind w:firstLine="358" w:firstLineChars="170"/>
        <w:jc w:val="left"/>
        <w:textAlignment w:val="top"/>
        <w:outlineLvl w:val="3"/>
        <w:rPr>
          <w:rFonts w:ascii="宋体" w:hAnsi="宋体" w:cs="Arial"/>
          <w:b/>
          <w:bCs/>
          <w:color w:val="000000"/>
          <w:kern w:val="0"/>
          <w:szCs w:val="21"/>
        </w:rPr>
      </w:pPr>
      <w:bookmarkStart w:id="475" w:name="_Toc351203482"/>
      <w:r>
        <w:rPr>
          <w:rFonts w:hint="eastAsia" w:ascii="宋体" w:hAnsi="宋体" w:cs="Arial"/>
          <w:b/>
          <w:bCs/>
          <w:color w:val="000000"/>
          <w:kern w:val="0"/>
          <w:szCs w:val="21"/>
        </w:rPr>
        <w:t>二、合同工期</w:t>
      </w:r>
      <w:bookmarkEnd w:id="475"/>
    </w:p>
    <w:p>
      <w:pPr>
        <w:widowControl/>
        <w:spacing w:line="400" w:lineRule="exact"/>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计划开工日期：</w:t>
      </w:r>
      <w:r>
        <w:rPr>
          <w:rFonts w:hint="eastAsia" w:ascii="宋体" w:hAnsi="宋体" w:cs="宋体"/>
          <w:color w:val="000000"/>
          <w:kern w:val="0"/>
          <w:szCs w:val="21"/>
          <w:u w:val="single"/>
        </w:rPr>
        <w:t></w:t>
      </w:r>
      <w:r>
        <w:rPr>
          <w:rFonts w:hint="eastAsia" w:ascii="宋体" w:hAnsi="宋体" w:cs="Arial"/>
          <w:color w:val="000000"/>
          <w:kern w:val="0"/>
          <w:szCs w:val="21"/>
        </w:rPr>
        <w:t>年</w:t>
      </w:r>
      <w:r>
        <w:rPr>
          <w:rFonts w:hint="eastAsia" w:ascii="宋体" w:hAnsi="宋体" w:cs="宋体"/>
          <w:color w:val="000000"/>
          <w:kern w:val="0"/>
          <w:szCs w:val="21"/>
          <w:u w:val="single"/>
        </w:rPr>
        <w:t></w:t>
      </w:r>
      <w:r>
        <w:rPr>
          <w:rFonts w:hint="eastAsia" w:ascii="宋体" w:hAnsi="宋体" w:cs="Arial"/>
          <w:color w:val="000000"/>
          <w:kern w:val="0"/>
          <w:szCs w:val="21"/>
        </w:rPr>
        <w:t>月</w:t>
      </w:r>
      <w:r>
        <w:rPr>
          <w:rFonts w:hint="eastAsia" w:ascii="宋体" w:hAnsi="宋体" w:cs="宋体"/>
          <w:color w:val="000000"/>
          <w:kern w:val="0"/>
          <w:szCs w:val="21"/>
          <w:u w:val="single"/>
        </w:rPr>
        <w:t></w:t>
      </w:r>
      <w:r>
        <w:rPr>
          <w:rFonts w:hint="eastAsia" w:ascii="宋体" w:hAnsi="宋体" w:cs="Arial"/>
          <w:color w:val="000000"/>
          <w:kern w:val="0"/>
          <w:szCs w:val="21"/>
        </w:rPr>
        <w:t>日。</w:t>
      </w:r>
    </w:p>
    <w:p>
      <w:pPr>
        <w:widowControl/>
        <w:spacing w:line="400" w:lineRule="exact"/>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计划竣工日期：</w:t>
      </w:r>
      <w:r>
        <w:rPr>
          <w:rFonts w:hint="eastAsia" w:ascii="宋体" w:hAnsi="宋体" w:cs="宋体"/>
          <w:color w:val="000000"/>
          <w:kern w:val="0"/>
          <w:szCs w:val="21"/>
          <w:u w:val="single"/>
        </w:rPr>
        <w:t></w:t>
      </w:r>
      <w:r>
        <w:rPr>
          <w:rFonts w:hint="eastAsia" w:ascii="宋体" w:hAnsi="宋体" w:cs="Arial"/>
          <w:color w:val="000000"/>
          <w:kern w:val="0"/>
          <w:szCs w:val="21"/>
        </w:rPr>
        <w:t>年</w:t>
      </w:r>
      <w:r>
        <w:rPr>
          <w:rFonts w:hint="eastAsia" w:ascii="宋体" w:hAnsi="宋体" w:cs="宋体"/>
          <w:color w:val="000000"/>
          <w:kern w:val="0"/>
          <w:szCs w:val="21"/>
          <w:u w:val="single"/>
        </w:rPr>
        <w:t></w:t>
      </w:r>
      <w:r>
        <w:rPr>
          <w:rFonts w:hint="eastAsia" w:ascii="宋体" w:hAnsi="宋体" w:cs="Arial"/>
          <w:color w:val="000000"/>
          <w:kern w:val="0"/>
          <w:szCs w:val="21"/>
        </w:rPr>
        <w:t>月</w:t>
      </w:r>
      <w:r>
        <w:rPr>
          <w:rFonts w:hint="eastAsia" w:ascii="宋体" w:hAnsi="宋体" w:cs="宋体"/>
          <w:color w:val="000000"/>
          <w:kern w:val="0"/>
          <w:szCs w:val="21"/>
          <w:u w:val="single"/>
        </w:rPr>
        <w:t></w:t>
      </w:r>
      <w:r>
        <w:rPr>
          <w:rFonts w:hint="eastAsia" w:ascii="宋体" w:hAnsi="宋体" w:cs="Arial"/>
          <w:color w:val="000000"/>
          <w:kern w:val="0"/>
          <w:szCs w:val="21"/>
        </w:rPr>
        <w:t>日。</w:t>
      </w:r>
    </w:p>
    <w:p>
      <w:pPr>
        <w:widowControl/>
        <w:spacing w:line="400" w:lineRule="exact"/>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工期总日历天数：</w:t>
      </w:r>
      <w:r>
        <w:rPr>
          <w:rFonts w:hint="eastAsia" w:ascii="宋体" w:hAnsi="宋体" w:cs="宋体"/>
          <w:color w:val="000000"/>
          <w:kern w:val="0"/>
          <w:szCs w:val="21"/>
          <w:u w:val="single"/>
        </w:rPr>
        <w:t></w:t>
      </w:r>
      <w:r>
        <w:rPr>
          <w:rFonts w:hint="eastAsia" w:ascii="宋体" w:hAnsi="宋体" w:cs="Arial"/>
          <w:color w:val="000000"/>
          <w:kern w:val="0"/>
          <w:szCs w:val="21"/>
        </w:rPr>
        <w:t>天。工期总日历天数与根据前述计划开竣工日期计算的工期天数不一致的，以工期总日历天数为准。</w:t>
      </w:r>
    </w:p>
    <w:p>
      <w:pPr>
        <w:widowControl/>
        <w:spacing w:line="400" w:lineRule="exact"/>
        <w:ind w:firstLine="358" w:firstLineChars="170"/>
        <w:jc w:val="left"/>
        <w:textAlignment w:val="top"/>
        <w:outlineLvl w:val="3"/>
        <w:rPr>
          <w:rFonts w:ascii="宋体" w:hAnsi="宋体" w:cs="Arial"/>
          <w:b/>
          <w:bCs/>
          <w:color w:val="000000"/>
          <w:kern w:val="0"/>
          <w:szCs w:val="21"/>
        </w:rPr>
      </w:pPr>
      <w:bookmarkStart w:id="476" w:name="_Toc351203483"/>
      <w:r>
        <w:rPr>
          <w:rFonts w:hint="eastAsia" w:ascii="宋体" w:hAnsi="宋体" w:cs="Arial"/>
          <w:b/>
          <w:bCs/>
          <w:color w:val="000000"/>
          <w:kern w:val="0"/>
          <w:szCs w:val="21"/>
        </w:rPr>
        <w:t>三、质量标准</w:t>
      </w:r>
      <w:bookmarkEnd w:id="476"/>
    </w:p>
    <w:p>
      <w:pPr>
        <w:widowControl/>
        <w:spacing w:line="400" w:lineRule="exact"/>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工程质量符合</w:t>
      </w:r>
      <w:r>
        <w:rPr>
          <w:rFonts w:hint="eastAsia" w:ascii="宋体" w:hAnsi="宋体" w:cs="宋体"/>
          <w:color w:val="000000"/>
          <w:kern w:val="0"/>
          <w:szCs w:val="21"/>
          <w:u w:val="single"/>
        </w:rPr>
        <w:t></w:t>
      </w:r>
      <w:r>
        <w:rPr>
          <w:rFonts w:hint="eastAsia" w:ascii="宋体" w:hAnsi="宋体" w:cs="Arial"/>
          <w:color w:val="000000"/>
          <w:kern w:val="0"/>
          <w:szCs w:val="21"/>
        </w:rPr>
        <w:t>标准。</w:t>
      </w:r>
    </w:p>
    <w:p>
      <w:pPr>
        <w:widowControl/>
        <w:spacing w:line="400" w:lineRule="exact"/>
        <w:ind w:firstLine="358" w:firstLineChars="170"/>
        <w:jc w:val="left"/>
        <w:textAlignment w:val="top"/>
        <w:outlineLvl w:val="3"/>
        <w:rPr>
          <w:rFonts w:ascii="宋体" w:hAnsi="宋体" w:cs="Arial"/>
          <w:b/>
          <w:bCs/>
          <w:color w:val="000000"/>
          <w:kern w:val="0"/>
          <w:szCs w:val="21"/>
        </w:rPr>
      </w:pPr>
      <w:r>
        <w:rPr>
          <w:rFonts w:hint="eastAsia" w:ascii="宋体" w:hAnsi="宋体" w:cs="Arial"/>
          <w:b/>
          <w:bCs/>
          <w:color w:val="000000"/>
          <w:kern w:val="0"/>
          <w:szCs w:val="21"/>
        </w:rPr>
        <w:t> </w:t>
      </w:r>
      <w:bookmarkStart w:id="477" w:name="_Toc351203484"/>
      <w:r>
        <w:rPr>
          <w:rFonts w:hint="eastAsia" w:ascii="宋体" w:hAnsi="宋体" w:cs="Arial"/>
          <w:b/>
          <w:bCs/>
          <w:color w:val="000000"/>
          <w:kern w:val="0"/>
          <w:szCs w:val="21"/>
        </w:rPr>
        <w:t>四、签约合同价与合同价格形式</w:t>
      </w:r>
      <w:bookmarkEnd w:id="477"/>
      <w:r>
        <w:rPr>
          <w:rFonts w:hint="eastAsia" w:ascii="宋体" w:hAnsi="宋体" w:cs="Arial"/>
          <w:b/>
          <w:bCs/>
          <w:color w:val="000000"/>
          <w:kern w:val="0"/>
          <w:szCs w:val="21"/>
        </w:rPr>
        <w:t xml:space="preserve">     </w:t>
      </w:r>
    </w:p>
    <w:p>
      <w:pPr>
        <w:widowControl/>
        <w:spacing w:line="400" w:lineRule="exact"/>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1.签约合同价为：</w:t>
      </w:r>
    </w:p>
    <w:p>
      <w:pPr>
        <w:widowControl/>
        <w:spacing w:line="400" w:lineRule="exact"/>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人民币（大写）</w:t>
      </w:r>
      <w:r>
        <w:rPr>
          <w:rFonts w:hint="eastAsia" w:ascii="宋体" w:hAnsi="宋体" w:cs="Arial"/>
          <w:color w:val="000000"/>
          <w:kern w:val="0"/>
          <w:szCs w:val="21"/>
          <w:u w:val="single"/>
        </w:rPr>
        <w:t>                 </w:t>
      </w:r>
      <w:r>
        <w:rPr>
          <w:rFonts w:hint="eastAsia" w:ascii="宋体" w:hAnsi="宋体" w:cs="Arial"/>
          <w:color w:val="000000"/>
          <w:kern w:val="0"/>
          <w:szCs w:val="21"/>
        </w:rPr>
        <w:t>(￥</w:t>
      </w:r>
      <w:r>
        <w:rPr>
          <w:rFonts w:hint="eastAsia" w:ascii="宋体" w:hAnsi="宋体" w:cs="Arial"/>
          <w:color w:val="000000"/>
          <w:kern w:val="0"/>
          <w:szCs w:val="21"/>
          <w:u w:val="single"/>
        </w:rPr>
        <w:t>            </w:t>
      </w:r>
      <w:r>
        <w:rPr>
          <w:rFonts w:hint="eastAsia" w:ascii="宋体" w:hAnsi="宋体" w:cs="Arial"/>
          <w:color w:val="000000"/>
          <w:kern w:val="0"/>
          <w:szCs w:val="21"/>
        </w:rPr>
        <w:t>元)；</w:t>
      </w:r>
    </w:p>
    <w:p>
      <w:pPr>
        <w:widowControl/>
        <w:spacing w:line="400" w:lineRule="exact"/>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其中：</w:t>
      </w:r>
    </w:p>
    <w:p>
      <w:pPr>
        <w:widowControl/>
        <w:spacing w:line="400" w:lineRule="exact"/>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（1）安全文明施工费：</w:t>
      </w:r>
    </w:p>
    <w:p>
      <w:pPr>
        <w:widowControl/>
        <w:spacing w:line="400" w:lineRule="exact"/>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人民币（大写）</w:t>
      </w:r>
      <w:r>
        <w:rPr>
          <w:rFonts w:hint="eastAsia" w:ascii="宋体" w:hAnsi="宋体" w:cs="Arial"/>
          <w:color w:val="000000"/>
          <w:kern w:val="0"/>
          <w:szCs w:val="21"/>
          <w:u w:val="single"/>
        </w:rPr>
        <w:t>              </w:t>
      </w:r>
      <w:r>
        <w:rPr>
          <w:rFonts w:hint="eastAsia" w:ascii="宋体" w:hAnsi="宋体" w:cs="Arial"/>
          <w:color w:val="000000"/>
          <w:kern w:val="0"/>
          <w:szCs w:val="21"/>
        </w:rPr>
        <w:t> (￥</w:t>
      </w:r>
      <w:r>
        <w:rPr>
          <w:rFonts w:hint="eastAsia" w:ascii="宋体" w:hAnsi="宋体" w:cs="Arial"/>
          <w:color w:val="000000"/>
          <w:kern w:val="0"/>
          <w:szCs w:val="21"/>
          <w:u w:val="single"/>
        </w:rPr>
        <w:t>          </w:t>
      </w:r>
      <w:r>
        <w:rPr>
          <w:rFonts w:hint="eastAsia" w:ascii="宋体" w:hAnsi="宋体" w:cs="Arial"/>
          <w:color w:val="000000"/>
          <w:kern w:val="0"/>
          <w:szCs w:val="21"/>
        </w:rPr>
        <w:t>元)；</w:t>
      </w:r>
    </w:p>
    <w:p>
      <w:pPr>
        <w:widowControl/>
        <w:spacing w:line="400" w:lineRule="exact"/>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（2）材料和工程设备暂估价金额：</w:t>
      </w:r>
    </w:p>
    <w:p>
      <w:pPr>
        <w:widowControl/>
        <w:spacing w:line="400" w:lineRule="exact"/>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人民币（大写）</w:t>
      </w:r>
      <w:r>
        <w:rPr>
          <w:rFonts w:hint="eastAsia" w:ascii="宋体" w:hAnsi="宋体" w:cs="Arial"/>
          <w:color w:val="000000"/>
          <w:kern w:val="0"/>
          <w:szCs w:val="21"/>
          <w:u w:val="single"/>
        </w:rPr>
        <w:t>              </w:t>
      </w:r>
      <w:r>
        <w:rPr>
          <w:rFonts w:hint="eastAsia" w:ascii="宋体" w:hAnsi="宋体" w:cs="Arial"/>
          <w:color w:val="000000"/>
          <w:kern w:val="0"/>
          <w:szCs w:val="21"/>
        </w:rPr>
        <w:t> (￥</w:t>
      </w:r>
      <w:r>
        <w:rPr>
          <w:rFonts w:hint="eastAsia" w:ascii="宋体" w:hAnsi="宋体" w:cs="Arial"/>
          <w:color w:val="000000"/>
          <w:kern w:val="0"/>
          <w:szCs w:val="21"/>
          <w:u w:val="single"/>
        </w:rPr>
        <w:t>          </w:t>
      </w:r>
      <w:r>
        <w:rPr>
          <w:rFonts w:hint="eastAsia" w:ascii="宋体" w:hAnsi="宋体" w:cs="Arial"/>
          <w:color w:val="000000"/>
          <w:kern w:val="0"/>
          <w:szCs w:val="21"/>
        </w:rPr>
        <w:t>元)；</w:t>
      </w:r>
    </w:p>
    <w:p>
      <w:pPr>
        <w:widowControl/>
        <w:spacing w:line="400" w:lineRule="exact"/>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（3）专业工程暂估价金额：</w:t>
      </w:r>
    </w:p>
    <w:p>
      <w:pPr>
        <w:widowControl/>
        <w:spacing w:line="400" w:lineRule="exact"/>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人民币（大写）</w:t>
      </w:r>
      <w:r>
        <w:rPr>
          <w:rFonts w:hint="eastAsia" w:ascii="宋体" w:hAnsi="宋体" w:cs="Arial"/>
          <w:color w:val="000000"/>
          <w:kern w:val="0"/>
          <w:szCs w:val="21"/>
          <w:u w:val="single"/>
        </w:rPr>
        <w:t>              </w:t>
      </w:r>
      <w:r>
        <w:rPr>
          <w:rFonts w:hint="eastAsia" w:ascii="宋体" w:hAnsi="宋体" w:cs="Arial"/>
          <w:color w:val="000000"/>
          <w:kern w:val="0"/>
          <w:szCs w:val="21"/>
        </w:rPr>
        <w:t> (￥</w:t>
      </w:r>
      <w:r>
        <w:rPr>
          <w:rFonts w:hint="eastAsia" w:ascii="宋体" w:hAnsi="宋体" w:cs="Arial"/>
          <w:color w:val="000000"/>
          <w:kern w:val="0"/>
          <w:szCs w:val="21"/>
          <w:u w:val="single"/>
        </w:rPr>
        <w:t>          </w:t>
      </w:r>
      <w:r>
        <w:rPr>
          <w:rFonts w:hint="eastAsia" w:ascii="宋体" w:hAnsi="宋体" w:cs="Arial"/>
          <w:color w:val="000000"/>
          <w:kern w:val="0"/>
          <w:szCs w:val="21"/>
        </w:rPr>
        <w:t>元)；</w:t>
      </w:r>
    </w:p>
    <w:p>
      <w:pPr>
        <w:widowControl/>
        <w:spacing w:line="400" w:lineRule="exact"/>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（4）暂列金额：</w:t>
      </w:r>
    </w:p>
    <w:p>
      <w:pPr>
        <w:widowControl/>
        <w:spacing w:line="400" w:lineRule="exact"/>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人民币（大写）</w:t>
      </w:r>
      <w:r>
        <w:rPr>
          <w:rFonts w:hint="eastAsia" w:ascii="宋体" w:hAnsi="宋体" w:cs="Arial"/>
          <w:color w:val="000000"/>
          <w:kern w:val="0"/>
          <w:szCs w:val="21"/>
          <w:u w:val="single"/>
        </w:rPr>
        <w:t>              </w:t>
      </w:r>
      <w:r>
        <w:rPr>
          <w:rFonts w:hint="eastAsia" w:ascii="宋体" w:hAnsi="宋体" w:cs="Arial"/>
          <w:color w:val="000000"/>
          <w:kern w:val="0"/>
          <w:szCs w:val="21"/>
        </w:rPr>
        <w:t> (￥</w:t>
      </w:r>
      <w:r>
        <w:rPr>
          <w:rFonts w:hint="eastAsia" w:ascii="宋体" w:hAnsi="宋体" w:cs="Arial"/>
          <w:color w:val="000000"/>
          <w:kern w:val="0"/>
          <w:szCs w:val="21"/>
          <w:u w:val="single"/>
        </w:rPr>
        <w:t>          </w:t>
      </w:r>
      <w:r>
        <w:rPr>
          <w:rFonts w:hint="eastAsia" w:ascii="宋体" w:hAnsi="宋体" w:cs="Arial"/>
          <w:color w:val="000000"/>
          <w:kern w:val="0"/>
          <w:szCs w:val="21"/>
        </w:rPr>
        <w:t>元)。</w:t>
      </w:r>
    </w:p>
    <w:p>
      <w:pPr>
        <w:widowControl/>
        <w:spacing w:line="400" w:lineRule="exact"/>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2.合同价格形式：</w:t>
      </w:r>
      <w:r>
        <w:rPr>
          <w:rFonts w:hint="eastAsia" w:ascii="宋体" w:hAnsi="宋体" w:cs="宋体"/>
          <w:color w:val="000000"/>
          <w:kern w:val="0"/>
          <w:szCs w:val="21"/>
          <w:u w:val="single"/>
        </w:rPr>
        <w:t></w:t>
      </w:r>
      <w:r>
        <w:rPr>
          <w:rFonts w:hint="eastAsia" w:ascii="宋体" w:hAnsi="宋体" w:cs="Arial"/>
          <w:color w:val="000000"/>
          <w:kern w:val="0"/>
          <w:szCs w:val="21"/>
          <w:u w:val="single"/>
        </w:rPr>
        <w:t>      </w:t>
      </w:r>
      <w:r>
        <w:rPr>
          <w:rFonts w:hint="eastAsia" w:ascii="宋体" w:hAnsi="宋体" w:cs="宋体"/>
          <w:color w:val="000000"/>
          <w:kern w:val="0"/>
          <w:szCs w:val="21"/>
          <w:u w:val="single"/>
        </w:rPr>
        <w:t></w:t>
      </w:r>
      <w:r>
        <w:rPr>
          <w:rFonts w:hint="eastAsia" w:ascii="宋体" w:hAnsi="宋体" w:cs="Arial"/>
          <w:color w:val="000000"/>
          <w:kern w:val="0"/>
          <w:szCs w:val="21"/>
          <w:u w:val="single"/>
        </w:rPr>
        <w:t xml:space="preserve">      </w:t>
      </w:r>
      <w:r>
        <w:rPr>
          <w:rFonts w:hint="eastAsia" w:ascii="宋体" w:hAnsi="宋体" w:cs="宋体"/>
          <w:color w:val="000000"/>
          <w:kern w:val="0"/>
          <w:szCs w:val="21"/>
          <w:u w:val="single"/>
        </w:rPr>
        <w:t></w:t>
      </w:r>
      <w:r>
        <w:rPr>
          <w:rFonts w:hint="eastAsia" w:ascii="宋体" w:hAnsi="宋体" w:cs="Arial"/>
          <w:color w:val="000000"/>
          <w:kern w:val="0"/>
          <w:szCs w:val="21"/>
        </w:rPr>
        <w:t>。</w:t>
      </w:r>
    </w:p>
    <w:p>
      <w:pPr>
        <w:widowControl/>
        <w:spacing w:line="400" w:lineRule="exact"/>
        <w:ind w:firstLine="358" w:firstLineChars="170"/>
        <w:jc w:val="left"/>
        <w:textAlignment w:val="top"/>
        <w:outlineLvl w:val="3"/>
        <w:rPr>
          <w:rFonts w:ascii="宋体" w:hAnsi="宋体" w:cs="Arial"/>
          <w:b/>
          <w:bCs/>
          <w:color w:val="000000"/>
          <w:kern w:val="0"/>
          <w:szCs w:val="21"/>
        </w:rPr>
      </w:pPr>
      <w:bookmarkStart w:id="478" w:name="_Toc351203485"/>
      <w:r>
        <w:rPr>
          <w:rFonts w:hint="eastAsia" w:ascii="宋体" w:hAnsi="宋体" w:cs="Arial"/>
          <w:b/>
          <w:bCs/>
          <w:color w:val="000000"/>
          <w:kern w:val="0"/>
          <w:szCs w:val="21"/>
        </w:rPr>
        <w:t>五、</w:t>
      </w:r>
      <w:bookmarkEnd w:id="478"/>
      <w:r>
        <w:rPr>
          <w:rFonts w:hint="eastAsia" w:ascii="宋体" w:hAnsi="宋体" w:cs="Arial"/>
          <w:b/>
          <w:bCs/>
          <w:color w:val="000000"/>
          <w:kern w:val="0"/>
          <w:szCs w:val="21"/>
        </w:rPr>
        <w:t>项目经理</w:t>
      </w:r>
    </w:p>
    <w:p>
      <w:pPr>
        <w:widowControl/>
        <w:spacing w:line="400" w:lineRule="exact"/>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承包人项目经理：</w:t>
      </w:r>
      <w:r>
        <w:rPr>
          <w:rFonts w:hint="eastAsia" w:ascii="宋体" w:hAnsi="宋体" w:cs="宋体"/>
          <w:color w:val="000000"/>
          <w:kern w:val="0"/>
          <w:szCs w:val="21"/>
          <w:u w:val="single"/>
        </w:rPr>
        <w:t></w:t>
      </w:r>
      <w:r>
        <w:rPr>
          <w:rFonts w:hint="eastAsia" w:ascii="宋体" w:hAnsi="宋体" w:cs="Arial"/>
          <w:color w:val="000000"/>
          <w:kern w:val="0"/>
          <w:szCs w:val="21"/>
          <w:u w:val="single"/>
        </w:rPr>
        <w:t>                 </w:t>
      </w:r>
      <w:r>
        <w:rPr>
          <w:rFonts w:hint="eastAsia" w:ascii="宋体" w:hAnsi="宋体" w:cs="宋体"/>
          <w:color w:val="000000"/>
          <w:kern w:val="0"/>
          <w:szCs w:val="21"/>
          <w:u w:val="single"/>
        </w:rPr>
        <w:t></w:t>
      </w:r>
      <w:r>
        <w:rPr>
          <w:rFonts w:hint="eastAsia" w:ascii="宋体" w:hAnsi="宋体" w:cs="Arial"/>
          <w:color w:val="000000"/>
          <w:kern w:val="0"/>
          <w:szCs w:val="21"/>
          <w:u w:val="single"/>
        </w:rPr>
        <w:t xml:space="preserve">    </w:t>
      </w:r>
      <w:r>
        <w:rPr>
          <w:rFonts w:hint="eastAsia" w:ascii="宋体" w:hAnsi="宋体" w:cs="宋体"/>
          <w:color w:val="000000"/>
          <w:kern w:val="0"/>
          <w:szCs w:val="21"/>
          <w:u w:val="single"/>
        </w:rPr>
        <w:t></w:t>
      </w:r>
      <w:r>
        <w:rPr>
          <w:rFonts w:hint="eastAsia" w:ascii="宋体" w:hAnsi="宋体" w:cs="Arial"/>
          <w:color w:val="000000"/>
          <w:kern w:val="0"/>
          <w:szCs w:val="21"/>
        </w:rPr>
        <w:t>。</w:t>
      </w:r>
    </w:p>
    <w:p>
      <w:pPr>
        <w:widowControl/>
        <w:spacing w:line="400" w:lineRule="exact"/>
        <w:ind w:firstLine="358" w:firstLineChars="170"/>
        <w:jc w:val="left"/>
        <w:textAlignment w:val="top"/>
        <w:outlineLvl w:val="3"/>
        <w:rPr>
          <w:rFonts w:ascii="宋体" w:hAnsi="宋体" w:cs="Arial"/>
          <w:b/>
          <w:bCs/>
          <w:color w:val="000000"/>
          <w:kern w:val="0"/>
          <w:szCs w:val="21"/>
        </w:rPr>
      </w:pPr>
      <w:bookmarkStart w:id="479" w:name="_Toc351203486"/>
      <w:r>
        <w:rPr>
          <w:rFonts w:hint="eastAsia" w:ascii="宋体" w:hAnsi="宋体" w:cs="Arial"/>
          <w:b/>
          <w:bCs/>
          <w:color w:val="000000"/>
          <w:kern w:val="0"/>
          <w:szCs w:val="21"/>
        </w:rPr>
        <w:t>六、合同文件构成</w:t>
      </w:r>
      <w:bookmarkEnd w:id="479"/>
    </w:p>
    <w:p>
      <w:pPr>
        <w:widowControl/>
        <w:spacing w:line="400" w:lineRule="exact"/>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本协议书与下列文件一起构成合同文件：</w:t>
      </w:r>
    </w:p>
    <w:p>
      <w:pPr>
        <w:widowControl/>
        <w:spacing w:line="400" w:lineRule="exact"/>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（1）中标通知书（如果有）；</w:t>
      </w:r>
    </w:p>
    <w:p>
      <w:pPr>
        <w:widowControl/>
        <w:spacing w:line="400" w:lineRule="exact"/>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 xml:space="preserve">（2）投标函及其附录（如果有）； </w:t>
      </w:r>
    </w:p>
    <w:p>
      <w:pPr>
        <w:widowControl/>
        <w:spacing w:line="400" w:lineRule="exact"/>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（3）专用合同条款及其附件；</w:t>
      </w:r>
    </w:p>
    <w:p>
      <w:pPr>
        <w:widowControl/>
        <w:spacing w:line="400" w:lineRule="exact"/>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（4）通用合同条款；</w:t>
      </w:r>
    </w:p>
    <w:p>
      <w:pPr>
        <w:widowControl/>
        <w:spacing w:line="400" w:lineRule="exact"/>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（5）技术标准和要求；</w:t>
      </w:r>
    </w:p>
    <w:p>
      <w:pPr>
        <w:widowControl/>
        <w:spacing w:line="400" w:lineRule="exact"/>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（6）图纸；</w:t>
      </w:r>
    </w:p>
    <w:p>
      <w:pPr>
        <w:widowControl/>
        <w:spacing w:line="400" w:lineRule="exact"/>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（7）已标价工程量清单或预算书；</w:t>
      </w:r>
    </w:p>
    <w:p>
      <w:pPr>
        <w:widowControl/>
        <w:spacing w:line="400" w:lineRule="exact"/>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（8）其他合同文件。</w:t>
      </w:r>
    </w:p>
    <w:p>
      <w:pPr>
        <w:widowControl/>
        <w:spacing w:line="400" w:lineRule="exact"/>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在合同订立及履行过程中形成的与合同有关的文件均构成合同文件组成部分。</w:t>
      </w:r>
    </w:p>
    <w:p>
      <w:pPr>
        <w:widowControl/>
        <w:spacing w:line="400" w:lineRule="exact"/>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上述各项合同文件包括合同当事人就该项合同文件所作出的补充和修改，属于同一类内容的文件，应以最新签署的为准。专用合同条款及其附件须经合同当事人签字或盖章。</w:t>
      </w:r>
    </w:p>
    <w:p>
      <w:pPr>
        <w:widowControl/>
        <w:spacing w:line="400" w:lineRule="exact"/>
        <w:ind w:firstLine="358" w:firstLineChars="170"/>
        <w:jc w:val="left"/>
        <w:textAlignment w:val="top"/>
        <w:outlineLvl w:val="3"/>
        <w:rPr>
          <w:rFonts w:ascii="宋体" w:hAnsi="宋体" w:cs="Arial"/>
          <w:b/>
          <w:bCs/>
          <w:color w:val="000000"/>
          <w:kern w:val="0"/>
          <w:szCs w:val="21"/>
        </w:rPr>
      </w:pPr>
      <w:bookmarkStart w:id="480" w:name="_Toc351203487"/>
      <w:r>
        <w:rPr>
          <w:rFonts w:hint="eastAsia" w:ascii="宋体" w:hAnsi="宋体" w:cs="Arial"/>
          <w:b/>
          <w:bCs/>
          <w:color w:val="000000"/>
          <w:kern w:val="0"/>
          <w:szCs w:val="21"/>
        </w:rPr>
        <w:t>七、承诺</w:t>
      </w:r>
      <w:bookmarkEnd w:id="480"/>
    </w:p>
    <w:p>
      <w:pPr>
        <w:widowControl/>
        <w:spacing w:line="400" w:lineRule="exact"/>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1.发包人承诺按照法律规定履行项目审批手续、筹集工程建设资金并按照合同约定的期限和方式支付合同价款。</w:t>
      </w:r>
    </w:p>
    <w:p>
      <w:pPr>
        <w:widowControl/>
        <w:spacing w:line="400" w:lineRule="exact"/>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2.承包人承诺按照法律规定及合同约定组织完成工程施工，确保工程质量和安全，不进行转包及违法分包，并在缺陷责任期及保修期内承担相应的工程维修责任。</w:t>
      </w:r>
    </w:p>
    <w:p>
      <w:pPr>
        <w:widowControl/>
        <w:spacing w:line="400" w:lineRule="exact"/>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3.发包人和承包人通过招投标形式签订合同的，双方理解并承诺不再就同一工程另行签订与合同实质性内容相背离的协议。</w:t>
      </w:r>
    </w:p>
    <w:p>
      <w:pPr>
        <w:widowControl/>
        <w:spacing w:line="400" w:lineRule="exact"/>
        <w:ind w:firstLine="358" w:firstLineChars="170"/>
        <w:jc w:val="left"/>
        <w:textAlignment w:val="top"/>
        <w:rPr>
          <w:rFonts w:ascii="宋体" w:hAnsi="宋体" w:cs="Arial"/>
          <w:color w:val="000000"/>
          <w:kern w:val="0"/>
          <w:szCs w:val="21"/>
        </w:rPr>
      </w:pPr>
      <w:r>
        <w:rPr>
          <w:rFonts w:hint="eastAsia" w:ascii="宋体" w:hAnsi="宋体" w:cs="Arial"/>
          <w:b/>
          <w:bCs/>
          <w:color w:val="000000"/>
          <w:kern w:val="0"/>
          <w:szCs w:val="21"/>
        </w:rPr>
        <w:t>八、词语含义</w:t>
      </w:r>
    </w:p>
    <w:p>
      <w:pPr>
        <w:widowControl/>
        <w:spacing w:line="400" w:lineRule="exact"/>
        <w:ind w:firstLine="357" w:firstLineChars="170"/>
        <w:jc w:val="left"/>
        <w:textAlignment w:val="top"/>
        <w:rPr>
          <w:rFonts w:ascii="宋体" w:hAnsi="宋体" w:cs="Arial"/>
          <w:color w:val="000000"/>
          <w:kern w:val="0"/>
          <w:szCs w:val="21"/>
        </w:rPr>
      </w:pPr>
    </w:p>
    <w:p>
      <w:pPr>
        <w:widowControl/>
        <w:spacing w:line="400" w:lineRule="exact"/>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本协议书中词语含义与第二部分通用合同条款中赋予的含义相同。</w:t>
      </w:r>
    </w:p>
    <w:p>
      <w:pPr>
        <w:widowControl/>
        <w:spacing w:line="400" w:lineRule="exact"/>
        <w:ind w:firstLine="358" w:firstLineChars="170"/>
        <w:jc w:val="left"/>
        <w:textAlignment w:val="top"/>
        <w:outlineLvl w:val="3"/>
        <w:rPr>
          <w:rFonts w:ascii="宋体" w:hAnsi="宋体" w:cs="Arial"/>
          <w:b/>
          <w:bCs/>
          <w:color w:val="000000"/>
          <w:kern w:val="0"/>
          <w:szCs w:val="21"/>
        </w:rPr>
      </w:pPr>
      <w:bookmarkStart w:id="481" w:name="_Toc351203489"/>
      <w:r>
        <w:rPr>
          <w:rFonts w:hint="eastAsia" w:ascii="宋体" w:hAnsi="宋体" w:cs="Arial"/>
          <w:b/>
          <w:bCs/>
          <w:color w:val="000000"/>
          <w:kern w:val="0"/>
          <w:szCs w:val="21"/>
        </w:rPr>
        <w:t>九、签订时间</w:t>
      </w:r>
      <w:bookmarkEnd w:id="481"/>
    </w:p>
    <w:p>
      <w:pPr>
        <w:widowControl/>
        <w:spacing w:line="400" w:lineRule="exact"/>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本合同于</w:t>
      </w:r>
      <w:r>
        <w:rPr>
          <w:rFonts w:hint="eastAsia" w:ascii="宋体" w:hAnsi="宋体" w:cs="Arial"/>
          <w:color w:val="000000"/>
          <w:kern w:val="0"/>
          <w:szCs w:val="21"/>
          <w:u w:val="single"/>
        </w:rPr>
        <w:t xml:space="preserve">         </w:t>
      </w:r>
      <w:r>
        <w:rPr>
          <w:rFonts w:hint="eastAsia" w:ascii="宋体" w:hAnsi="宋体" w:cs="Arial"/>
          <w:color w:val="000000"/>
          <w:kern w:val="0"/>
          <w:szCs w:val="21"/>
        </w:rPr>
        <w:t>年</w:t>
      </w:r>
      <w:r>
        <w:rPr>
          <w:rFonts w:hint="eastAsia" w:ascii="宋体" w:hAnsi="宋体" w:cs="Arial"/>
          <w:color w:val="000000"/>
          <w:kern w:val="0"/>
          <w:szCs w:val="21"/>
          <w:u w:val="single"/>
        </w:rPr>
        <w:t xml:space="preserve">    </w:t>
      </w:r>
      <w:r>
        <w:rPr>
          <w:rFonts w:hint="eastAsia" w:ascii="宋体" w:hAnsi="宋体" w:cs="Arial"/>
          <w:color w:val="000000"/>
          <w:kern w:val="0"/>
          <w:szCs w:val="21"/>
        </w:rPr>
        <w:t>月</w:t>
      </w:r>
      <w:r>
        <w:rPr>
          <w:rFonts w:hint="eastAsia" w:ascii="宋体" w:hAnsi="宋体" w:cs="Arial"/>
          <w:color w:val="000000"/>
          <w:kern w:val="0"/>
          <w:szCs w:val="21"/>
          <w:u w:val="single"/>
        </w:rPr>
        <w:t xml:space="preserve">    </w:t>
      </w:r>
      <w:r>
        <w:rPr>
          <w:rFonts w:hint="eastAsia" w:ascii="宋体" w:hAnsi="宋体" w:cs="Arial"/>
          <w:color w:val="000000"/>
          <w:kern w:val="0"/>
          <w:szCs w:val="21"/>
        </w:rPr>
        <w:t>日签订。</w:t>
      </w:r>
    </w:p>
    <w:p>
      <w:pPr>
        <w:widowControl/>
        <w:spacing w:line="400" w:lineRule="exact"/>
        <w:ind w:firstLine="207" w:firstLineChars="98"/>
        <w:jc w:val="left"/>
        <w:textAlignment w:val="top"/>
        <w:outlineLvl w:val="3"/>
        <w:rPr>
          <w:rFonts w:ascii="宋体" w:hAnsi="宋体" w:cs="Arial"/>
          <w:b/>
          <w:bCs/>
          <w:color w:val="000000"/>
          <w:kern w:val="0"/>
          <w:szCs w:val="21"/>
        </w:rPr>
      </w:pPr>
      <w:bookmarkStart w:id="482" w:name="_Toc351203490"/>
      <w:r>
        <w:rPr>
          <w:rFonts w:hint="eastAsia" w:ascii="宋体" w:hAnsi="宋体" w:cs="Arial"/>
          <w:b/>
          <w:bCs/>
          <w:color w:val="000000"/>
          <w:kern w:val="0"/>
          <w:szCs w:val="21"/>
        </w:rPr>
        <w:t>十、签订地点</w:t>
      </w:r>
      <w:bookmarkEnd w:id="482"/>
    </w:p>
    <w:p>
      <w:pPr>
        <w:widowControl/>
        <w:spacing w:line="400" w:lineRule="exact"/>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本合同在</w:t>
      </w:r>
      <w:r>
        <w:rPr>
          <w:rFonts w:hint="eastAsia" w:ascii="宋体" w:hAnsi="宋体" w:cs="Arial"/>
          <w:color w:val="000000"/>
          <w:kern w:val="0"/>
          <w:szCs w:val="21"/>
          <w:u w:val="single"/>
        </w:rPr>
        <w:t xml:space="preserve">                            </w:t>
      </w:r>
      <w:r>
        <w:rPr>
          <w:rFonts w:hint="eastAsia" w:ascii="宋体" w:hAnsi="宋体" w:cs="Arial"/>
          <w:color w:val="000000"/>
          <w:kern w:val="0"/>
          <w:szCs w:val="21"/>
        </w:rPr>
        <w:t>签订。</w:t>
      </w:r>
    </w:p>
    <w:p>
      <w:pPr>
        <w:widowControl/>
        <w:spacing w:line="400" w:lineRule="exact"/>
        <w:ind w:firstLine="358" w:firstLineChars="170"/>
        <w:jc w:val="left"/>
        <w:textAlignment w:val="top"/>
        <w:outlineLvl w:val="3"/>
        <w:rPr>
          <w:rFonts w:ascii="宋体" w:hAnsi="宋体" w:cs="Arial"/>
          <w:b/>
          <w:bCs/>
          <w:color w:val="000000"/>
          <w:kern w:val="0"/>
          <w:szCs w:val="21"/>
        </w:rPr>
      </w:pPr>
      <w:bookmarkStart w:id="483" w:name="_Toc351203491"/>
      <w:r>
        <w:rPr>
          <w:rFonts w:hint="eastAsia" w:ascii="宋体" w:hAnsi="宋体" w:cs="Arial"/>
          <w:b/>
          <w:bCs/>
          <w:color w:val="000000"/>
          <w:kern w:val="0"/>
          <w:szCs w:val="21"/>
        </w:rPr>
        <w:t>十一、补充协议</w:t>
      </w:r>
      <w:bookmarkEnd w:id="483"/>
    </w:p>
    <w:p>
      <w:pPr>
        <w:widowControl/>
        <w:spacing w:line="400" w:lineRule="exact"/>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合同未尽事宜，合同当事人另行签订补充协议，补充协议是合同的组成部分。</w:t>
      </w:r>
    </w:p>
    <w:p>
      <w:pPr>
        <w:widowControl/>
        <w:spacing w:line="400" w:lineRule="exact"/>
        <w:ind w:firstLine="358" w:firstLineChars="170"/>
        <w:jc w:val="left"/>
        <w:textAlignment w:val="top"/>
        <w:outlineLvl w:val="3"/>
        <w:rPr>
          <w:rFonts w:ascii="宋体" w:hAnsi="宋体" w:cs="Arial"/>
          <w:b/>
          <w:bCs/>
          <w:color w:val="000000"/>
          <w:kern w:val="0"/>
          <w:szCs w:val="21"/>
        </w:rPr>
      </w:pPr>
      <w:bookmarkStart w:id="484" w:name="_Toc351203492"/>
      <w:r>
        <w:rPr>
          <w:rFonts w:hint="eastAsia" w:ascii="宋体" w:hAnsi="宋体" w:cs="Arial"/>
          <w:b/>
          <w:bCs/>
          <w:color w:val="000000"/>
          <w:kern w:val="0"/>
          <w:szCs w:val="21"/>
        </w:rPr>
        <w:t>十二、合同生效</w:t>
      </w:r>
      <w:bookmarkEnd w:id="484"/>
    </w:p>
    <w:p>
      <w:pPr>
        <w:widowControl/>
        <w:spacing w:line="400" w:lineRule="exact"/>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本合同自</w:t>
      </w:r>
      <w:r>
        <w:rPr>
          <w:rFonts w:hint="eastAsia" w:ascii="宋体" w:hAnsi="宋体" w:cs="Arial"/>
          <w:color w:val="000000"/>
          <w:kern w:val="0"/>
          <w:szCs w:val="21"/>
          <w:u w:val="single"/>
        </w:rPr>
        <w:t xml:space="preserve">                          </w:t>
      </w:r>
      <w:r>
        <w:rPr>
          <w:rFonts w:hint="eastAsia" w:ascii="宋体" w:hAnsi="宋体" w:cs="Arial"/>
          <w:color w:val="000000"/>
          <w:kern w:val="0"/>
          <w:szCs w:val="21"/>
        </w:rPr>
        <w:t>生效。</w:t>
      </w:r>
    </w:p>
    <w:p>
      <w:pPr>
        <w:widowControl/>
        <w:spacing w:line="400" w:lineRule="exact"/>
        <w:ind w:firstLine="358" w:firstLineChars="170"/>
        <w:jc w:val="left"/>
        <w:textAlignment w:val="top"/>
        <w:outlineLvl w:val="3"/>
        <w:rPr>
          <w:rFonts w:ascii="宋体" w:hAnsi="宋体" w:cs="Arial"/>
          <w:b/>
          <w:bCs/>
          <w:color w:val="000000"/>
          <w:kern w:val="0"/>
          <w:szCs w:val="21"/>
        </w:rPr>
      </w:pPr>
      <w:bookmarkStart w:id="485" w:name="_Toc351203493"/>
      <w:r>
        <w:rPr>
          <w:rFonts w:hint="eastAsia" w:ascii="宋体" w:hAnsi="宋体" w:cs="Arial"/>
          <w:b/>
          <w:bCs/>
          <w:color w:val="000000"/>
          <w:kern w:val="0"/>
          <w:szCs w:val="21"/>
        </w:rPr>
        <w:t>十三、合同份数</w:t>
      </w:r>
      <w:bookmarkEnd w:id="485"/>
    </w:p>
    <w:p>
      <w:pPr>
        <w:widowControl/>
        <w:spacing w:line="400" w:lineRule="exact"/>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本合同一式</w:t>
      </w:r>
      <w:r>
        <w:rPr>
          <w:rFonts w:hint="eastAsia" w:ascii="宋体" w:hAnsi="宋体" w:cs="Arial"/>
          <w:color w:val="000000"/>
          <w:kern w:val="0"/>
          <w:szCs w:val="21"/>
          <w:u w:val="single"/>
        </w:rPr>
        <w:t>    </w:t>
      </w:r>
      <w:r>
        <w:rPr>
          <w:rFonts w:hint="eastAsia" w:ascii="宋体" w:hAnsi="宋体" w:cs="Arial"/>
          <w:color w:val="000000"/>
          <w:kern w:val="0"/>
          <w:szCs w:val="21"/>
        </w:rPr>
        <w:t>份，均具有同等法律效力，发包人执</w:t>
      </w:r>
      <w:r>
        <w:rPr>
          <w:rFonts w:hint="eastAsia" w:ascii="宋体" w:hAnsi="宋体" w:cs="Arial"/>
          <w:color w:val="000000"/>
          <w:kern w:val="0"/>
          <w:szCs w:val="21"/>
          <w:u w:val="single"/>
        </w:rPr>
        <w:t>    </w:t>
      </w:r>
      <w:r>
        <w:rPr>
          <w:rFonts w:hint="eastAsia" w:ascii="宋体" w:hAnsi="宋体" w:cs="Arial"/>
          <w:color w:val="000000"/>
          <w:kern w:val="0"/>
          <w:szCs w:val="21"/>
        </w:rPr>
        <w:t>份，承包人执</w:t>
      </w:r>
      <w:r>
        <w:rPr>
          <w:rFonts w:hint="eastAsia" w:ascii="宋体" w:hAnsi="宋体" w:cs="Arial"/>
          <w:color w:val="000000"/>
          <w:kern w:val="0"/>
          <w:szCs w:val="21"/>
          <w:u w:val="single"/>
        </w:rPr>
        <w:t>    </w:t>
      </w:r>
      <w:r>
        <w:rPr>
          <w:rFonts w:hint="eastAsia" w:ascii="宋体" w:hAnsi="宋体" w:cs="Arial"/>
          <w:color w:val="000000"/>
          <w:kern w:val="0"/>
          <w:szCs w:val="21"/>
        </w:rPr>
        <w:t>份。</w:t>
      </w:r>
    </w:p>
    <w:p>
      <w:pPr>
        <w:widowControl/>
        <w:spacing w:line="400" w:lineRule="exact"/>
        <w:ind w:firstLine="357" w:firstLineChars="170"/>
        <w:jc w:val="left"/>
        <w:textAlignment w:val="top"/>
        <w:rPr>
          <w:rFonts w:ascii="宋体" w:hAnsi="宋体" w:cs="Arial"/>
          <w:color w:val="000000"/>
          <w:kern w:val="0"/>
          <w:szCs w:val="21"/>
        </w:rPr>
      </w:pPr>
    </w:p>
    <w:p>
      <w:pPr>
        <w:widowControl/>
        <w:spacing w:line="400" w:lineRule="exact"/>
        <w:ind w:firstLine="357" w:firstLineChars="170"/>
        <w:jc w:val="left"/>
        <w:textAlignment w:val="top"/>
        <w:rPr>
          <w:rFonts w:ascii="宋体" w:hAnsi="宋体" w:cs="Arial"/>
          <w:color w:val="000000"/>
          <w:kern w:val="0"/>
          <w:szCs w:val="21"/>
        </w:rPr>
      </w:pPr>
    </w:p>
    <w:p>
      <w:pPr>
        <w:widowControl/>
        <w:spacing w:line="400" w:lineRule="exact"/>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发包人：  (公章)             承包人：  (公章)</w:t>
      </w:r>
    </w:p>
    <w:p>
      <w:pPr>
        <w:widowControl/>
        <w:spacing w:line="400" w:lineRule="exact"/>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                                 </w:t>
      </w:r>
    </w:p>
    <w:p>
      <w:pPr>
        <w:widowControl/>
        <w:spacing w:line="400" w:lineRule="exact"/>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法定代表人或其委托代理人：  法定代表人或其委托代理人：</w:t>
      </w:r>
    </w:p>
    <w:p>
      <w:pPr>
        <w:widowControl/>
        <w:spacing w:line="400" w:lineRule="exact"/>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（签字）                    （签字）</w:t>
      </w:r>
    </w:p>
    <w:p>
      <w:pPr>
        <w:widowControl/>
        <w:spacing w:line="400" w:lineRule="exact"/>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组织机构代码：</w:t>
      </w:r>
      <w:r>
        <w:rPr>
          <w:rFonts w:hint="eastAsia" w:ascii="宋体" w:hAnsi="宋体" w:cs="宋体"/>
          <w:color w:val="000000"/>
          <w:kern w:val="0"/>
          <w:szCs w:val="21"/>
          <w:u w:val="single"/>
        </w:rPr>
        <w:t></w:t>
      </w:r>
      <w:r>
        <w:rPr>
          <w:rFonts w:hint="eastAsia" w:ascii="宋体" w:hAnsi="宋体" w:cs="Arial"/>
          <w:color w:val="000000"/>
          <w:kern w:val="0"/>
          <w:szCs w:val="21"/>
          <w:u w:val="single"/>
        </w:rPr>
        <w:t xml:space="preserve">  </w:t>
      </w:r>
      <w:r>
        <w:rPr>
          <w:rFonts w:hint="eastAsia" w:ascii="宋体" w:hAnsi="宋体" w:cs="宋体"/>
          <w:color w:val="000000"/>
          <w:kern w:val="0"/>
          <w:szCs w:val="21"/>
          <w:u w:val="single"/>
        </w:rPr>
        <w:t></w:t>
      </w:r>
      <w:r>
        <w:rPr>
          <w:rFonts w:hint="eastAsia" w:ascii="宋体" w:hAnsi="宋体" w:cs="Arial"/>
          <w:color w:val="000000"/>
          <w:kern w:val="0"/>
          <w:szCs w:val="21"/>
          <w:u w:val="single"/>
        </w:rPr>
        <w:t xml:space="preserve">     </w:t>
      </w:r>
      <w:r>
        <w:rPr>
          <w:rFonts w:hint="eastAsia" w:ascii="宋体" w:hAnsi="宋体" w:cs="Arial"/>
          <w:color w:val="000000"/>
          <w:kern w:val="0"/>
          <w:szCs w:val="21"/>
        </w:rPr>
        <w:t>  组织机构代码：</w:t>
      </w:r>
      <w:r>
        <w:rPr>
          <w:rFonts w:hint="eastAsia" w:ascii="宋体" w:hAnsi="宋体" w:cs="宋体"/>
          <w:color w:val="000000"/>
          <w:kern w:val="0"/>
          <w:szCs w:val="21"/>
          <w:u w:val="single"/>
        </w:rPr>
        <w:t></w:t>
      </w:r>
      <w:r>
        <w:rPr>
          <w:rFonts w:hint="eastAsia" w:ascii="宋体" w:hAnsi="宋体" w:cs="Arial"/>
          <w:color w:val="000000"/>
          <w:kern w:val="0"/>
          <w:szCs w:val="21"/>
          <w:u w:val="single"/>
        </w:rPr>
        <w:t xml:space="preserve">  </w:t>
      </w:r>
      <w:r>
        <w:rPr>
          <w:rFonts w:hint="eastAsia" w:ascii="宋体" w:hAnsi="宋体" w:cs="宋体"/>
          <w:color w:val="000000"/>
          <w:kern w:val="0"/>
          <w:szCs w:val="21"/>
          <w:u w:val="single"/>
        </w:rPr>
        <w:t></w:t>
      </w:r>
      <w:r>
        <w:rPr>
          <w:rFonts w:hint="eastAsia" w:ascii="宋体" w:hAnsi="宋体" w:cs="Arial"/>
          <w:color w:val="000000"/>
          <w:kern w:val="0"/>
          <w:szCs w:val="21"/>
          <w:u w:val="single"/>
        </w:rPr>
        <w:t>        </w:t>
      </w:r>
      <w:r>
        <w:rPr>
          <w:rFonts w:hint="eastAsia" w:ascii="宋体" w:hAnsi="宋体" w:cs="Arial"/>
          <w:color w:val="000000"/>
          <w:kern w:val="0"/>
          <w:szCs w:val="21"/>
        </w:rPr>
        <w:t> </w:t>
      </w:r>
    </w:p>
    <w:p>
      <w:pPr>
        <w:widowControl/>
        <w:spacing w:line="400" w:lineRule="exact"/>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地  址：</w:t>
      </w:r>
      <w:r>
        <w:rPr>
          <w:rFonts w:hint="eastAsia" w:ascii="宋体" w:hAnsi="宋体" w:cs="宋体"/>
          <w:color w:val="000000"/>
          <w:kern w:val="0"/>
          <w:szCs w:val="21"/>
          <w:u w:val="single"/>
        </w:rPr>
        <w:t></w:t>
      </w:r>
      <w:r>
        <w:rPr>
          <w:rFonts w:hint="eastAsia" w:ascii="宋体" w:hAnsi="宋体" w:cs="Arial"/>
          <w:color w:val="000000"/>
          <w:kern w:val="0"/>
          <w:szCs w:val="21"/>
          <w:u w:val="single"/>
        </w:rPr>
        <w:t xml:space="preserve">    </w:t>
      </w:r>
      <w:r>
        <w:rPr>
          <w:rFonts w:hint="eastAsia" w:ascii="宋体" w:hAnsi="宋体" w:cs="Arial"/>
          <w:color w:val="000000"/>
          <w:kern w:val="0"/>
          <w:szCs w:val="21"/>
        </w:rPr>
        <w:t>  地  址：</w:t>
      </w:r>
      <w:r>
        <w:rPr>
          <w:rFonts w:hint="eastAsia" w:ascii="宋体" w:hAnsi="宋体" w:cs="宋体"/>
          <w:color w:val="000000"/>
          <w:kern w:val="0"/>
          <w:szCs w:val="21"/>
          <w:u w:val="single"/>
        </w:rPr>
        <w:t></w:t>
      </w:r>
      <w:r>
        <w:rPr>
          <w:rFonts w:hint="eastAsia" w:ascii="宋体" w:hAnsi="宋体" w:cs="Arial"/>
          <w:color w:val="000000"/>
          <w:kern w:val="0"/>
          <w:szCs w:val="21"/>
          <w:u w:val="single"/>
        </w:rPr>
        <w:t xml:space="preserve">      </w:t>
      </w:r>
    </w:p>
    <w:p>
      <w:pPr>
        <w:widowControl/>
        <w:spacing w:line="400" w:lineRule="exact"/>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邮政编码：</w:t>
      </w:r>
      <w:r>
        <w:rPr>
          <w:rFonts w:hint="eastAsia" w:ascii="宋体" w:hAnsi="宋体" w:cs="宋体"/>
          <w:color w:val="000000"/>
          <w:kern w:val="0"/>
          <w:szCs w:val="21"/>
          <w:u w:val="single"/>
        </w:rPr>
        <w:t></w:t>
      </w:r>
      <w:r>
        <w:rPr>
          <w:rFonts w:hint="eastAsia" w:ascii="宋体" w:hAnsi="宋体" w:cs="Arial"/>
          <w:color w:val="000000"/>
          <w:kern w:val="0"/>
          <w:szCs w:val="21"/>
          <w:u w:val="single"/>
        </w:rPr>
        <w:t>    </w:t>
      </w:r>
      <w:r>
        <w:rPr>
          <w:rFonts w:hint="eastAsia" w:ascii="宋体" w:hAnsi="宋体" w:cs="Arial"/>
          <w:color w:val="000000"/>
          <w:kern w:val="0"/>
          <w:szCs w:val="21"/>
        </w:rPr>
        <w:t>  邮政编码：</w:t>
      </w:r>
      <w:r>
        <w:rPr>
          <w:rFonts w:hint="eastAsia" w:ascii="宋体" w:hAnsi="宋体" w:cs="宋体"/>
          <w:color w:val="000000"/>
          <w:kern w:val="0"/>
          <w:szCs w:val="21"/>
          <w:u w:val="single"/>
        </w:rPr>
        <w:t></w:t>
      </w:r>
      <w:r>
        <w:rPr>
          <w:rFonts w:hint="eastAsia" w:ascii="宋体" w:hAnsi="宋体" w:cs="Arial"/>
          <w:color w:val="000000"/>
          <w:kern w:val="0"/>
          <w:szCs w:val="21"/>
          <w:u w:val="single"/>
        </w:rPr>
        <w:t xml:space="preserve">   </w:t>
      </w:r>
    </w:p>
    <w:p>
      <w:pPr>
        <w:widowControl/>
        <w:spacing w:line="400" w:lineRule="exact"/>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法定代表人：</w:t>
      </w:r>
      <w:r>
        <w:rPr>
          <w:rFonts w:hint="eastAsia" w:ascii="宋体" w:hAnsi="宋体" w:cs="宋体"/>
          <w:color w:val="000000"/>
          <w:kern w:val="0"/>
          <w:szCs w:val="21"/>
          <w:u w:val="single"/>
        </w:rPr>
        <w:t></w:t>
      </w:r>
      <w:r>
        <w:rPr>
          <w:rFonts w:hint="eastAsia" w:ascii="宋体" w:hAnsi="宋体" w:cs="Arial"/>
          <w:color w:val="000000"/>
          <w:kern w:val="0"/>
          <w:szCs w:val="21"/>
          <w:u w:val="single"/>
        </w:rPr>
        <w:t xml:space="preserve">     </w:t>
      </w:r>
      <w:r>
        <w:rPr>
          <w:rFonts w:hint="eastAsia" w:ascii="宋体" w:hAnsi="宋体" w:cs="宋体"/>
          <w:color w:val="000000"/>
          <w:kern w:val="0"/>
          <w:szCs w:val="21"/>
          <w:u w:val="single"/>
        </w:rPr>
        <w:t></w:t>
      </w:r>
      <w:r>
        <w:rPr>
          <w:rFonts w:hint="eastAsia" w:ascii="宋体" w:hAnsi="宋体" w:cs="Arial"/>
          <w:color w:val="000000"/>
          <w:kern w:val="0"/>
          <w:szCs w:val="21"/>
          <w:u w:val="single"/>
        </w:rPr>
        <w:t>      </w:t>
      </w:r>
      <w:r>
        <w:rPr>
          <w:rFonts w:hint="eastAsia" w:ascii="宋体" w:hAnsi="宋体" w:cs="Arial"/>
          <w:color w:val="000000"/>
          <w:kern w:val="0"/>
          <w:szCs w:val="21"/>
        </w:rPr>
        <w:t>  法定代表人：</w:t>
      </w:r>
      <w:r>
        <w:rPr>
          <w:rFonts w:hint="eastAsia" w:ascii="宋体" w:hAnsi="宋体" w:cs="宋体"/>
          <w:color w:val="000000"/>
          <w:kern w:val="0"/>
          <w:szCs w:val="21"/>
          <w:u w:val="single"/>
        </w:rPr>
        <w:t></w:t>
      </w:r>
      <w:r>
        <w:rPr>
          <w:rFonts w:hint="eastAsia" w:ascii="宋体" w:hAnsi="宋体" w:cs="Arial"/>
          <w:color w:val="000000"/>
          <w:kern w:val="0"/>
          <w:szCs w:val="21"/>
          <w:u w:val="single"/>
        </w:rPr>
        <w:t xml:space="preserve">      </w:t>
      </w:r>
      <w:r>
        <w:rPr>
          <w:rFonts w:hint="eastAsia" w:ascii="宋体" w:hAnsi="宋体" w:cs="宋体"/>
          <w:color w:val="000000"/>
          <w:kern w:val="0"/>
          <w:szCs w:val="21"/>
          <w:u w:val="single"/>
        </w:rPr>
        <w:t></w:t>
      </w:r>
      <w:r>
        <w:rPr>
          <w:rFonts w:hint="eastAsia" w:ascii="宋体" w:hAnsi="宋体" w:cs="Arial"/>
          <w:color w:val="000000"/>
          <w:kern w:val="0"/>
          <w:szCs w:val="21"/>
          <w:u w:val="single"/>
        </w:rPr>
        <w:t>       </w:t>
      </w:r>
    </w:p>
    <w:p>
      <w:pPr>
        <w:widowControl/>
        <w:spacing w:line="400" w:lineRule="exact"/>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委托代理人：</w:t>
      </w:r>
      <w:r>
        <w:rPr>
          <w:rFonts w:hint="eastAsia" w:ascii="宋体" w:hAnsi="宋体" w:cs="宋体"/>
          <w:color w:val="000000"/>
          <w:kern w:val="0"/>
          <w:szCs w:val="21"/>
          <w:u w:val="single"/>
        </w:rPr>
        <w:t></w:t>
      </w:r>
      <w:r>
        <w:rPr>
          <w:rFonts w:hint="eastAsia" w:ascii="宋体" w:hAnsi="宋体" w:cs="Arial"/>
          <w:color w:val="000000"/>
          <w:kern w:val="0"/>
          <w:szCs w:val="21"/>
          <w:u w:val="single"/>
        </w:rPr>
        <w:t xml:space="preserve">           </w:t>
      </w:r>
      <w:r>
        <w:rPr>
          <w:rFonts w:hint="eastAsia" w:ascii="宋体" w:hAnsi="宋体" w:cs="Arial"/>
          <w:color w:val="000000"/>
          <w:kern w:val="0"/>
          <w:szCs w:val="21"/>
        </w:rPr>
        <w:t>  委托代理人：</w:t>
      </w:r>
      <w:r>
        <w:rPr>
          <w:rFonts w:hint="eastAsia" w:ascii="宋体" w:hAnsi="宋体" w:cs="宋体"/>
          <w:color w:val="000000"/>
          <w:kern w:val="0"/>
          <w:szCs w:val="21"/>
          <w:u w:val="single"/>
        </w:rPr>
        <w:t></w:t>
      </w:r>
      <w:r>
        <w:rPr>
          <w:rFonts w:hint="eastAsia" w:ascii="宋体" w:hAnsi="宋体" w:cs="Arial"/>
          <w:color w:val="000000"/>
          <w:kern w:val="0"/>
          <w:szCs w:val="21"/>
          <w:u w:val="single"/>
        </w:rPr>
        <w:t>             </w:t>
      </w:r>
    </w:p>
    <w:p>
      <w:pPr>
        <w:widowControl/>
        <w:spacing w:line="400" w:lineRule="exact"/>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电  话：</w:t>
      </w:r>
      <w:r>
        <w:rPr>
          <w:rFonts w:hint="eastAsia" w:ascii="宋体" w:hAnsi="宋体" w:cs="宋体"/>
          <w:color w:val="000000"/>
          <w:kern w:val="0"/>
          <w:szCs w:val="21"/>
          <w:u w:val="single"/>
        </w:rPr>
        <w:t></w:t>
      </w:r>
      <w:r>
        <w:rPr>
          <w:rFonts w:hint="eastAsia" w:ascii="宋体" w:hAnsi="宋体" w:cs="Arial"/>
          <w:color w:val="000000"/>
          <w:kern w:val="0"/>
          <w:szCs w:val="21"/>
          <w:u w:val="single"/>
        </w:rPr>
        <w:t xml:space="preserve">   </w:t>
      </w:r>
      <w:r>
        <w:rPr>
          <w:rFonts w:hint="eastAsia" w:ascii="宋体" w:hAnsi="宋体" w:cs="Arial"/>
          <w:color w:val="000000"/>
          <w:kern w:val="0"/>
          <w:szCs w:val="21"/>
        </w:rPr>
        <w:t>  电  话：</w:t>
      </w:r>
      <w:r>
        <w:rPr>
          <w:rFonts w:hint="eastAsia" w:ascii="宋体" w:hAnsi="宋体" w:cs="宋体"/>
          <w:color w:val="000000"/>
          <w:kern w:val="0"/>
          <w:szCs w:val="21"/>
          <w:u w:val="single"/>
        </w:rPr>
        <w:t></w:t>
      </w:r>
      <w:r>
        <w:rPr>
          <w:rFonts w:hint="eastAsia" w:ascii="宋体" w:hAnsi="宋体" w:cs="Arial"/>
          <w:color w:val="000000"/>
          <w:kern w:val="0"/>
          <w:szCs w:val="21"/>
          <w:u w:val="single"/>
        </w:rPr>
        <w:t>     </w:t>
      </w:r>
    </w:p>
    <w:p>
      <w:pPr>
        <w:widowControl/>
        <w:spacing w:line="400" w:lineRule="exact"/>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传  真：</w:t>
      </w:r>
      <w:r>
        <w:rPr>
          <w:rFonts w:hint="eastAsia" w:ascii="宋体" w:hAnsi="宋体" w:cs="宋体"/>
          <w:color w:val="000000"/>
          <w:kern w:val="0"/>
          <w:szCs w:val="21"/>
          <w:u w:val="single"/>
        </w:rPr>
        <w:t></w:t>
      </w:r>
      <w:r>
        <w:rPr>
          <w:rFonts w:hint="eastAsia" w:ascii="宋体" w:hAnsi="宋体" w:cs="Arial"/>
          <w:color w:val="000000"/>
          <w:kern w:val="0"/>
          <w:szCs w:val="21"/>
          <w:u w:val="single"/>
        </w:rPr>
        <w:t xml:space="preserve">   </w:t>
      </w:r>
      <w:r>
        <w:rPr>
          <w:rFonts w:hint="eastAsia" w:ascii="宋体" w:hAnsi="宋体" w:cs="Arial"/>
          <w:color w:val="000000"/>
          <w:kern w:val="0"/>
          <w:szCs w:val="21"/>
        </w:rPr>
        <w:t>  传  真：</w:t>
      </w:r>
      <w:r>
        <w:rPr>
          <w:rFonts w:hint="eastAsia" w:ascii="宋体" w:hAnsi="宋体" w:cs="宋体"/>
          <w:color w:val="000000"/>
          <w:kern w:val="0"/>
          <w:szCs w:val="21"/>
          <w:u w:val="single"/>
        </w:rPr>
        <w:t></w:t>
      </w:r>
      <w:r>
        <w:rPr>
          <w:rFonts w:hint="eastAsia" w:ascii="宋体" w:hAnsi="宋体" w:cs="Arial"/>
          <w:color w:val="000000"/>
          <w:kern w:val="0"/>
          <w:szCs w:val="21"/>
          <w:u w:val="single"/>
        </w:rPr>
        <w:t xml:space="preserve">  </w:t>
      </w:r>
      <w:r>
        <w:rPr>
          <w:rFonts w:hint="eastAsia" w:ascii="宋体" w:hAnsi="宋体" w:cs="宋体"/>
          <w:color w:val="000000"/>
          <w:kern w:val="0"/>
          <w:szCs w:val="21"/>
          <w:u w:val="single"/>
        </w:rPr>
        <w:t></w:t>
      </w:r>
      <w:r>
        <w:rPr>
          <w:rFonts w:hint="eastAsia" w:ascii="宋体" w:hAnsi="宋体" w:cs="Arial"/>
          <w:color w:val="000000"/>
          <w:kern w:val="0"/>
          <w:szCs w:val="21"/>
          <w:u w:val="single"/>
        </w:rPr>
        <w:t xml:space="preserve">   </w:t>
      </w:r>
    </w:p>
    <w:p>
      <w:pPr>
        <w:widowControl/>
        <w:spacing w:line="400" w:lineRule="exact"/>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电子信箱：</w:t>
      </w:r>
      <w:r>
        <w:rPr>
          <w:rFonts w:hint="eastAsia" w:ascii="宋体" w:hAnsi="宋体" w:cs="Arial"/>
          <w:color w:val="000000"/>
          <w:kern w:val="0"/>
          <w:szCs w:val="21"/>
          <w:u w:val="single"/>
        </w:rPr>
        <w:t xml:space="preserve">                 </w:t>
      </w:r>
      <w:r>
        <w:rPr>
          <w:rFonts w:hint="eastAsia" w:ascii="宋体" w:hAnsi="宋体" w:cs="Arial"/>
          <w:color w:val="000000"/>
          <w:kern w:val="0"/>
          <w:szCs w:val="21"/>
        </w:rPr>
        <w:t>  电子信箱：</w:t>
      </w:r>
      <w:r>
        <w:rPr>
          <w:rFonts w:hint="eastAsia" w:ascii="宋体" w:hAnsi="宋体" w:cs="宋体"/>
          <w:color w:val="000000"/>
          <w:kern w:val="0"/>
          <w:szCs w:val="21"/>
          <w:u w:val="single"/>
        </w:rPr>
        <w:t></w:t>
      </w:r>
      <w:r>
        <w:rPr>
          <w:rFonts w:hint="eastAsia" w:ascii="宋体" w:hAnsi="宋体" w:cs="Arial"/>
          <w:color w:val="000000"/>
          <w:kern w:val="0"/>
          <w:szCs w:val="21"/>
          <w:u w:val="single"/>
        </w:rPr>
        <w:t xml:space="preserve">   </w:t>
      </w:r>
    </w:p>
    <w:p>
      <w:pPr>
        <w:widowControl/>
        <w:spacing w:line="400" w:lineRule="exact"/>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开户银行：</w:t>
      </w:r>
      <w:r>
        <w:rPr>
          <w:rFonts w:hint="eastAsia" w:ascii="宋体" w:hAnsi="宋体" w:cs="宋体"/>
          <w:color w:val="000000"/>
          <w:kern w:val="0"/>
          <w:szCs w:val="21"/>
          <w:u w:val="single"/>
        </w:rPr>
        <w:t></w:t>
      </w:r>
      <w:r>
        <w:rPr>
          <w:rFonts w:hint="eastAsia" w:ascii="宋体" w:hAnsi="宋体" w:cs="Arial"/>
          <w:color w:val="000000"/>
          <w:kern w:val="0"/>
          <w:szCs w:val="21"/>
          <w:u w:val="single"/>
        </w:rPr>
        <w:t xml:space="preserve">   </w:t>
      </w:r>
      <w:r>
        <w:rPr>
          <w:rFonts w:hint="eastAsia" w:ascii="宋体" w:hAnsi="宋体" w:cs="Arial"/>
          <w:color w:val="000000"/>
          <w:kern w:val="0"/>
          <w:szCs w:val="21"/>
        </w:rPr>
        <w:t>  开户银行：</w:t>
      </w:r>
      <w:r>
        <w:rPr>
          <w:rFonts w:hint="eastAsia" w:ascii="宋体" w:hAnsi="宋体" w:cs="宋体"/>
          <w:color w:val="000000"/>
          <w:kern w:val="0"/>
          <w:szCs w:val="21"/>
          <w:u w:val="single"/>
        </w:rPr>
        <w:t></w:t>
      </w:r>
      <w:r>
        <w:rPr>
          <w:rFonts w:hint="eastAsia" w:ascii="宋体" w:hAnsi="宋体" w:cs="Arial"/>
          <w:color w:val="000000"/>
          <w:kern w:val="0"/>
          <w:szCs w:val="21"/>
          <w:u w:val="single"/>
        </w:rPr>
        <w:t xml:space="preserve">   </w:t>
      </w:r>
    </w:p>
    <w:p>
      <w:pPr>
        <w:widowControl/>
        <w:spacing w:line="400" w:lineRule="exact"/>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账  号：</w:t>
      </w:r>
      <w:r>
        <w:rPr>
          <w:rFonts w:hint="eastAsia" w:ascii="宋体" w:hAnsi="宋体" w:cs="宋体"/>
          <w:color w:val="000000"/>
          <w:kern w:val="0"/>
          <w:szCs w:val="21"/>
          <w:u w:val="single"/>
        </w:rPr>
        <w:t></w:t>
      </w:r>
      <w:r>
        <w:rPr>
          <w:rFonts w:hint="eastAsia" w:ascii="宋体" w:hAnsi="宋体" w:cs="Arial"/>
          <w:color w:val="000000"/>
          <w:kern w:val="0"/>
          <w:szCs w:val="21"/>
          <w:u w:val="single"/>
        </w:rPr>
        <w:t xml:space="preserve">      </w:t>
      </w:r>
      <w:r>
        <w:rPr>
          <w:rFonts w:hint="eastAsia" w:ascii="宋体" w:hAnsi="宋体" w:cs="Arial"/>
          <w:color w:val="000000"/>
          <w:kern w:val="0"/>
          <w:szCs w:val="21"/>
        </w:rPr>
        <w:t>   账  号：</w:t>
      </w:r>
      <w:r>
        <w:rPr>
          <w:rFonts w:hint="eastAsia" w:ascii="宋体" w:hAnsi="宋体" w:cs="宋体"/>
          <w:color w:val="000000"/>
          <w:kern w:val="0"/>
          <w:szCs w:val="21"/>
          <w:u w:val="single"/>
        </w:rPr>
        <w:t></w:t>
      </w:r>
      <w:r>
        <w:rPr>
          <w:rFonts w:hint="eastAsia" w:ascii="宋体" w:hAnsi="宋体" w:cs="Arial"/>
          <w:color w:val="000000"/>
          <w:kern w:val="0"/>
          <w:szCs w:val="21"/>
          <w:u w:val="single"/>
        </w:rPr>
        <w:t>     </w:t>
      </w:r>
    </w:p>
    <w:p>
      <w:pPr>
        <w:widowControl/>
        <w:spacing w:line="400" w:lineRule="exact"/>
        <w:ind w:firstLine="357" w:firstLineChars="170"/>
        <w:jc w:val="left"/>
        <w:textAlignment w:val="top"/>
        <w:rPr>
          <w:rFonts w:ascii="宋体" w:hAnsi="宋体" w:cs="Arial"/>
          <w:color w:val="000000"/>
          <w:kern w:val="0"/>
          <w:szCs w:val="21"/>
        </w:rPr>
      </w:pPr>
    </w:p>
    <w:p>
      <w:pPr>
        <w:widowControl/>
        <w:spacing w:line="400" w:lineRule="exact"/>
        <w:ind w:firstLine="357" w:firstLineChars="170"/>
        <w:jc w:val="left"/>
        <w:textAlignment w:val="top"/>
        <w:rPr>
          <w:rFonts w:ascii="宋体" w:hAnsi="宋体" w:cs="Arial"/>
          <w:color w:val="000000"/>
          <w:kern w:val="0"/>
          <w:szCs w:val="21"/>
        </w:rPr>
      </w:pPr>
    </w:p>
    <w:p>
      <w:pPr>
        <w:widowControl/>
        <w:spacing w:line="400" w:lineRule="exact"/>
        <w:ind w:firstLine="357" w:firstLineChars="170"/>
        <w:jc w:val="left"/>
        <w:textAlignment w:val="top"/>
        <w:rPr>
          <w:rFonts w:ascii="宋体" w:hAnsi="宋体" w:cs="Arial"/>
          <w:color w:val="000000"/>
          <w:kern w:val="0"/>
          <w:szCs w:val="21"/>
        </w:rPr>
      </w:pPr>
    </w:p>
    <w:p>
      <w:pPr>
        <w:widowControl/>
        <w:spacing w:line="400" w:lineRule="exact"/>
        <w:ind w:firstLine="357" w:firstLineChars="170"/>
        <w:jc w:val="left"/>
        <w:textAlignment w:val="top"/>
        <w:rPr>
          <w:rFonts w:ascii="宋体" w:hAnsi="宋体" w:cs="Arial"/>
          <w:color w:val="000000"/>
          <w:kern w:val="0"/>
          <w:szCs w:val="21"/>
        </w:rPr>
      </w:pPr>
    </w:p>
    <w:p>
      <w:pPr>
        <w:widowControl/>
        <w:spacing w:line="400" w:lineRule="exact"/>
        <w:ind w:firstLine="357" w:firstLineChars="170"/>
        <w:jc w:val="left"/>
        <w:textAlignment w:val="top"/>
        <w:rPr>
          <w:rFonts w:ascii="宋体" w:hAnsi="宋体" w:cs="Arial"/>
          <w:color w:val="000000"/>
          <w:kern w:val="0"/>
          <w:szCs w:val="21"/>
        </w:rPr>
      </w:pPr>
    </w:p>
    <w:p>
      <w:pPr>
        <w:widowControl/>
        <w:spacing w:line="400" w:lineRule="exact"/>
        <w:ind w:firstLine="357" w:firstLineChars="170"/>
        <w:jc w:val="left"/>
        <w:textAlignment w:val="top"/>
        <w:rPr>
          <w:rFonts w:ascii="宋体" w:hAnsi="宋体" w:cs="Arial"/>
          <w:color w:val="000000"/>
          <w:kern w:val="0"/>
          <w:szCs w:val="21"/>
        </w:rPr>
      </w:pPr>
    </w:p>
    <w:p>
      <w:pPr>
        <w:widowControl/>
        <w:spacing w:line="400" w:lineRule="exact"/>
        <w:ind w:firstLine="357" w:firstLineChars="170"/>
        <w:jc w:val="left"/>
        <w:textAlignment w:val="top"/>
        <w:rPr>
          <w:rFonts w:ascii="宋体" w:hAnsi="宋体" w:cs="Arial"/>
          <w:color w:val="000000"/>
          <w:kern w:val="0"/>
          <w:szCs w:val="21"/>
        </w:rPr>
      </w:pPr>
    </w:p>
    <w:p>
      <w:pPr>
        <w:widowControl/>
        <w:spacing w:line="400" w:lineRule="exact"/>
        <w:ind w:firstLine="357" w:firstLineChars="170"/>
        <w:jc w:val="left"/>
        <w:textAlignment w:val="top"/>
        <w:rPr>
          <w:rFonts w:ascii="宋体" w:hAnsi="宋体" w:cs="Arial"/>
          <w:color w:val="000000"/>
          <w:kern w:val="0"/>
          <w:szCs w:val="21"/>
        </w:rPr>
      </w:pPr>
    </w:p>
    <w:p>
      <w:pPr>
        <w:widowControl/>
        <w:spacing w:before="100" w:beforeAutospacing="1" w:after="100" w:afterAutospacing="1" w:line="216" w:lineRule="atLeast"/>
        <w:textAlignment w:val="top"/>
        <w:outlineLvl w:val="2"/>
        <w:rPr>
          <w:rFonts w:ascii="宋体" w:hAnsi="宋体" w:cs="Arial"/>
          <w:color w:val="000000"/>
          <w:kern w:val="0"/>
          <w:szCs w:val="21"/>
        </w:rPr>
      </w:pPr>
      <w:bookmarkStart w:id="486" w:name="_Toc383092332"/>
      <w:bookmarkStart w:id="487" w:name="_Toc351203494"/>
    </w:p>
    <w:p>
      <w:pPr>
        <w:widowControl/>
        <w:spacing w:line="520" w:lineRule="exact"/>
        <w:jc w:val="center"/>
        <w:outlineLvl w:val="0"/>
        <w:rPr>
          <w:rFonts w:ascii="宋体" w:hAnsi="宋体" w:cs="宋体"/>
          <w:b/>
          <w:kern w:val="0"/>
          <w:sz w:val="24"/>
        </w:rPr>
      </w:pPr>
      <w:bookmarkStart w:id="488" w:name="_Toc427828923"/>
      <w:bookmarkStart w:id="489" w:name="_Toc30473"/>
      <w:bookmarkStart w:id="490" w:name="_Toc391928538"/>
      <w:r>
        <w:rPr>
          <w:rFonts w:hint="eastAsia" w:ascii="宋体" w:hAnsi="宋体" w:cs="宋体"/>
          <w:b/>
          <w:kern w:val="0"/>
          <w:sz w:val="24"/>
        </w:rPr>
        <w:t>第二部分 通用合同条款</w:t>
      </w:r>
      <w:bookmarkEnd w:id="486"/>
      <w:bookmarkEnd w:id="487"/>
      <w:bookmarkEnd w:id="488"/>
      <w:bookmarkEnd w:id="489"/>
      <w:bookmarkEnd w:id="490"/>
      <w:bookmarkStart w:id="491" w:name="_Toc337558727"/>
      <w:bookmarkEnd w:id="491"/>
    </w:p>
    <w:p>
      <w:pPr>
        <w:widowControl/>
        <w:spacing w:line="360" w:lineRule="auto"/>
        <w:ind w:firstLine="420" w:firstLineChars="200"/>
        <w:jc w:val="left"/>
        <w:textAlignment w:val="top"/>
        <w:rPr>
          <w:rFonts w:ascii="宋体" w:hAnsi="宋体"/>
          <w:b/>
          <w:color w:val="000000"/>
          <w:szCs w:val="21"/>
        </w:rPr>
      </w:pPr>
      <w:r>
        <w:rPr>
          <w:rFonts w:hint="eastAsia" w:ascii="宋体" w:hAnsi="宋体" w:cs="Arial"/>
          <w:color w:val="000000"/>
          <w:kern w:val="0"/>
          <w:szCs w:val="21"/>
        </w:rPr>
        <w:t>通用合同条款内容请见中国建筑工业出版社出版的建设工程施工合同（示范文本）</w:t>
      </w:r>
      <w:r>
        <w:rPr>
          <w:rFonts w:hint="eastAsia" w:ascii="宋体" w:hAnsi="宋体" w:cs="宋体"/>
          <w:color w:val="000000"/>
          <w:kern w:val="0"/>
          <w:szCs w:val="21"/>
        </w:rPr>
        <w:t>（</w:t>
      </w:r>
      <w:r>
        <w:rPr>
          <w:rFonts w:hint="eastAsia" w:ascii="宋体" w:hAnsi="宋体" w:cs="Arial"/>
          <w:color w:val="000000"/>
          <w:kern w:val="0"/>
          <w:szCs w:val="21"/>
        </w:rPr>
        <w:t>GF</w:t>
      </w:r>
      <w:r>
        <w:rPr>
          <w:rFonts w:hint="eastAsia" w:ascii="宋体" w:hAnsi="宋体" w:cs="宋体"/>
          <w:color w:val="000000"/>
          <w:kern w:val="0"/>
          <w:szCs w:val="21"/>
        </w:rPr>
        <w:t>—</w:t>
      </w:r>
      <w:r>
        <w:rPr>
          <w:rFonts w:hint="eastAsia" w:ascii="宋体" w:hAnsi="宋体" w:cs="Arial"/>
          <w:color w:val="000000"/>
          <w:kern w:val="0"/>
          <w:szCs w:val="21"/>
        </w:rPr>
        <w:t>2013</w:t>
      </w:r>
      <w:r>
        <w:rPr>
          <w:rFonts w:hint="eastAsia" w:ascii="宋体" w:hAnsi="宋体" w:cs="宋体"/>
          <w:color w:val="000000"/>
          <w:kern w:val="0"/>
          <w:szCs w:val="21"/>
        </w:rPr>
        <w:t>—</w:t>
      </w:r>
      <w:r>
        <w:rPr>
          <w:rFonts w:hint="eastAsia" w:ascii="宋体" w:hAnsi="宋体" w:cs="Arial"/>
          <w:color w:val="000000"/>
          <w:kern w:val="0"/>
          <w:szCs w:val="21"/>
        </w:rPr>
        <w:t>0201</w:t>
      </w:r>
      <w:r>
        <w:rPr>
          <w:rFonts w:hint="eastAsia" w:ascii="宋体" w:hAnsi="宋体" w:cs="宋体"/>
          <w:color w:val="000000"/>
          <w:kern w:val="0"/>
          <w:szCs w:val="21"/>
        </w:rPr>
        <w:t>）</w:t>
      </w:r>
      <w:r>
        <w:rPr>
          <w:rFonts w:hint="eastAsia" w:ascii="宋体" w:hAnsi="宋体" w:cs="Arial"/>
          <w:color w:val="000000"/>
          <w:kern w:val="0"/>
          <w:szCs w:val="21"/>
        </w:rPr>
        <w:t>住房城乡建设总国家工商行政管理总局</w:t>
      </w:r>
      <w:r>
        <w:rPr>
          <w:rFonts w:hint="eastAsia" w:ascii="宋体" w:hAnsi="宋体" w:cs="宋体"/>
          <w:color w:val="000000"/>
          <w:kern w:val="0"/>
          <w:szCs w:val="21"/>
        </w:rPr>
        <w:t>。</w:t>
      </w:r>
    </w:p>
    <w:p>
      <w:pPr>
        <w:widowControl/>
        <w:spacing w:line="520" w:lineRule="exact"/>
        <w:jc w:val="center"/>
        <w:outlineLvl w:val="0"/>
        <w:rPr>
          <w:rFonts w:ascii="宋体" w:hAnsi="宋体" w:cs="宋体"/>
          <w:b/>
          <w:kern w:val="0"/>
          <w:sz w:val="24"/>
        </w:rPr>
      </w:pPr>
      <w:bookmarkStart w:id="492" w:name="_Toc391928539"/>
      <w:bookmarkStart w:id="493" w:name="_Toc8587"/>
      <w:bookmarkStart w:id="494" w:name="_Toc351203632"/>
      <w:bookmarkStart w:id="495" w:name="_Toc427828924"/>
      <w:bookmarkStart w:id="496" w:name="_Toc383092333"/>
      <w:r>
        <w:rPr>
          <w:rFonts w:hint="eastAsia" w:ascii="宋体" w:hAnsi="宋体" w:cs="宋体"/>
          <w:b/>
          <w:kern w:val="0"/>
          <w:sz w:val="24"/>
        </w:rPr>
        <w:t>第三部分 专用合同条款</w:t>
      </w:r>
      <w:bookmarkEnd w:id="492"/>
      <w:bookmarkEnd w:id="493"/>
      <w:bookmarkEnd w:id="494"/>
      <w:bookmarkEnd w:id="495"/>
      <w:bookmarkEnd w:id="496"/>
    </w:p>
    <w:p>
      <w:pPr>
        <w:widowControl/>
        <w:spacing w:line="360" w:lineRule="auto"/>
        <w:ind w:firstLine="358" w:firstLineChars="170"/>
        <w:jc w:val="left"/>
        <w:textAlignment w:val="top"/>
        <w:outlineLvl w:val="3"/>
        <w:rPr>
          <w:rFonts w:ascii="宋体" w:hAnsi="宋体" w:cs="Arial"/>
          <w:b/>
          <w:bCs/>
          <w:color w:val="000000"/>
          <w:kern w:val="0"/>
          <w:szCs w:val="21"/>
        </w:rPr>
      </w:pPr>
      <w:bookmarkStart w:id="497" w:name="_Toc351203633"/>
      <w:r>
        <w:rPr>
          <w:rFonts w:hint="eastAsia" w:ascii="宋体" w:hAnsi="宋体" w:cs="Arial"/>
          <w:b/>
          <w:bCs/>
          <w:color w:val="000000"/>
          <w:kern w:val="0"/>
          <w:szCs w:val="21"/>
        </w:rPr>
        <w:t>1</w:t>
      </w:r>
      <w:bookmarkStart w:id="498" w:name="_Toc292559866"/>
      <w:bookmarkEnd w:id="498"/>
      <w:bookmarkStart w:id="499" w:name="_Toc297120456"/>
      <w:bookmarkEnd w:id="499"/>
      <w:bookmarkStart w:id="500" w:name="_Toc296503156"/>
      <w:bookmarkEnd w:id="500"/>
      <w:bookmarkStart w:id="501" w:name="_Toc296891196"/>
      <w:bookmarkEnd w:id="501"/>
      <w:bookmarkStart w:id="502" w:name="_Toc296944495"/>
      <w:bookmarkEnd w:id="502"/>
      <w:bookmarkStart w:id="503" w:name="_Toc296890984"/>
      <w:bookmarkEnd w:id="503"/>
      <w:bookmarkStart w:id="504" w:name="_Toc297048342"/>
      <w:bookmarkEnd w:id="504"/>
      <w:bookmarkStart w:id="505" w:name="_Toc296347155"/>
      <w:bookmarkEnd w:id="505"/>
      <w:bookmarkStart w:id="506" w:name="_Toc296346657"/>
      <w:bookmarkEnd w:id="506"/>
      <w:bookmarkStart w:id="507" w:name="_Toc292559361"/>
      <w:bookmarkEnd w:id="497"/>
      <w:r>
        <w:rPr>
          <w:rFonts w:hint="eastAsia" w:ascii="宋体" w:hAnsi="宋体" w:cs="Arial"/>
          <w:b/>
          <w:bCs/>
          <w:color w:val="000000"/>
          <w:kern w:val="0"/>
          <w:szCs w:val="21"/>
        </w:rPr>
        <w:t xml:space="preserve">. </w:t>
      </w:r>
      <w:bookmarkEnd w:id="507"/>
      <w:r>
        <w:rPr>
          <w:rFonts w:hint="eastAsia" w:ascii="宋体" w:hAnsi="宋体" w:cs="Arial"/>
          <w:b/>
          <w:bCs/>
          <w:color w:val="000000"/>
          <w:kern w:val="0"/>
          <w:szCs w:val="21"/>
        </w:rPr>
        <w:t>一般约定</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1.1 词语定义</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1.1.1合同</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1.1.1.10其他合同文件包括：</w:t>
      </w:r>
      <w:r>
        <w:rPr>
          <w:rFonts w:hint="eastAsia" w:ascii="宋体" w:hAnsi="宋体" w:cs="PMingLiU"/>
          <w:color w:val="000000"/>
          <w:kern w:val="0"/>
          <w:szCs w:val="21"/>
          <w:u w:val="single"/>
        </w:rPr>
        <w:t xml:space="preserve">                         </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1.1.2 合同当事人及其他相关方</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1.1.2.4监理人：</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名    称：</w:t>
      </w:r>
      <w:r>
        <w:rPr>
          <w:rFonts w:hint="eastAsia" w:ascii="宋体" w:hAnsi="宋体" w:cs="PMingLiU"/>
          <w:color w:val="000000"/>
          <w:kern w:val="0"/>
          <w:szCs w:val="21"/>
          <w:u w:val="single"/>
        </w:rPr>
        <w:t></w:t>
      </w:r>
      <w:r>
        <w:rPr>
          <w:rFonts w:hint="eastAsia" w:ascii="宋体" w:hAnsi="宋体" w:cs="Arial"/>
          <w:color w:val="000000"/>
          <w:kern w:val="0"/>
          <w:szCs w:val="21"/>
          <w:u w:val="single"/>
        </w:rPr>
        <w:t xml:space="preserve">           </w:t>
      </w:r>
      <w:r>
        <w:rPr>
          <w:rFonts w:hint="eastAsia" w:ascii="宋体" w:hAnsi="宋体" w:cs="PMingLiU"/>
          <w:color w:val="000000"/>
          <w:kern w:val="0"/>
          <w:szCs w:val="21"/>
          <w:u w:val="single"/>
        </w:rPr>
        <w:t></w:t>
      </w:r>
      <w:r>
        <w:rPr>
          <w:rFonts w:hint="eastAsia" w:ascii="宋体" w:hAnsi="宋体" w:cs="Arial"/>
          <w:color w:val="000000"/>
          <w:kern w:val="0"/>
          <w:szCs w:val="21"/>
          <w:u w:val="single"/>
        </w:rPr>
        <w:t xml:space="preserve">  </w:t>
      </w:r>
      <w:r>
        <w:rPr>
          <w:rFonts w:hint="eastAsia" w:ascii="宋体" w:hAnsi="宋体" w:cs="PMingLiU"/>
          <w:color w:val="000000"/>
          <w:kern w:val="0"/>
          <w:szCs w:val="21"/>
          <w:u w:val="single"/>
        </w:rPr>
        <w:t></w:t>
      </w:r>
      <w:r>
        <w:rPr>
          <w:rFonts w:hint="eastAsia" w:ascii="宋体" w:hAnsi="宋体" w:cs="Arial"/>
          <w:color w:val="000000"/>
          <w:kern w:val="0"/>
          <w:szCs w:val="21"/>
          <w:u w:val="single"/>
        </w:rPr>
        <w:t xml:space="preserve">   </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资质类别和等级：</w:t>
      </w:r>
      <w:r>
        <w:rPr>
          <w:rFonts w:hint="eastAsia" w:ascii="宋体" w:hAnsi="宋体" w:cs="PMingLiU"/>
          <w:color w:val="000000"/>
          <w:kern w:val="0"/>
          <w:szCs w:val="21"/>
          <w:u w:val="single"/>
        </w:rPr>
        <w:t></w:t>
      </w:r>
      <w:r>
        <w:rPr>
          <w:rFonts w:hint="eastAsia" w:ascii="宋体" w:hAnsi="宋体" w:cs="Arial"/>
          <w:color w:val="000000"/>
          <w:kern w:val="0"/>
          <w:szCs w:val="21"/>
          <w:u w:val="single"/>
        </w:rPr>
        <w:t xml:space="preserve">            </w:t>
      </w:r>
      <w:r>
        <w:rPr>
          <w:rFonts w:hint="eastAsia" w:ascii="宋体" w:hAnsi="宋体" w:cs="PMingLiU"/>
          <w:color w:val="000000"/>
          <w:kern w:val="0"/>
          <w:szCs w:val="21"/>
          <w:u w:val="single"/>
        </w:rPr>
        <w:t></w:t>
      </w:r>
      <w:r>
        <w:rPr>
          <w:rFonts w:hint="eastAsia" w:ascii="宋体" w:hAnsi="宋体" w:cs="Arial"/>
          <w:color w:val="000000"/>
          <w:kern w:val="0"/>
          <w:szCs w:val="21"/>
          <w:u w:val="single"/>
        </w:rPr>
        <w:t xml:space="preserve">  </w:t>
      </w:r>
      <w:r>
        <w:rPr>
          <w:rFonts w:hint="eastAsia" w:ascii="宋体" w:hAnsi="宋体" w:cs="PMingLiU"/>
          <w:color w:val="000000"/>
          <w:kern w:val="0"/>
          <w:szCs w:val="21"/>
          <w:u w:val="single"/>
        </w:rPr>
        <w:t></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联系电话：</w:t>
      </w:r>
      <w:r>
        <w:rPr>
          <w:rFonts w:hint="eastAsia" w:ascii="宋体" w:hAnsi="宋体" w:cs="PMingLiU"/>
          <w:color w:val="000000"/>
          <w:kern w:val="0"/>
          <w:szCs w:val="21"/>
          <w:u w:val="single"/>
        </w:rPr>
        <w:t></w:t>
      </w:r>
      <w:r>
        <w:rPr>
          <w:rFonts w:hint="eastAsia" w:ascii="宋体" w:hAnsi="宋体" w:cs="Arial"/>
          <w:color w:val="000000"/>
          <w:kern w:val="0"/>
          <w:szCs w:val="21"/>
          <w:u w:val="single"/>
        </w:rPr>
        <w:t xml:space="preserve">    </w:t>
      </w:r>
      <w:r>
        <w:rPr>
          <w:rFonts w:hint="eastAsia" w:ascii="宋体" w:hAnsi="宋体" w:cs="PMingLiU"/>
          <w:color w:val="000000"/>
          <w:kern w:val="0"/>
          <w:szCs w:val="21"/>
          <w:u w:val="single"/>
        </w:rPr>
        <w:t></w:t>
      </w:r>
      <w:r>
        <w:rPr>
          <w:rFonts w:hint="eastAsia" w:ascii="宋体" w:hAnsi="宋体" w:cs="Arial"/>
          <w:color w:val="000000"/>
          <w:kern w:val="0"/>
          <w:szCs w:val="21"/>
          <w:u w:val="single"/>
        </w:rPr>
        <w:t xml:space="preserve">            </w:t>
      </w:r>
      <w:r>
        <w:rPr>
          <w:rFonts w:hint="eastAsia" w:ascii="宋体" w:hAnsi="宋体" w:cs="PMingLiU"/>
          <w:color w:val="000000"/>
          <w:kern w:val="0"/>
          <w:szCs w:val="21"/>
          <w:u w:val="single"/>
        </w:rPr>
        <w:t></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电子信箱：</w:t>
      </w:r>
      <w:r>
        <w:rPr>
          <w:rFonts w:hint="eastAsia" w:ascii="宋体" w:hAnsi="宋体" w:cs="PMingLiU"/>
          <w:color w:val="000000"/>
          <w:kern w:val="0"/>
          <w:szCs w:val="21"/>
          <w:u w:val="single"/>
        </w:rPr>
        <w:t></w:t>
      </w:r>
      <w:r>
        <w:rPr>
          <w:rFonts w:hint="eastAsia" w:ascii="宋体" w:hAnsi="宋体" w:cs="Arial"/>
          <w:color w:val="000000"/>
          <w:kern w:val="0"/>
          <w:szCs w:val="21"/>
          <w:u w:val="single"/>
        </w:rPr>
        <w:t>                </w:t>
      </w:r>
      <w:r>
        <w:rPr>
          <w:rFonts w:hint="eastAsia" w:ascii="宋体" w:hAnsi="宋体" w:cs="PMingLiU"/>
          <w:color w:val="000000"/>
          <w:kern w:val="0"/>
          <w:szCs w:val="21"/>
          <w:u w:val="single"/>
        </w:rPr>
        <w:t></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通信地址：</w:t>
      </w:r>
      <w:r>
        <w:rPr>
          <w:rFonts w:hint="eastAsia" w:ascii="宋体" w:hAnsi="宋体" w:cs="PMingLiU"/>
          <w:color w:val="000000"/>
          <w:kern w:val="0"/>
          <w:szCs w:val="21"/>
          <w:u w:val="single"/>
        </w:rPr>
        <w:t></w:t>
      </w:r>
      <w:r>
        <w:rPr>
          <w:rFonts w:hint="eastAsia" w:ascii="宋体" w:hAnsi="宋体" w:cs="Arial"/>
          <w:color w:val="000000"/>
          <w:kern w:val="0"/>
          <w:szCs w:val="21"/>
          <w:u w:val="single"/>
        </w:rPr>
        <w:t xml:space="preserve">    </w:t>
      </w:r>
      <w:r>
        <w:rPr>
          <w:rFonts w:hint="eastAsia" w:ascii="宋体" w:hAnsi="宋体" w:cs="PMingLiU"/>
          <w:color w:val="000000"/>
          <w:kern w:val="0"/>
          <w:szCs w:val="21"/>
          <w:u w:val="single"/>
        </w:rPr>
        <w:t></w:t>
      </w:r>
      <w:r>
        <w:rPr>
          <w:rFonts w:hint="eastAsia" w:ascii="宋体" w:hAnsi="宋体" w:cs="Arial"/>
          <w:color w:val="000000"/>
          <w:kern w:val="0"/>
          <w:szCs w:val="21"/>
          <w:u w:val="single"/>
        </w:rPr>
        <w:t xml:space="preserve">            </w:t>
      </w:r>
      <w:r>
        <w:rPr>
          <w:rFonts w:hint="eastAsia" w:ascii="宋体" w:hAnsi="宋体" w:cs="PMingLiU"/>
          <w:color w:val="000000"/>
          <w:kern w:val="0"/>
          <w:szCs w:val="21"/>
          <w:u w:val="single"/>
        </w:rPr>
        <w:t></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1.1.2.5 设计人：</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名    称：</w:t>
      </w:r>
      <w:r>
        <w:rPr>
          <w:rFonts w:hint="eastAsia" w:ascii="宋体" w:hAnsi="宋体" w:cs="PMingLiU"/>
          <w:color w:val="000000"/>
          <w:kern w:val="0"/>
          <w:szCs w:val="21"/>
          <w:u w:val="single"/>
        </w:rPr>
        <w:t></w:t>
      </w:r>
      <w:r>
        <w:rPr>
          <w:rFonts w:hint="eastAsia" w:ascii="宋体" w:hAnsi="宋体" w:cs="Arial"/>
          <w:color w:val="000000"/>
          <w:kern w:val="0"/>
          <w:szCs w:val="21"/>
          <w:u w:val="single"/>
        </w:rPr>
        <w:t>             </w:t>
      </w:r>
      <w:r>
        <w:rPr>
          <w:rFonts w:hint="eastAsia" w:ascii="宋体" w:hAnsi="宋体" w:cs="PMingLiU"/>
          <w:color w:val="000000"/>
          <w:kern w:val="0"/>
          <w:szCs w:val="21"/>
          <w:u w:val="single"/>
        </w:rPr>
        <w:t></w:t>
      </w:r>
      <w:r>
        <w:rPr>
          <w:rFonts w:hint="eastAsia" w:ascii="宋体" w:hAnsi="宋体" w:cs="Arial"/>
          <w:color w:val="000000"/>
          <w:kern w:val="0"/>
          <w:szCs w:val="21"/>
          <w:u w:val="single"/>
        </w:rPr>
        <w:t xml:space="preserve">   </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资质类别和等级：</w:t>
      </w:r>
      <w:r>
        <w:rPr>
          <w:rFonts w:hint="eastAsia" w:ascii="宋体" w:hAnsi="宋体" w:cs="PMingLiU"/>
          <w:color w:val="000000"/>
          <w:kern w:val="0"/>
          <w:szCs w:val="21"/>
          <w:u w:val="single"/>
        </w:rPr>
        <w:t></w:t>
      </w:r>
      <w:r>
        <w:rPr>
          <w:rFonts w:hint="eastAsia" w:ascii="宋体" w:hAnsi="宋体" w:cs="Arial"/>
          <w:color w:val="000000"/>
          <w:kern w:val="0"/>
          <w:szCs w:val="21"/>
          <w:u w:val="single"/>
        </w:rPr>
        <w:t xml:space="preserve">            </w:t>
      </w:r>
      <w:r>
        <w:rPr>
          <w:rFonts w:hint="eastAsia" w:ascii="宋体" w:hAnsi="宋体" w:cs="PMingLiU"/>
          <w:color w:val="000000"/>
          <w:kern w:val="0"/>
          <w:szCs w:val="21"/>
          <w:u w:val="single"/>
        </w:rPr>
        <w:t></w:t>
      </w:r>
      <w:r>
        <w:rPr>
          <w:rFonts w:hint="eastAsia" w:ascii="宋体" w:hAnsi="宋体" w:cs="Arial"/>
          <w:color w:val="000000"/>
          <w:kern w:val="0"/>
          <w:szCs w:val="21"/>
          <w:u w:val="single"/>
        </w:rPr>
        <w:t xml:space="preserve">  </w:t>
      </w:r>
      <w:r>
        <w:rPr>
          <w:rFonts w:hint="eastAsia" w:ascii="宋体" w:hAnsi="宋体" w:cs="PMingLiU"/>
          <w:color w:val="000000"/>
          <w:kern w:val="0"/>
          <w:szCs w:val="21"/>
          <w:u w:val="single"/>
        </w:rPr>
        <w:t></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联系电话：</w:t>
      </w:r>
      <w:r>
        <w:rPr>
          <w:rFonts w:hint="eastAsia" w:ascii="宋体" w:hAnsi="宋体" w:cs="PMingLiU"/>
          <w:color w:val="000000"/>
          <w:kern w:val="0"/>
          <w:szCs w:val="21"/>
          <w:u w:val="single"/>
        </w:rPr>
        <w:t></w:t>
      </w:r>
      <w:r>
        <w:rPr>
          <w:rFonts w:hint="eastAsia" w:ascii="宋体" w:hAnsi="宋体" w:cs="Arial"/>
          <w:color w:val="000000"/>
          <w:kern w:val="0"/>
          <w:szCs w:val="21"/>
          <w:u w:val="single"/>
        </w:rPr>
        <w:t xml:space="preserve">    </w:t>
      </w:r>
      <w:r>
        <w:rPr>
          <w:rFonts w:hint="eastAsia" w:ascii="宋体" w:hAnsi="宋体" w:cs="PMingLiU"/>
          <w:color w:val="000000"/>
          <w:kern w:val="0"/>
          <w:szCs w:val="21"/>
          <w:u w:val="single"/>
        </w:rPr>
        <w:t></w:t>
      </w:r>
      <w:r>
        <w:rPr>
          <w:rFonts w:hint="eastAsia" w:ascii="宋体" w:hAnsi="宋体" w:cs="Arial"/>
          <w:color w:val="000000"/>
          <w:kern w:val="0"/>
          <w:szCs w:val="21"/>
          <w:u w:val="single"/>
        </w:rPr>
        <w:t xml:space="preserve">            </w:t>
      </w:r>
      <w:r>
        <w:rPr>
          <w:rFonts w:hint="eastAsia" w:ascii="宋体" w:hAnsi="宋体" w:cs="PMingLiU"/>
          <w:color w:val="000000"/>
          <w:kern w:val="0"/>
          <w:szCs w:val="21"/>
          <w:u w:val="single"/>
        </w:rPr>
        <w:t></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电子信箱：</w:t>
      </w:r>
      <w:r>
        <w:rPr>
          <w:rFonts w:hint="eastAsia" w:ascii="宋体" w:hAnsi="宋体" w:cs="PMingLiU"/>
          <w:color w:val="000000"/>
          <w:kern w:val="0"/>
          <w:szCs w:val="21"/>
          <w:u w:val="single"/>
        </w:rPr>
        <w:t></w:t>
      </w:r>
      <w:r>
        <w:rPr>
          <w:rFonts w:hint="eastAsia" w:ascii="宋体" w:hAnsi="宋体" w:cs="Arial"/>
          <w:color w:val="000000"/>
          <w:kern w:val="0"/>
          <w:szCs w:val="21"/>
          <w:u w:val="single"/>
        </w:rPr>
        <w:t xml:space="preserve">    </w:t>
      </w:r>
      <w:r>
        <w:rPr>
          <w:rFonts w:hint="eastAsia" w:ascii="宋体" w:hAnsi="宋体" w:cs="PMingLiU"/>
          <w:color w:val="000000"/>
          <w:kern w:val="0"/>
          <w:szCs w:val="21"/>
          <w:u w:val="single"/>
        </w:rPr>
        <w:t></w:t>
      </w:r>
      <w:r>
        <w:rPr>
          <w:rFonts w:hint="eastAsia" w:ascii="宋体" w:hAnsi="宋体" w:cs="Arial"/>
          <w:color w:val="000000"/>
          <w:kern w:val="0"/>
          <w:szCs w:val="21"/>
          <w:u w:val="single"/>
        </w:rPr>
        <w:t xml:space="preserve">              </w:t>
      </w:r>
      <w:r>
        <w:rPr>
          <w:rFonts w:hint="eastAsia" w:ascii="宋体" w:hAnsi="宋体" w:cs="PMingLiU"/>
          <w:color w:val="000000"/>
          <w:kern w:val="0"/>
          <w:szCs w:val="21"/>
          <w:u w:val="single"/>
        </w:rPr>
        <w:t></w:t>
      </w:r>
      <w:r>
        <w:rPr>
          <w:rFonts w:hint="eastAsia" w:ascii="宋体" w:hAnsi="宋体" w:cs="Arial"/>
          <w:color w:val="000000"/>
          <w:kern w:val="0"/>
          <w:szCs w:val="21"/>
          <w:u w:val="single"/>
        </w:rPr>
        <w:t xml:space="preserve">  </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通信地址：</w:t>
      </w:r>
      <w:r>
        <w:rPr>
          <w:rFonts w:hint="eastAsia" w:ascii="宋体" w:hAnsi="宋体" w:cs="PMingLiU"/>
          <w:color w:val="000000"/>
          <w:kern w:val="0"/>
          <w:szCs w:val="21"/>
          <w:u w:val="single"/>
        </w:rPr>
        <w:t></w:t>
      </w:r>
      <w:r>
        <w:rPr>
          <w:rFonts w:hint="eastAsia" w:ascii="宋体" w:hAnsi="宋体" w:cs="Arial"/>
          <w:color w:val="000000"/>
          <w:kern w:val="0"/>
          <w:szCs w:val="21"/>
          <w:u w:val="single"/>
        </w:rPr>
        <w:t xml:space="preserve">    </w:t>
      </w:r>
      <w:r>
        <w:rPr>
          <w:rFonts w:hint="eastAsia" w:ascii="宋体" w:hAnsi="宋体" w:cs="PMingLiU"/>
          <w:color w:val="000000"/>
          <w:kern w:val="0"/>
          <w:szCs w:val="21"/>
          <w:u w:val="single"/>
        </w:rPr>
        <w:t></w:t>
      </w:r>
      <w:r>
        <w:rPr>
          <w:rFonts w:hint="eastAsia" w:ascii="宋体" w:hAnsi="宋体" w:cs="Arial"/>
          <w:color w:val="000000"/>
          <w:kern w:val="0"/>
          <w:szCs w:val="21"/>
          <w:u w:val="single"/>
        </w:rPr>
        <w:t xml:space="preserve">            </w:t>
      </w:r>
      <w:r>
        <w:rPr>
          <w:rFonts w:hint="eastAsia" w:ascii="宋体" w:hAnsi="宋体" w:cs="PMingLiU"/>
          <w:color w:val="000000"/>
          <w:kern w:val="0"/>
          <w:szCs w:val="21"/>
          <w:u w:val="single"/>
        </w:rPr>
        <w:t></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1.1.3 工程和设备</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1.1.3.7 作为施工现场组成部分的其他场所包括：</w:t>
      </w:r>
      <w:r>
        <w:rPr>
          <w:rFonts w:hint="eastAsia" w:ascii="宋体" w:hAnsi="宋体" w:cs="Arial"/>
          <w:color w:val="000000"/>
          <w:kern w:val="0"/>
          <w:szCs w:val="21"/>
          <w:u w:val="single"/>
        </w:rPr>
        <w:t>            </w:t>
      </w:r>
      <w:r>
        <w:rPr>
          <w:rFonts w:hint="eastAsia" w:ascii="宋体" w:hAnsi="宋体" w:cs="PMingLiU"/>
          <w:color w:val="000000"/>
          <w:kern w:val="0"/>
          <w:szCs w:val="21"/>
          <w:u w:val="single"/>
        </w:rPr>
        <w:t></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1.1.3.9 永久占地包括：</w:t>
      </w:r>
      <w:r>
        <w:rPr>
          <w:rFonts w:hint="eastAsia" w:ascii="宋体" w:hAnsi="宋体" w:cs="Arial"/>
          <w:color w:val="000000"/>
          <w:kern w:val="0"/>
          <w:szCs w:val="21"/>
          <w:u w:val="single"/>
        </w:rPr>
        <w:t xml:space="preserve">           </w:t>
      </w:r>
      <w:r>
        <w:rPr>
          <w:rFonts w:hint="eastAsia" w:ascii="宋体" w:hAnsi="宋体" w:cs="PMingLiU"/>
          <w:color w:val="000000"/>
          <w:kern w:val="0"/>
          <w:szCs w:val="21"/>
          <w:u w:val="single"/>
        </w:rPr>
        <w:t></w:t>
      </w:r>
      <w:r>
        <w:rPr>
          <w:rFonts w:hint="eastAsia" w:ascii="宋体" w:hAnsi="宋体" w:cs="Arial"/>
          <w:color w:val="000000"/>
          <w:kern w:val="0"/>
          <w:szCs w:val="21"/>
          <w:u w:val="single"/>
        </w:rPr>
        <w:t>        </w:t>
      </w:r>
      <w:r>
        <w:rPr>
          <w:rFonts w:hint="eastAsia" w:ascii="宋体" w:hAnsi="宋体" w:cs="PMingLiU"/>
          <w:color w:val="000000"/>
          <w:kern w:val="0"/>
          <w:szCs w:val="21"/>
          <w:u w:val="single"/>
        </w:rPr>
        <w:t></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1.1.3.10 临时占地包括：</w:t>
      </w:r>
      <w:r>
        <w:rPr>
          <w:rFonts w:hint="eastAsia" w:ascii="宋体" w:hAnsi="宋体" w:cs="Arial"/>
          <w:color w:val="000000"/>
          <w:kern w:val="0"/>
          <w:szCs w:val="21"/>
          <w:u w:val="single"/>
        </w:rPr>
        <w:t xml:space="preserve">           </w:t>
      </w:r>
      <w:r>
        <w:rPr>
          <w:rFonts w:hint="eastAsia" w:ascii="宋体" w:hAnsi="宋体" w:cs="PMingLiU"/>
          <w:color w:val="000000"/>
          <w:kern w:val="0"/>
          <w:szCs w:val="21"/>
          <w:u w:val="single"/>
        </w:rPr>
        <w:t></w:t>
      </w:r>
      <w:r>
        <w:rPr>
          <w:rFonts w:hint="eastAsia" w:ascii="宋体" w:hAnsi="宋体" w:cs="Arial"/>
          <w:color w:val="000000"/>
          <w:kern w:val="0"/>
          <w:szCs w:val="21"/>
          <w:u w:val="single"/>
        </w:rPr>
        <w:t>      </w:t>
      </w:r>
      <w:r>
        <w:rPr>
          <w:rFonts w:hint="eastAsia" w:ascii="宋体" w:hAnsi="宋体" w:cs="PMingLiU"/>
          <w:color w:val="000000"/>
          <w:kern w:val="0"/>
          <w:szCs w:val="21"/>
          <w:u w:val="single"/>
        </w:rPr>
        <w:t></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 xml:space="preserve">1.3法律 </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适用于合同的其他规范性文件：</w:t>
      </w:r>
      <w:r>
        <w:rPr>
          <w:rFonts w:hint="eastAsia" w:ascii="宋体" w:hAnsi="宋体" w:cs="PMingLiU"/>
          <w:color w:val="000000"/>
          <w:kern w:val="0"/>
          <w:szCs w:val="21"/>
          <w:u w:val="single"/>
        </w:rPr>
        <w:t></w:t>
      </w:r>
      <w:r>
        <w:rPr>
          <w:rFonts w:hint="eastAsia" w:ascii="宋体" w:hAnsi="宋体" w:cs="Arial"/>
          <w:color w:val="000000"/>
          <w:kern w:val="0"/>
          <w:szCs w:val="21"/>
          <w:u w:val="single"/>
        </w:rPr>
        <w:t xml:space="preserve">    </w:t>
      </w:r>
      <w:r>
        <w:rPr>
          <w:rFonts w:hint="eastAsia" w:ascii="宋体" w:hAnsi="宋体" w:cs="PMingLiU"/>
          <w:color w:val="000000"/>
          <w:kern w:val="0"/>
          <w:szCs w:val="21"/>
          <w:u w:val="single"/>
        </w:rPr>
        <w:t></w:t>
      </w:r>
      <w:r>
        <w:rPr>
          <w:rFonts w:hint="eastAsia" w:ascii="宋体" w:hAnsi="宋体" w:cs="Arial"/>
          <w:color w:val="000000"/>
          <w:kern w:val="0"/>
          <w:szCs w:val="21"/>
          <w:u w:val="single"/>
        </w:rPr>
        <w:t>    </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1.4 标准和规范</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1.4.1适用于工程的标准规范包括：</w:t>
      </w:r>
      <w:r>
        <w:rPr>
          <w:rFonts w:hint="eastAsia" w:ascii="宋体" w:hAnsi="宋体" w:cs="PMingLiU"/>
          <w:color w:val="000000"/>
          <w:kern w:val="0"/>
          <w:szCs w:val="21"/>
          <w:u w:val="single"/>
        </w:rPr>
        <w:t></w:t>
      </w:r>
      <w:r>
        <w:rPr>
          <w:rFonts w:hint="eastAsia" w:ascii="宋体" w:hAnsi="宋体" w:cs="Arial"/>
          <w:color w:val="000000"/>
          <w:kern w:val="0"/>
          <w:szCs w:val="21"/>
          <w:u w:val="single"/>
        </w:rPr>
        <w:t>    </w:t>
      </w:r>
      <w:r>
        <w:rPr>
          <w:rFonts w:hint="eastAsia" w:ascii="宋体" w:hAnsi="宋体" w:cs="PMingLiU"/>
          <w:color w:val="000000"/>
          <w:kern w:val="0"/>
          <w:szCs w:val="21"/>
          <w:u w:val="single"/>
        </w:rPr>
        <w:t></w:t>
      </w:r>
      <w:r>
        <w:rPr>
          <w:rFonts w:hint="eastAsia" w:ascii="宋体" w:hAnsi="宋体" w:cs="Arial"/>
          <w:color w:val="000000"/>
          <w:kern w:val="0"/>
          <w:szCs w:val="21"/>
          <w:u w:val="single"/>
        </w:rPr>
        <w:t xml:space="preserve">   </w:t>
      </w:r>
      <w:r>
        <w:rPr>
          <w:rFonts w:hint="eastAsia" w:ascii="宋体" w:hAnsi="宋体" w:cs="PMingLiU"/>
          <w:color w:val="000000"/>
          <w:kern w:val="0"/>
          <w:szCs w:val="21"/>
          <w:u w:val="single"/>
        </w:rPr>
        <w:t></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u w:val="single"/>
        </w:rPr>
      </w:pPr>
      <w:r>
        <w:rPr>
          <w:rFonts w:hint="eastAsia" w:ascii="宋体" w:hAnsi="宋体" w:cs="Arial"/>
          <w:color w:val="000000"/>
          <w:kern w:val="0"/>
          <w:szCs w:val="21"/>
        </w:rPr>
        <w:t>1.4.2 发包人提供国外标准、规范的名称：</w:t>
      </w:r>
      <w:r>
        <w:rPr>
          <w:rFonts w:hint="eastAsia" w:ascii="宋体" w:hAnsi="宋体" w:cs="Arial"/>
          <w:color w:val="000000"/>
          <w:kern w:val="0"/>
          <w:szCs w:val="21"/>
          <w:u w:val="single"/>
        </w:rPr>
        <w:t xml:space="preserve">                              ；</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发包人提供国外标准、规范的份数：</w:t>
      </w:r>
      <w:r>
        <w:rPr>
          <w:rFonts w:hint="eastAsia" w:ascii="宋体" w:hAnsi="宋体" w:cs="Arial"/>
          <w:color w:val="000000"/>
          <w:kern w:val="0"/>
          <w:szCs w:val="21"/>
          <w:u w:val="single"/>
        </w:rPr>
        <w:t>                      </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发包人提供国外标准、规范的名称：</w:t>
      </w:r>
      <w:r>
        <w:rPr>
          <w:rFonts w:hint="eastAsia" w:ascii="宋体" w:hAnsi="宋体" w:cs="Arial"/>
          <w:color w:val="000000"/>
          <w:kern w:val="0"/>
          <w:szCs w:val="21"/>
          <w:u w:val="single"/>
        </w:rPr>
        <w:t>                      </w:t>
      </w:r>
      <w:r>
        <w:rPr>
          <w:rFonts w:hint="eastAsia" w:ascii="宋体" w:hAnsi="宋体" w:cs="Arial"/>
          <w:color w:val="000000"/>
          <w:kern w:val="0"/>
          <w:szCs w:val="21"/>
        </w:rPr>
        <w:t>。</w:t>
      </w:r>
    </w:p>
    <w:p>
      <w:pPr>
        <w:widowControl/>
        <w:spacing w:line="360" w:lineRule="auto"/>
        <w:ind w:left="210" w:leftChars="100" w:firstLine="147" w:firstLineChars="70"/>
        <w:jc w:val="left"/>
        <w:textAlignment w:val="top"/>
        <w:rPr>
          <w:rFonts w:ascii="宋体" w:hAnsi="宋体" w:cs="Arial"/>
          <w:color w:val="000000"/>
          <w:kern w:val="0"/>
          <w:szCs w:val="21"/>
        </w:rPr>
      </w:pPr>
      <w:r>
        <w:rPr>
          <w:rFonts w:hint="eastAsia" w:ascii="宋体" w:hAnsi="宋体" w:cs="Arial"/>
          <w:color w:val="000000"/>
          <w:kern w:val="0"/>
          <w:szCs w:val="21"/>
        </w:rPr>
        <w:t>1.4.3发包人对工程的技术标准和功能要求的特殊要求：</w:t>
      </w:r>
      <w:r>
        <w:rPr>
          <w:rFonts w:hint="eastAsia" w:ascii="宋体" w:hAnsi="宋体" w:cs="PMingLiU"/>
          <w:color w:val="000000"/>
          <w:kern w:val="0"/>
          <w:szCs w:val="21"/>
          <w:u w:val="single"/>
        </w:rPr>
        <w:t>                      。</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1.5 合同文件的优先顺序</w:t>
      </w:r>
    </w:p>
    <w:p>
      <w:pPr>
        <w:widowControl/>
        <w:spacing w:line="360" w:lineRule="auto"/>
        <w:ind w:firstLine="357" w:firstLineChars="170"/>
        <w:jc w:val="left"/>
        <w:textAlignment w:val="top"/>
        <w:rPr>
          <w:rFonts w:ascii="宋体" w:hAnsi="宋体" w:cs="PMingLiU"/>
          <w:color w:val="000000"/>
          <w:kern w:val="0"/>
          <w:szCs w:val="21"/>
          <w:u w:val="single"/>
        </w:rPr>
      </w:pPr>
      <w:r>
        <w:rPr>
          <w:rFonts w:hint="eastAsia" w:ascii="宋体" w:hAnsi="宋体" w:cs="Arial"/>
          <w:color w:val="000000"/>
          <w:kern w:val="0"/>
          <w:szCs w:val="21"/>
        </w:rPr>
        <w:t>合同文件组成及优先顺序为：</w:t>
      </w:r>
      <w:r>
        <w:rPr>
          <w:rFonts w:hint="eastAsia" w:ascii="宋体" w:hAnsi="宋体" w:cs="PMingLiU"/>
          <w:color w:val="000000"/>
          <w:kern w:val="0"/>
          <w:szCs w:val="21"/>
          <w:u w:val="single"/>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 xml:space="preserve"> 1.6 图纸和承包人文件   </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1.6.1 图纸的提供</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发包人向承包人提供图纸的期限：</w:t>
      </w:r>
      <w:r>
        <w:rPr>
          <w:rFonts w:hint="eastAsia" w:ascii="宋体" w:hAnsi="宋体" w:cs="PMingLiU"/>
          <w:color w:val="000000"/>
          <w:kern w:val="0"/>
          <w:szCs w:val="21"/>
          <w:u w:val="single"/>
        </w:rPr>
        <w:t></w:t>
      </w:r>
      <w:r>
        <w:rPr>
          <w:rFonts w:hint="eastAsia" w:ascii="宋体" w:hAnsi="宋体" w:cs="Arial"/>
          <w:color w:val="000000"/>
          <w:kern w:val="0"/>
          <w:szCs w:val="21"/>
          <w:u w:val="single"/>
        </w:rPr>
        <w:t xml:space="preserve">    </w:t>
      </w:r>
      <w:r>
        <w:rPr>
          <w:rFonts w:hint="eastAsia" w:ascii="宋体" w:hAnsi="宋体" w:cs="PMingLiU"/>
          <w:color w:val="000000"/>
          <w:kern w:val="0"/>
          <w:szCs w:val="21"/>
          <w:u w:val="single"/>
        </w:rPr>
        <w:t></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发包人向承包人提供图纸的数量：</w:t>
      </w:r>
      <w:r>
        <w:rPr>
          <w:rFonts w:hint="eastAsia" w:ascii="宋体" w:hAnsi="宋体" w:cs="PMingLiU"/>
          <w:color w:val="000000"/>
          <w:kern w:val="0"/>
          <w:szCs w:val="21"/>
          <w:u w:val="single"/>
        </w:rPr>
        <w:t></w:t>
      </w:r>
      <w:r>
        <w:rPr>
          <w:rFonts w:hint="eastAsia" w:ascii="宋体" w:hAnsi="宋体" w:cs="Arial"/>
          <w:color w:val="000000"/>
          <w:kern w:val="0"/>
          <w:szCs w:val="21"/>
          <w:u w:val="single"/>
        </w:rPr>
        <w:t xml:space="preserve">    </w:t>
      </w:r>
      <w:r>
        <w:rPr>
          <w:rFonts w:hint="eastAsia" w:ascii="宋体" w:hAnsi="宋体" w:cs="PMingLiU"/>
          <w:color w:val="000000"/>
          <w:kern w:val="0"/>
          <w:szCs w:val="21"/>
          <w:u w:val="single"/>
        </w:rPr>
        <w:t></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发包人向承包人提供图纸的内容：</w:t>
      </w:r>
      <w:r>
        <w:rPr>
          <w:rFonts w:hint="eastAsia" w:ascii="宋体" w:hAnsi="宋体" w:cs="PMingLiU"/>
          <w:color w:val="000000"/>
          <w:kern w:val="0"/>
          <w:szCs w:val="21"/>
          <w:u w:val="single"/>
        </w:rPr>
        <w:t></w:t>
      </w:r>
      <w:r>
        <w:rPr>
          <w:rFonts w:hint="eastAsia" w:ascii="宋体" w:hAnsi="宋体" w:cs="Arial"/>
          <w:color w:val="000000"/>
          <w:kern w:val="0"/>
          <w:szCs w:val="21"/>
          <w:u w:val="single"/>
        </w:rPr>
        <w:t xml:space="preserve">    </w:t>
      </w:r>
      <w:r>
        <w:rPr>
          <w:rFonts w:hint="eastAsia" w:ascii="宋体" w:hAnsi="宋体" w:cs="PMingLiU"/>
          <w:color w:val="000000"/>
          <w:kern w:val="0"/>
          <w:szCs w:val="21"/>
          <w:u w:val="single"/>
        </w:rPr>
        <w:t></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1.6.4 承包人文件</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需要由承包人提供的文件，包括：</w:t>
      </w:r>
      <w:r>
        <w:rPr>
          <w:rFonts w:hint="eastAsia" w:ascii="宋体" w:hAnsi="宋体" w:cs="PMingLiU"/>
          <w:color w:val="000000"/>
          <w:kern w:val="0"/>
          <w:szCs w:val="21"/>
          <w:u w:val="single"/>
        </w:rPr>
        <w:t></w:t>
      </w:r>
      <w:r>
        <w:rPr>
          <w:rFonts w:hint="eastAsia" w:ascii="宋体" w:hAnsi="宋体" w:cs="Arial"/>
          <w:color w:val="000000"/>
          <w:kern w:val="0"/>
          <w:szCs w:val="21"/>
          <w:u w:val="single"/>
        </w:rPr>
        <w:t>   </w:t>
      </w:r>
      <w:r>
        <w:rPr>
          <w:rFonts w:hint="eastAsia" w:ascii="宋体" w:hAnsi="宋体" w:cs="PMingLiU"/>
          <w:color w:val="000000"/>
          <w:kern w:val="0"/>
          <w:szCs w:val="21"/>
          <w:u w:val="single"/>
        </w:rPr>
        <w:t></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承包人提供的文件的期限为：</w:t>
      </w:r>
      <w:r>
        <w:rPr>
          <w:rFonts w:hint="eastAsia" w:ascii="宋体" w:hAnsi="宋体" w:cs="PMingLiU"/>
          <w:color w:val="000000"/>
          <w:kern w:val="0"/>
          <w:szCs w:val="21"/>
          <w:u w:val="single"/>
        </w:rPr>
        <w:t></w:t>
      </w:r>
      <w:r>
        <w:rPr>
          <w:rFonts w:hint="eastAsia" w:ascii="宋体" w:hAnsi="宋体" w:cs="Arial"/>
          <w:color w:val="000000"/>
          <w:kern w:val="0"/>
          <w:szCs w:val="21"/>
          <w:u w:val="single"/>
        </w:rPr>
        <w:t xml:space="preserve">    </w:t>
      </w:r>
      <w:r>
        <w:rPr>
          <w:rFonts w:hint="eastAsia" w:ascii="宋体" w:hAnsi="宋体" w:cs="PMingLiU"/>
          <w:color w:val="000000"/>
          <w:kern w:val="0"/>
          <w:szCs w:val="21"/>
          <w:u w:val="single"/>
        </w:rPr>
        <w:t></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承包人提供的文件的数量为：</w:t>
      </w:r>
      <w:r>
        <w:rPr>
          <w:rFonts w:hint="eastAsia" w:ascii="宋体" w:hAnsi="宋体" w:cs="PMingLiU"/>
          <w:color w:val="000000"/>
          <w:kern w:val="0"/>
          <w:szCs w:val="21"/>
          <w:u w:val="single"/>
        </w:rPr>
        <w:t></w:t>
      </w:r>
      <w:r>
        <w:rPr>
          <w:rFonts w:hint="eastAsia" w:ascii="宋体" w:hAnsi="宋体" w:cs="Arial"/>
          <w:color w:val="000000"/>
          <w:kern w:val="0"/>
          <w:szCs w:val="21"/>
          <w:u w:val="single"/>
        </w:rPr>
        <w:t>            </w:t>
      </w:r>
      <w:r>
        <w:rPr>
          <w:rFonts w:hint="eastAsia" w:ascii="宋体" w:hAnsi="宋体" w:cs="PMingLiU"/>
          <w:color w:val="000000"/>
          <w:kern w:val="0"/>
          <w:szCs w:val="21"/>
          <w:u w:val="single"/>
        </w:rPr>
        <w:t></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承包人提供的文件的形式为：</w:t>
      </w:r>
      <w:r>
        <w:rPr>
          <w:rFonts w:hint="eastAsia" w:ascii="宋体" w:hAnsi="宋体" w:cs="PMingLiU"/>
          <w:color w:val="000000"/>
          <w:kern w:val="0"/>
          <w:szCs w:val="21"/>
          <w:u w:val="single"/>
        </w:rPr>
        <w:t></w:t>
      </w:r>
      <w:r>
        <w:rPr>
          <w:rFonts w:hint="eastAsia" w:ascii="宋体" w:hAnsi="宋体" w:cs="Arial"/>
          <w:color w:val="000000"/>
          <w:kern w:val="0"/>
          <w:szCs w:val="21"/>
          <w:u w:val="single"/>
        </w:rPr>
        <w:t xml:space="preserve">      </w:t>
      </w:r>
      <w:r>
        <w:rPr>
          <w:rFonts w:hint="eastAsia" w:ascii="宋体" w:hAnsi="宋体" w:cs="PMingLiU"/>
          <w:color w:val="000000"/>
          <w:kern w:val="0"/>
          <w:szCs w:val="21"/>
          <w:u w:val="single"/>
        </w:rPr>
        <w:t></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发包人审批承包人文件的期限：</w:t>
      </w:r>
      <w:r>
        <w:rPr>
          <w:rFonts w:hint="eastAsia" w:ascii="宋体" w:hAnsi="宋体" w:cs="PMingLiU"/>
          <w:color w:val="000000"/>
          <w:kern w:val="0"/>
          <w:szCs w:val="21"/>
          <w:u w:val="single"/>
        </w:rPr>
        <w:t></w:t>
      </w:r>
      <w:r>
        <w:rPr>
          <w:rFonts w:hint="eastAsia" w:ascii="宋体" w:hAnsi="宋体" w:cs="Arial"/>
          <w:color w:val="000000"/>
          <w:kern w:val="0"/>
          <w:szCs w:val="21"/>
          <w:u w:val="single"/>
        </w:rPr>
        <w:t xml:space="preserve">     </w:t>
      </w:r>
      <w:r>
        <w:rPr>
          <w:rFonts w:hint="eastAsia" w:ascii="宋体" w:hAnsi="宋体" w:cs="PMingLiU"/>
          <w:color w:val="000000"/>
          <w:kern w:val="0"/>
          <w:szCs w:val="21"/>
          <w:u w:val="single"/>
        </w:rPr>
        <w:t></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1.6.5 现场图纸准备</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关于现场图纸准备的约定：</w:t>
      </w:r>
      <w:r>
        <w:rPr>
          <w:rFonts w:hint="eastAsia" w:ascii="宋体" w:hAnsi="宋体" w:cs="PMingLiU"/>
          <w:color w:val="000000"/>
          <w:kern w:val="0"/>
          <w:szCs w:val="21"/>
          <w:u w:val="single"/>
        </w:rPr>
        <w:t></w:t>
      </w:r>
      <w:r>
        <w:rPr>
          <w:rFonts w:hint="eastAsia" w:ascii="宋体" w:hAnsi="宋体" w:cs="Arial"/>
          <w:color w:val="000000"/>
          <w:kern w:val="0"/>
          <w:szCs w:val="21"/>
          <w:u w:val="single"/>
        </w:rPr>
        <w:t xml:space="preserve">   </w:t>
      </w:r>
      <w:r>
        <w:rPr>
          <w:rFonts w:hint="eastAsia" w:ascii="宋体" w:hAnsi="宋体" w:cs="PMingLiU"/>
          <w:color w:val="000000"/>
          <w:kern w:val="0"/>
          <w:szCs w:val="21"/>
          <w:u w:val="single"/>
        </w:rPr>
        <w:t></w:t>
      </w:r>
      <w:r>
        <w:rPr>
          <w:rFonts w:hint="eastAsia" w:ascii="宋体" w:hAnsi="宋体" w:cs="Arial"/>
          <w:color w:val="000000"/>
          <w:kern w:val="0"/>
          <w:szCs w:val="21"/>
          <w:u w:val="single"/>
        </w:rPr>
        <w:t xml:space="preserve">      </w:t>
      </w:r>
      <w:r>
        <w:rPr>
          <w:rFonts w:hint="eastAsia" w:ascii="宋体" w:hAnsi="宋体" w:cs="PMingLiU"/>
          <w:color w:val="000000"/>
          <w:kern w:val="0"/>
          <w:szCs w:val="21"/>
          <w:u w:val="single"/>
        </w:rPr>
        <w:t></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1.7 联络</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1.7.1发包人和承包人应当在</w:t>
      </w:r>
      <w:r>
        <w:rPr>
          <w:rFonts w:hint="eastAsia" w:ascii="宋体" w:hAnsi="宋体" w:cs="PMingLiU"/>
          <w:color w:val="000000"/>
          <w:kern w:val="0"/>
          <w:szCs w:val="21"/>
          <w:u w:val="single"/>
        </w:rPr>
        <w:t></w:t>
      </w:r>
      <w:r>
        <w:rPr>
          <w:rFonts w:hint="eastAsia" w:ascii="宋体" w:hAnsi="宋体" w:cs="Arial"/>
          <w:color w:val="000000"/>
          <w:kern w:val="0"/>
          <w:szCs w:val="21"/>
          <w:u w:val="single"/>
        </w:rPr>
        <w:t xml:space="preserve">    </w:t>
      </w:r>
      <w:r>
        <w:rPr>
          <w:rFonts w:hint="eastAsia" w:ascii="宋体" w:hAnsi="宋体" w:cs="Arial"/>
          <w:color w:val="000000"/>
          <w:kern w:val="0"/>
          <w:szCs w:val="21"/>
        </w:rPr>
        <w:t>天内将与合同有关的通知、批准、证明、证书、指示、指令、要求、请求、同意、意见、确定和决定等书面函件送达对方当事人。</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1.7.2 发包人接收文件的地点：</w:t>
      </w:r>
      <w:r>
        <w:rPr>
          <w:rFonts w:hint="eastAsia" w:ascii="宋体" w:hAnsi="宋体" w:cs="PMingLiU"/>
          <w:color w:val="000000"/>
          <w:kern w:val="0"/>
          <w:szCs w:val="21"/>
          <w:u w:val="single"/>
        </w:rPr>
        <w:t></w:t>
      </w:r>
      <w:r>
        <w:rPr>
          <w:rFonts w:hint="eastAsia" w:ascii="宋体" w:hAnsi="宋体" w:cs="Arial"/>
          <w:color w:val="000000"/>
          <w:kern w:val="0"/>
          <w:szCs w:val="21"/>
          <w:u w:val="single"/>
        </w:rPr>
        <w:t xml:space="preserve">  </w:t>
      </w:r>
      <w:r>
        <w:rPr>
          <w:rFonts w:hint="eastAsia" w:ascii="宋体" w:hAnsi="宋体" w:cs="PMingLiU"/>
          <w:color w:val="000000"/>
          <w:kern w:val="0"/>
          <w:szCs w:val="21"/>
          <w:u w:val="single"/>
        </w:rPr>
        <w:t></w:t>
      </w:r>
      <w:r>
        <w:rPr>
          <w:rFonts w:hint="eastAsia" w:ascii="宋体" w:hAnsi="宋体" w:cs="Arial"/>
          <w:color w:val="000000"/>
          <w:kern w:val="0"/>
          <w:szCs w:val="21"/>
          <w:u w:val="single"/>
        </w:rPr>
        <w:t xml:space="preserve">   </w:t>
      </w:r>
      <w:r>
        <w:rPr>
          <w:rFonts w:hint="eastAsia" w:ascii="宋体" w:hAnsi="宋体" w:cs="PMingLiU"/>
          <w:color w:val="000000"/>
          <w:kern w:val="0"/>
          <w:szCs w:val="21"/>
          <w:u w:val="single"/>
        </w:rPr>
        <w:t></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发包人指定的接收人为：</w:t>
      </w:r>
      <w:r>
        <w:rPr>
          <w:rFonts w:hint="eastAsia" w:ascii="宋体" w:hAnsi="宋体" w:cs="PMingLiU"/>
          <w:color w:val="000000"/>
          <w:kern w:val="0"/>
          <w:szCs w:val="21"/>
          <w:u w:val="single"/>
        </w:rPr>
        <w:t></w:t>
      </w:r>
      <w:r>
        <w:rPr>
          <w:rFonts w:hint="eastAsia" w:ascii="宋体" w:hAnsi="宋体" w:cs="Arial"/>
          <w:color w:val="000000"/>
          <w:kern w:val="0"/>
          <w:szCs w:val="21"/>
          <w:u w:val="single"/>
        </w:rPr>
        <w:t xml:space="preserve">      </w:t>
      </w:r>
      <w:r>
        <w:rPr>
          <w:rFonts w:hint="eastAsia" w:ascii="宋体" w:hAnsi="宋体" w:cs="PMingLiU"/>
          <w:color w:val="000000"/>
          <w:kern w:val="0"/>
          <w:szCs w:val="21"/>
          <w:u w:val="single"/>
        </w:rPr>
        <w:t></w:t>
      </w:r>
      <w:r>
        <w:rPr>
          <w:rFonts w:hint="eastAsia" w:ascii="宋体" w:hAnsi="宋体" w:cs="Arial"/>
          <w:color w:val="000000"/>
          <w:kern w:val="0"/>
          <w:szCs w:val="21"/>
          <w:u w:val="single"/>
        </w:rPr>
        <w:t xml:space="preserve">   </w:t>
      </w:r>
      <w:r>
        <w:rPr>
          <w:rFonts w:hint="eastAsia" w:ascii="宋体" w:hAnsi="宋体" w:cs="PMingLiU"/>
          <w:color w:val="000000"/>
          <w:kern w:val="0"/>
          <w:szCs w:val="21"/>
          <w:u w:val="single"/>
        </w:rPr>
        <w:t></w:t>
      </w:r>
      <w:r>
        <w:rPr>
          <w:rFonts w:hint="eastAsia" w:ascii="宋体" w:hAnsi="宋体" w:cs="Arial"/>
          <w:color w:val="000000"/>
          <w:kern w:val="0"/>
          <w:szCs w:val="21"/>
          <w:u w:val="single"/>
        </w:rPr>
        <w:t xml:space="preserve">     </w:t>
      </w:r>
      <w:r>
        <w:rPr>
          <w:rFonts w:hint="eastAsia" w:ascii="宋体" w:hAnsi="宋体" w:cs="PMingLiU"/>
          <w:color w:val="000000"/>
          <w:kern w:val="0"/>
          <w:szCs w:val="21"/>
          <w:u w:val="single"/>
        </w:rPr>
        <w:t></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承包人接收文件的地点：</w:t>
      </w:r>
      <w:r>
        <w:rPr>
          <w:rFonts w:hint="eastAsia" w:ascii="宋体" w:hAnsi="宋体" w:cs="PMingLiU"/>
          <w:color w:val="000000"/>
          <w:kern w:val="0"/>
          <w:szCs w:val="21"/>
          <w:u w:val="single"/>
        </w:rPr>
        <w:t></w:t>
      </w:r>
      <w:r>
        <w:rPr>
          <w:rFonts w:hint="eastAsia" w:ascii="宋体" w:hAnsi="宋体" w:cs="Arial"/>
          <w:color w:val="000000"/>
          <w:kern w:val="0"/>
          <w:szCs w:val="21"/>
          <w:u w:val="single"/>
        </w:rPr>
        <w:t xml:space="preserve">            </w:t>
      </w:r>
      <w:r>
        <w:rPr>
          <w:rFonts w:hint="eastAsia" w:ascii="宋体" w:hAnsi="宋体" w:cs="PMingLiU"/>
          <w:color w:val="000000"/>
          <w:kern w:val="0"/>
          <w:szCs w:val="21"/>
          <w:u w:val="single"/>
        </w:rPr>
        <w:t></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承包人指定的接收人为：</w:t>
      </w:r>
      <w:r>
        <w:rPr>
          <w:rFonts w:hint="eastAsia" w:ascii="宋体" w:hAnsi="宋体" w:cs="PMingLiU"/>
          <w:color w:val="000000"/>
          <w:kern w:val="0"/>
          <w:szCs w:val="21"/>
          <w:u w:val="single"/>
        </w:rPr>
        <w:t></w:t>
      </w:r>
      <w:r>
        <w:rPr>
          <w:rFonts w:hint="eastAsia" w:ascii="宋体" w:hAnsi="宋体" w:cs="Arial"/>
          <w:color w:val="000000"/>
          <w:kern w:val="0"/>
          <w:szCs w:val="21"/>
          <w:u w:val="single"/>
        </w:rPr>
        <w:t xml:space="preserve">            </w:t>
      </w:r>
      <w:r>
        <w:rPr>
          <w:rFonts w:hint="eastAsia" w:ascii="宋体" w:hAnsi="宋体" w:cs="PMingLiU"/>
          <w:color w:val="000000"/>
          <w:kern w:val="0"/>
          <w:szCs w:val="21"/>
          <w:u w:val="single"/>
        </w:rPr>
        <w:t></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监理人接收文件的地点：</w:t>
      </w:r>
      <w:r>
        <w:rPr>
          <w:rFonts w:hint="eastAsia" w:ascii="宋体" w:hAnsi="宋体" w:cs="PMingLiU"/>
          <w:color w:val="000000"/>
          <w:kern w:val="0"/>
          <w:szCs w:val="21"/>
          <w:u w:val="single"/>
        </w:rPr>
        <w:t></w:t>
      </w:r>
      <w:r>
        <w:rPr>
          <w:rFonts w:hint="eastAsia" w:ascii="宋体" w:hAnsi="宋体" w:cs="Arial"/>
          <w:color w:val="000000"/>
          <w:kern w:val="0"/>
          <w:szCs w:val="21"/>
          <w:u w:val="single"/>
        </w:rPr>
        <w:t xml:space="preserve">        </w:t>
      </w:r>
      <w:r>
        <w:rPr>
          <w:rFonts w:hint="eastAsia" w:ascii="宋体" w:hAnsi="宋体" w:cs="PMingLiU"/>
          <w:color w:val="000000"/>
          <w:kern w:val="0"/>
          <w:szCs w:val="21"/>
          <w:u w:val="single"/>
        </w:rPr>
        <w:t></w:t>
      </w:r>
      <w:r>
        <w:rPr>
          <w:rFonts w:hint="eastAsia" w:ascii="宋体" w:hAnsi="宋体" w:cs="Arial"/>
          <w:color w:val="000000"/>
          <w:kern w:val="0"/>
          <w:szCs w:val="21"/>
          <w:u w:val="single"/>
        </w:rPr>
        <w:t xml:space="preserve">   </w:t>
      </w:r>
      <w:r>
        <w:rPr>
          <w:rFonts w:hint="eastAsia" w:ascii="宋体" w:hAnsi="宋体" w:cs="PMingLiU"/>
          <w:color w:val="000000"/>
          <w:kern w:val="0"/>
          <w:szCs w:val="21"/>
          <w:u w:val="single"/>
        </w:rPr>
        <w:t></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监理人指定的接收人为：</w:t>
      </w:r>
      <w:r>
        <w:rPr>
          <w:rFonts w:hint="eastAsia" w:ascii="宋体" w:hAnsi="宋体" w:cs="PMingLiU"/>
          <w:color w:val="000000"/>
          <w:kern w:val="0"/>
          <w:szCs w:val="21"/>
          <w:u w:val="single"/>
        </w:rPr>
        <w:t></w:t>
      </w:r>
      <w:r>
        <w:rPr>
          <w:rFonts w:hint="eastAsia" w:ascii="宋体" w:hAnsi="宋体" w:cs="Arial"/>
          <w:color w:val="000000"/>
          <w:kern w:val="0"/>
          <w:szCs w:val="21"/>
          <w:u w:val="single"/>
        </w:rPr>
        <w:t xml:space="preserve">         </w:t>
      </w:r>
      <w:r>
        <w:rPr>
          <w:rFonts w:hint="eastAsia" w:ascii="宋体" w:hAnsi="宋体" w:cs="PMingLiU"/>
          <w:color w:val="000000"/>
          <w:kern w:val="0"/>
          <w:szCs w:val="21"/>
          <w:u w:val="single"/>
        </w:rPr>
        <w:t></w:t>
      </w:r>
      <w:r>
        <w:rPr>
          <w:rFonts w:hint="eastAsia" w:ascii="宋体" w:hAnsi="宋体" w:cs="Arial"/>
          <w:color w:val="000000"/>
          <w:kern w:val="0"/>
          <w:szCs w:val="21"/>
          <w:u w:val="single"/>
        </w:rPr>
        <w:t xml:space="preserve">  </w:t>
      </w:r>
      <w:r>
        <w:rPr>
          <w:rFonts w:hint="eastAsia" w:ascii="宋体" w:hAnsi="宋体" w:cs="PMingLiU"/>
          <w:color w:val="000000"/>
          <w:kern w:val="0"/>
          <w:szCs w:val="21"/>
          <w:u w:val="single"/>
        </w:rPr>
        <w:t></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1.10 交通运输</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1</w:t>
      </w:r>
      <w:bookmarkStart w:id="508" w:name="_Toc303539100"/>
      <w:bookmarkEnd w:id="508"/>
      <w:bookmarkStart w:id="509" w:name="_Toc304295521"/>
      <w:bookmarkEnd w:id="509"/>
      <w:bookmarkStart w:id="510" w:name="_Toc312677986"/>
      <w:bookmarkEnd w:id="510"/>
      <w:bookmarkStart w:id="511" w:name="_Toc318581155"/>
      <w:bookmarkEnd w:id="511"/>
      <w:bookmarkStart w:id="512" w:name="_Toc300934943"/>
      <w:r>
        <w:rPr>
          <w:rFonts w:hint="eastAsia" w:ascii="宋体" w:hAnsi="宋体" w:cs="Arial"/>
          <w:color w:val="000000"/>
          <w:kern w:val="0"/>
          <w:szCs w:val="21"/>
        </w:rPr>
        <w:t xml:space="preserve">.10.1 </w:t>
      </w:r>
      <w:bookmarkEnd w:id="512"/>
      <w:r>
        <w:rPr>
          <w:rFonts w:hint="eastAsia" w:ascii="宋体" w:hAnsi="宋体" w:cs="Arial"/>
          <w:color w:val="000000"/>
          <w:kern w:val="0"/>
          <w:szCs w:val="21"/>
        </w:rPr>
        <w:t>出入现场的权利</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关于出入现场的权利的约定：</w:t>
      </w:r>
      <w:r>
        <w:rPr>
          <w:rFonts w:hint="eastAsia" w:ascii="宋体" w:hAnsi="宋体" w:cs="PMingLiU"/>
          <w:color w:val="000000"/>
          <w:kern w:val="0"/>
          <w:szCs w:val="21"/>
          <w:u w:val="single"/>
        </w:rPr>
        <w:t></w:t>
      </w:r>
      <w:r>
        <w:rPr>
          <w:rFonts w:hint="eastAsia" w:ascii="宋体" w:hAnsi="宋体" w:cs="Arial"/>
          <w:color w:val="000000"/>
          <w:kern w:val="0"/>
          <w:szCs w:val="21"/>
          <w:u w:val="single"/>
        </w:rPr>
        <w:t xml:space="preserve">   </w:t>
      </w:r>
      <w:r>
        <w:rPr>
          <w:rFonts w:hint="eastAsia" w:ascii="宋体" w:hAnsi="宋体" w:cs="PMingLiU"/>
          <w:color w:val="000000"/>
          <w:kern w:val="0"/>
          <w:szCs w:val="21"/>
          <w:u w:val="single"/>
        </w:rPr>
        <w:t></w:t>
      </w:r>
      <w:r>
        <w:rPr>
          <w:rFonts w:hint="eastAsia" w:ascii="宋体" w:hAnsi="宋体" w:cs="Arial"/>
          <w:color w:val="000000"/>
          <w:kern w:val="0"/>
          <w:szCs w:val="21"/>
          <w:u w:val="single"/>
        </w:rPr>
        <w:t xml:space="preserve">          </w:t>
      </w:r>
      <w:r>
        <w:rPr>
          <w:rFonts w:hint="eastAsia" w:ascii="宋体" w:hAnsi="宋体" w:cs="PMingLiU"/>
          <w:color w:val="000000"/>
          <w:kern w:val="0"/>
          <w:szCs w:val="21"/>
          <w:u w:val="single"/>
        </w:rPr>
        <w:t></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1</w:t>
      </w:r>
      <w:bookmarkStart w:id="513" w:name="_Toc304295522"/>
      <w:bookmarkEnd w:id="513"/>
      <w:bookmarkStart w:id="514" w:name="_Toc312677987"/>
      <w:bookmarkEnd w:id="514"/>
      <w:bookmarkStart w:id="515" w:name="_Toc303539101"/>
      <w:bookmarkEnd w:id="515"/>
      <w:bookmarkStart w:id="516" w:name="_Toc318581156"/>
      <w:bookmarkEnd w:id="516"/>
      <w:bookmarkStart w:id="517" w:name="_Toc300934944"/>
      <w:r>
        <w:rPr>
          <w:rFonts w:hint="eastAsia" w:ascii="宋体" w:hAnsi="宋体" w:cs="Arial"/>
          <w:color w:val="000000"/>
          <w:kern w:val="0"/>
          <w:szCs w:val="21"/>
        </w:rPr>
        <w:t xml:space="preserve">.10.3 </w:t>
      </w:r>
      <w:bookmarkEnd w:id="517"/>
      <w:r>
        <w:rPr>
          <w:rFonts w:hint="eastAsia" w:ascii="宋体" w:hAnsi="宋体" w:cs="Arial"/>
          <w:color w:val="000000"/>
          <w:kern w:val="0"/>
          <w:szCs w:val="21"/>
        </w:rPr>
        <w:t>场内交通</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关于场外交通和场内交通的边界的约定：</w:t>
      </w:r>
      <w:r>
        <w:rPr>
          <w:rFonts w:hint="eastAsia" w:ascii="宋体" w:hAnsi="宋体" w:cs="PMingLiU"/>
          <w:color w:val="000000"/>
          <w:kern w:val="0"/>
          <w:szCs w:val="21"/>
          <w:u w:val="single"/>
        </w:rPr>
        <w:t></w:t>
      </w:r>
      <w:r>
        <w:rPr>
          <w:rFonts w:hint="eastAsia" w:ascii="宋体" w:hAnsi="宋体" w:cs="Arial"/>
          <w:color w:val="000000"/>
          <w:kern w:val="0"/>
          <w:szCs w:val="21"/>
          <w:u w:val="single"/>
        </w:rPr>
        <w:t xml:space="preserve">  </w:t>
      </w:r>
      <w:r>
        <w:rPr>
          <w:rFonts w:hint="eastAsia" w:ascii="宋体" w:hAnsi="宋体" w:cs="PMingLiU"/>
          <w:color w:val="000000"/>
          <w:kern w:val="0"/>
          <w:szCs w:val="21"/>
          <w:u w:val="single"/>
        </w:rPr>
        <w:t></w:t>
      </w:r>
      <w:r>
        <w:rPr>
          <w:rFonts w:hint="eastAsia" w:ascii="宋体" w:hAnsi="宋体" w:cs="Arial"/>
          <w:color w:val="000000"/>
          <w:kern w:val="0"/>
          <w:szCs w:val="21"/>
          <w:u w:val="single"/>
        </w:rPr>
        <w:t>      </w:t>
      </w:r>
      <w:r>
        <w:rPr>
          <w:rFonts w:hint="eastAsia" w:ascii="宋体" w:hAnsi="宋体" w:cs="PMingLiU"/>
          <w:color w:val="000000"/>
          <w:kern w:val="0"/>
          <w:szCs w:val="21"/>
          <w:u w:val="single"/>
        </w:rPr>
        <w:t></w:t>
      </w:r>
      <w:r>
        <w:rPr>
          <w:rFonts w:hint="eastAsia" w:ascii="宋体" w:hAnsi="宋体" w:cs="Arial"/>
          <w:color w:val="000000"/>
          <w:kern w:val="0"/>
          <w:szCs w:val="21"/>
          <w:u w:val="single"/>
        </w:rPr>
        <w:t>  </w:t>
      </w:r>
      <w:r>
        <w:rPr>
          <w:rFonts w:hint="eastAsia" w:ascii="宋体" w:hAnsi="宋体" w:cs="PMingLiU"/>
          <w:color w:val="000000"/>
          <w:kern w:val="0"/>
          <w:szCs w:val="21"/>
          <w:u w:val="single"/>
        </w:rPr>
        <w:t></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关于发包人向承包人免费提供满足工程施工需要的场内道路和交通设施的约定：</w:t>
      </w:r>
      <w:r>
        <w:rPr>
          <w:rFonts w:hint="eastAsia" w:ascii="宋体" w:hAnsi="宋体" w:cs="Arial"/>
          <w:color w:val="000000"/>
          <w:kern w:val="0"/>
          <w:szCs w:val="21"/>
          <w:u w:val="single"/>
        </w:rPr>
        <w:t> </w:t>
      </w:r>
      <w:r>
        <w:rPr>
          <w:rFonts w:hint="eastAsia" w:ascii="宋体" w:hAnsi="宋体" w:cs="PMingLiU"/>
          <w:color w:val="000000"/>
          <w:kern w:val="0"/>
          <w:szCs w:val="21"/>
          <w:u w:val="single"/>
        </w:rPr>
        <w:t></w:t>
      </w:r>
      <w:r>
        <w:rPr>
          <w:rFonts w:hint="eastAsia" w:ascii="宋体" w:hAnsi="宋体" w:cs="Arial"/>
          <w:color w:val="000000"/>
          <w:kern w:val="0"/>
          <w:szCs w:val="21"/>
        </w:rPr>
        <w:t xml:space="preserve">。  </w:t>
      </w:r>
      <w:bookmarkStart w:id="518" w:name="_Toc318581157"/>
      <w:bookmarkEnd w:id="518"/>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1.10.4超大件和超重件的运输</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运输超大件或超重件所需的道路和桥梁临时加固改造费用和其他有关费用由</w:t>
      </w:r>
      <w:r>
        <w:rPr>
          <w:rFonts w:hint="eastAsia" w:ascii="宋体" w:hAnsi="宋体" w:cs="Arial"/>
          <w:color w:val="000000"/>
          <w:kern w:val="0"/>
          <w:szCs w:val="21"/>
          <w:u w:val="single"/>
        </w:rPr>
        <w:t xml:space="preserve">  </w:t>
      </w:r>
      <w:r>
        <w:rPr>
          <w:rFonts w:hint="eastAsia" w:ascii="宋体" w:hAnsi="宋体" w:cs="Arial"/>
          <w:color w:val="000000"/>
          <w:kern w:val="0"/>
          <w:szCs w:val="21"/>
        </w:rPr>
        <w:t>承担。</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1.11 知识产权</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1.11.1关于发包人提供给承包人的图纸、发包人为实施工程自行编制或委托编制的技术规范以及反映发包人关于合同要求或其他类似性质的文件的著作权的归属：</w:t>
      </w:r>
      <w:r>
        <w:rPr>
          <w:rFonts w:hint="eastAsia" w:ascii="宋体" w:hAnsi="宋体" w:cs="PMingLiU"/>
          <w:color w:val="000000"/>
          <w:kern w:val="0"/>
          <w:szCs w:val="21"/>
          <w:u w:val="single"/>
        </w:rPr>
        <w:t></w:t>
      </w:r>
      <w:r>
        <w:rPr>
          <w:rFonts w:hint="eastAsia" w:ascii="宋体" w:hAnsi="宋体" w:cs="Arial"/>
          <w:color w:val="000000"/>
          <w:kern w:val="0"/>
          <w:szCs w:val="21"/>
          <w:u w:val="single"/>
        </w:rPr>
        <w:t>  </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关于发包人提供的上述文件的使用限制的要求：</w:t>
      </w:r>
      <w:r>
        <w:rPr>
          <w:rFonts w:hint="eastAsia" w:ascii="宋体" w:hAnsi="宋体" w:cs="Arial"/>
          <w:color w:val="000000"/>
          <w:kern w:val="0"/>
          <w:szCs w:val="21"/>
          <w:u w:val="single"/>
        </w:rPr>
        <w:t>             </w:t>
      </w:r>
      <w:r>
        <w:rPr>
          <w:rFonts w:hint="eastAsia" w:ascii="宋体" w:hAnsi="宋体" w:cs="PMingLiU"/>
          <w:color w:val="000000"/>
          <w:kern w:val="0"/>
          <w:szCs w:val="21"/>
          <w:u w:val="single"/>
        </w:rPr>
        <w:t></w:t>
      </w:r>
      <w:r>
        <w:rPr>
          <w:rFonts w:hint="eastAsia" w:ascii="宋体" w:hAnsi="宋体" w:cs="Arial"/>
          <w:color w:val="000000"/>
          <w:kern w:val="0"/>
          <w:szCs w:val="21"/>
          <w:u w:val="single"/>
        </w:rPr>
        <w:t> </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1.11.2 关于承包人为实施工程所编制文件的著作权的归属：</w:t>
      </w:r>
      <w:r>
        <w:rPr>
          <w:rFonts w:hint="eastAsia" w:ascii="宋体" w:hAnsi="宋体" w:cs="Arial"/>
          <w:color w:val="000000"/>
          <w:kern w:val="0"/>
          <w:szCs w:val="21"/>
          <w:u w:val="single"/>
        </w:rPr>
        <w:t>    </w:t>
      </w:r>
      <w:r>
        <w:rPr>
          <w:rFonts w:hint="eastAsia" w:ascii="宋体" w:hAnsi="宋体" w:cs="PMingLiU"/>
          <w:color w:val="000000"/>
          <w:kern w:val="0"/>
          <w:szCs w:val="21"/>
          <w:u w:val="single"/>
        </w:rPr>
        <w:t></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关于承包人提供的上述文件的使用限制的要求：</w:t>
      </w:r>
      <w:r>
        <w:rPr>
          <w:rFonts w:hint="eastAsia" w:ascii="宋体" w:hAnsi="宋体" w:cs="PMingLiU"/>
          <w:color w:val="000000"/>
          <w:kern w:val="0"/>
          <w:szCs w:val="21"/>
          <w:u w:val="single"/>
        </w:rPr>
        <w:t></w:t>
      </w:r>
      <w:r>
        <w:rPr>
          <w:rFonts w:hint="eastAsia" w:ascii="宋体" w:hAnsi="宋体" w:cs="Arial"/>
          <w:color w:val="000000"/>
          <w:kern w:val="0"/>
          <w:szCs w:val="21"/>
          <w:u w:val="single"/>
        </w:rPr>
        <w:t xml:space="preserve">   </w:t>
      </w:r>
      <w:r>
        <w:rPr>
          <w:rFonts w:hint="eastAsia" w:ascii="宋体" w:hAnsi="宋体" w:cs="PMingLiU"/>
          <w:color w:val="000000"/>
          <w:kern w:val="0"/>
          <w:szCs w:val="21"/>
          <w:u w:val="single"/>
        </w:rPr>
        <w:t></w:t>
      </w:r>
      <w:r>
        <w:rPr>
          <w:rFonts w:hint="eastAsia" w:ascii="宋体" w:hAnsi="宋体" w:cs="Arial"/>
          <w:color w:val="000000"/>
          <w:kern w:val="0"/>
          <w:szCs w:val="21"/>
          <w:u w:val="single"/>
        </w:rPr>
        <w:t>      </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1.11.4 承包人在施工过程中所采用的专利、专有技术、技术秘密的使用费的承担方式：</w:t>
      </w:r>
      <w:r>
        <w:rPr>
          <w:rFonts w:hint="eastAsia" w:ascii="宋体" w:hAnsi="宋体" w:cs="PMingLiU"/>
          <w:color w:val="000000"/>
          <w:kern w:val="0"/>
          <w:szCs w:val="21"/>
          <w:u w:val="single"/>
        </w:rPr>
        <w:t></w:t>
      </w:r>
      <w:r>
        <w:rPr>
          <w:rFonts w:hint="eastAsia" w:ascii="宋体" w:hAnsi="宋体" w:cs="Arial"/>
          <w:color w:val="000000"/>
          <w:kern w:val="0"/>
          <w:szCs w:val="21"/>
          <w:u w:val="single"/>
        </w:rPr>
        <w:t xml:space="preserve">       </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1.13工程量清单错误的修正</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出现工程量清单错误时，是否调整合同价格：</w:t>
      </w:r>
      <w:r>
        <w:rPr>
          <w:rFonts w:hint="eastAsia" w:ascii="宋体" w:hAnsi="宋体" w:cs="Arial"/>
          <w:color w:val="000000"/>
          <w:kern w:val="0"/>
          <w:szCs w:val="21"/>
          <w:u w:val="single"/>
        </w:rPr>
        <w:t xml:space="preserve">          </w:t>
      </w:r>
      <w:r>
        <w:rPr>
          <w:rFonts w:hint="eastAsia" w:ascii="宋体" w:hAnsi="宋体" w:cs="PMingLiU"/>
          <w:color w:val="000000"/>
          <w:kern w:val="0"/>
          <w:szCs w:val="21"/>
          <w:u w:val="single"/>
        </w:rPr>
        <w:t></w:t>
      </w:r>
      <w:r>
        <w:rPr>
          <w:rFonts w:hint="eastAsia" w:ascii="宋体" w:hAnsi="宋体" w:cs="Arial"/>
          <w:color w:val="000000"/>
          <w:kern w:val="0"/>
          <w:szCs w:val="21"/>
          <w:u w:val="single"/>
        </w:rPr>
        <w:t xml:space="preserve">  </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允许调整合同价格的工程量偏差范围：</w:t>
      </w:r>
      <w:r>
        <w:rPr>
          <w:rFonts w:hint="eastAsia" w:ascii="宋体" w:hAnsi="宋体" w:cs="PMingLiU"/>
          <w:color w:val="000000"/>
          <w:kern w:val="0"/>
          <w:szCs w:val="21"/>
          <w:u w:val="single"/>
        </w:rPr>
        <w:t></w:t>
      </w:r>
      <w:r>
        <w:rPr>
          <w:rFonts w:hint="eastAsia" w:ascii="宋体" w:hAnsi="宋体" w:cs="Arial"/>
          <w:color w:val="000000"/>
          <w:kern w:val="0"/>
          <w:szCs w:val="21"/>
          <w:u w:val="single"/>
        </w:rPr>
        <w:t xml:space="preserve">         </w:t>
      </w:r>
      <w:r>
        <w:rPr>
          <w:rFonts w:hint="eastAsia" w:ascii="宋体" w:hAnsi="宋体" w:cs="Arial"/>
          <w:color w:val="000000"/>
          <w:kern w:val="0"/>
          <w:szCs w:val="21"/>
        </w:rPr>
        <w:t>。</w:t>
      </w:r>
    </w:p>
    <w:p>
      <w:pPr>
        <w:widowControl/>
        <w:spacing w:line="360" w:lineRule="auto"/>
        <w:ind w:firstLine="358" w:firstLineChars="170"/>
        <w:jc w:val="left"/>
        <w:textAlignment w:val="top"/>
        <w:outlineLvl w:val="3"/>
        <w:rPr>
          <w:rFonts w:ascii="宋体" w:hAnsi="宋体" w:cs="Arial"/>
          <w:b/>
          <w:bCs/>
          <w:color w:val="000000"/>
          <w:kern w:val="0"/>
          <w:szCs w:val="21"/>
        </w:rPr>
      </w:pPr>
      <w:bookmarkStart w:id="519" w:name="_Toc351203634"/>
      <w:r>
        <w:rPr>
          <w:rFonts w:hint="eastAsia" w:ascii="宋体" w:hAnsi="宋体" w:cs="Arial"/>
          <w:b/>
          <w:bCs/>
          <w:color w:val="000000"/>
          <w:kern w:val="0"/>
          <w:szCs w:val="21"/>
        </w:rPr>
        <w:t>2</w:t>
      </w:r>
      <w:bookmarkStart w:id="520" w:name="_Toc297120457"/>
      <w:bookmarkEnd w:id="520"/>
      <w:bookmarkStart w:id="521" w:name="_Toc296890985"/>
      <w:bookmarkEnd w:id="521"/>
      <w:bookmarkStart w:id="522" w:name="_Toc296503157"/>
      <w:bookmarkEnd w:id="522"/>
      <w:bookmarkStart w:id="523" w:name="_Toc296346658"/>
      <w:bookmarkEnd w:id="523"/>
      <w:bookmarkStart w:id="524" w:name="_Toc292559867"/>
      <w:bookmarkEnd w:id="524"/>
      <w:bookmarkStart w:id="525" w:name="_Toc296347156"/>
      <w:bookmarkEnd w:id="525"/>
      <w:bookmarkStart w:id="526" w:name="_Toc296944496"/>
      <w:bookmarkEnd w:id="526"/>
      <w:bookmarkStart w:id="527" w:name="_Toc297048343"/>
      <w:bookmarkEnd w:id="527"/>
      <w:bookmarkStart w:id="528" w:name="_Toc296891197"/>
      <w:bookmarkEnd w:id="528"/>
      <w:bookmarkStart w:id="529" w:name="_Toc292559362"/>
      <w:bookmarkEnd w:id="519"/>
      <w:r>
        <w:rPr>
          <w:rFonts w:hint="eastAsia" w:ascii="宋体" w:hAnsi="宋体" w:cs="Arial"/>
          <w:b/>
          <w:bCs/>
          <w:color w:val="000000"/>
          <w:kern w:val="0"/>
          <w:szCs w:val="21"/>
        </w:rPr>
        <w:t xml:space="preserve">. </w:t>
      </w:r>
      <w:bookmarkEnd w:id="529"/>
      <w:r>
        <w:rPr>
          <w:rFonts w:hint="eastAsia" w:ascii="宋体" w:hAnsi="宋体" w:cs="Arial"/>
          <w:b/>
          <w:bCs/>
          <w:color w:val="000000"/>
          <w:kern w:val="0"/>
          <w:szCs w:val="21"/>
        </w:rPr>
        <w:t>发包人</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2.2 发包人代表</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发包人代表：</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姓    名：</w:t>
      </w:r>
      <w:r>
        <w:rPr>
          <w:rFonts w:hint="eastAsia" w:ascii="宋体" w:hAnsi="宋体" w:cs="PMingLiU"/>
          <w:color w:val="000000"/>
          <w:kern w:val="0"/>
          <w:szCs w:val="21"/>
          <w:u w:val="single"/>
        </w:rPr>
        <w:t></w:t>
      </w:r>
      <w:r>
        <w:rPr>
          <w:rFonts w:hint="eastAsia" w:ascii="宋体" w:hAnsi="宋体" w:cs="Arial"/>
          <w:color w:val="000000"/>
          <w:kern w:val="0"/>
          <w:szCs w:val="21"/>
          <w:u w:val="single"/>
        </w:rPr>
        <w:t xml:space="preserve">   </w:t>
      </w:r>
      <w:r>
        <w:rPr>
          <w:rFonts w:hint="eastAsia" w:ascii="宋体" w:hAnsi="宋体" w:cs="PMingLiU"/>
          <w:color w:val="000000"/>
          <w:kern w:val="0"/>
          <w:szCs w:val="21"/>
          <w:u w:val="single"/>
        </w:rPr>
        <w:t></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身份证号：</w:t>
      </w:r>
      <w:r>
        <w:rPr>
          <w:rFonts w:hint="eastAsia" w:ascii="宋体" w:hAnsi="宋体" w:cs="PMingLiU"/>
          <w:color w:val="000000"/>
          <w:kern w:val="0"/>
          <w:szCs w:val="21"/>
          <w:u w:val="single"/>
        </w:rPr>
        <w:t></w:t>
      </w:r>
      <w:r>
        <w:rPr>
          <w:rFonts w:hint="eastAsia" w:ascii="宋体" w:hAnsi="宋体" w:cs="Arial"/>
          <w:color w:val="000000"/>
          <w:kern w:val="0"/>
          <w:szCs w:val="21"/>
          <w:u w:val="single"/>
        </w:rPr>
        <w:t>   </w:t>
      </w:r>
      <w:r>
        <w:rPr>
          <w:rFonts w:hint="eastAsia" w:ascii="宋体" w:hAnsi="宋体" w:cs="PMingLiU"/>
          <w:color w:val="000000"/>
          <w:kern w:val="0"/>
          <w:szCs w:val="21"/>
          <w:u w:val="single"/>
        </w:rPr>
        <w:t></w:t>
      </w:r>
      <w:r>
        <w:rPr>
          <w:rFonts w:hint="eastAsia" w:ascii="宋体" w:hAnsi="宋体" w:cs="Arial"/>
          <w:color w:val="000000"/>
          <w:kern w:val="0"/>
          <w:szCs w:val="21"/>
          <w:u w:val="single"/>
        </w:rPr>
        <w:t xml:space="preserve">  </w:t>
      </w:r>
      <w:r>
        <w:rPr>
          <w:rFonts w:hint="eastAsia" w:ascii="宋体" w:hAnsi="宋体" w:cs="PMingLiU"/>
          <w:color w:val="000000"/>
          <w:kern w:val="0"/>
          <w:szCs w:val="21"/>
          <w:u w:val="single"/>
        </w:rPr>
        <w:t></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职    务：</w:t>
      </w:r>
      <w:r>
        <w:rPr>
          <w:rFonts w:hint="eastAsia" w:ascii="宋体" w:hAnsi="宋体" w:cs="PMingLiU"/>
          <w:color w:val="000000"/>
          <w:kern w:val="0"/>
          <w:szCs w:val="21"/>
          <w:u w:val="single"/>
        </w:rPr>
        <w:t></w:t>
      </w:r>
      <w:r>
        <w:rPr>
          <w:rFonts w:hint="eastAsia" w:ascii="宋体" w:hAnsi="宋体" w:cs="Arial"/>
          <w:color w:val="000000"/>
          <w:kern w:val="0"/>
          <w:szCs w:val="21"/>
          <w:u w:val="single"/>
        </w:rPr>
        <w:t xml:space="preserve">   </w:t>
      </w:r>
      <w:r>
        <w:rPr>
          <w:rFonts w:hint="eastAsia" w:ascii="宋体" w:hAnsi="宋体" w:cs="PMingLiU"/>
          <w:color w:val="000000"/>
          <w:kern w:val="0"/>
          <w:szCs w:val="21"/>
          <w:u w:val="single"/>
        </w:rPr>
        <w:t></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联系电话：</w:t>
      </w:r>
      <w:r>
        <w:rPr>
          <w:rFonts w:hint="eastAsia" w:ascii="宋体" w:hAnsi="宋体" w:cs="PMingLiU"/>
          <w:color w:val="000000"/>
          <w:kern w:val="0"/>
          <w:szCs w:val="21"/>
          <w:u w:val="single"/>
        </w:rPr>
        <w:t></w:t>
      </w:r>
      <w:r>
        <w:rPr>
          <w:rFonts w:hint="eastAsia" w:ascii="宋体" w:hAnsi="宋体" w:cs="Arial"/>
          <w:color w:val="000000"/>
          <w:kern w:val="0"/>
          <w:szCs w:val="21"/>
          <w:u w:val="single"/>
        </w:rPr>
        <w:t xml:space="preserve">  </w:t>
      </w:r>
      <w:r>
        <w:rPr>
          <w:rFonts w:hint="eastAsia" w:ascii="宋体" w:hAnsi="宋体" w:cs="PMingLiU"/>
          <w:color w:val="000000"/>
          <w:kern w:val="0"/>
          <w:szCs w:val="21"/>
          <w:u w:val="single"/>
        </w:rPr>
        <w:t></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电子信箱：</w:t>
      </w:r>
      <w:r>
        <w:rPr>
          <w:rFonts w:hint="eastAsia" w:ascii="宋体" w:hAnsi="宋体" w:cs="PMingLiU"/>
          <w:color w:val="000000"/>
          <w:kern w:val="0"/>
          <w:szCs w:val="21"/>
          <w:u w:val="single"/>
        </w:rPr>
        <w:t></w:t>
      </w:r>
      <w:r>
        <w:rPr>
          <w:rFonts w:hint="eastAsia" w:ascii="宋体" w:hAnsi="宋体" w:cs="Arial"/>
          <w:color w:val="000000"/>
          <w:kern w:val="0"/>
          <w:szCs w:val="21"/>
          <w:u w:val="single"/>
        </w:rPr>
        <w:t xml:space="preserve">  </w:t>
      </w:r>
      <w:r>
        <w:rPr>
          <w:rFonts w:hint="eastAsia" w:ascii="宋体" w:hAnsi="宋体" w:cs="PMingLiU"/>
          <w:color w:val="000000"/>
          <w:kern w:val="0"/>
          <w:szCs w:val="21"/>
          <w:u w:val="single"/>
        </w:rPr>
        <w:t></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通信地址：</w:t>
      </w:r>
      <w:r>
        <w:rPr>
          <w:rFonts w:hint="eastAsia" w:ascii="宋体" w:hAnsi="宋体" w:cs="PMingLiU"/>
          <w:color w:val="000000"/>
          <w:kern w:val="0"/>
          <w:szCs w:val="21"/>
          <w:u w:val="single"/>
        </w:rPr>
        <w:t></w:t>
      </w:r>
      <w:r>
        <w:rPr>
          <w:rFonts w:hint="eastAsia" w:ascii="宋体" w:hAnsi="宋体" w:cs="Arial"/>
          <w:color w:val="000000"/>
          <w:kern w:val="0"/>
          <w:szCs w:val="21"/>
          <w:u w:val="single"/>
        </w:rPr>
        <w:t>   </w:t>
      </w:r>
      <w:r>
        <w:rPr>
          <w:rFonts w:hint="eastAsia" w:ascii="宋体" w:hAnsi="宋体" w:cs="PMingLiU"/>
          <w:color w:val="000000"/>
          <w:kern w:val="0"/>
          <w:szCs w:val="21"/>
          <w:u w:val="single"/>
        </w:rPr>
        <w:t></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发包人对发包人代表的授权范围如下：</w:t>
      </w:r>
      <w:r>
        <w:rPr>
          <w:rFonts w:hint="eastAsia" w:ascii="宋体" w:hAnsi="宋体" w:cs="PMingLiU"/>
          <w:color w:val="000000"/>
          <w:kern w:val="0"/>
          <w:szCs w:val="21"/>
          <w:u w:val="single"/>
        </w:rPr>
        <w:t></w:t>
      </w:r>
      <w:r>
        <w:rPr>
          <w:rFonts w:hint="eastAsia" w:ascii="宋体" w:hAnsi="宋体" w:cs="Arial"/>
          <w:color w:val="000000"/>
          <w:kern w:val="0"/>
          <w:szCs w:val="21"/>
          <w:u w:val="single"/>
        </w:rPr>
        <w:t> </w:t>
      </w:r>
      <w:r>
        <w:rPr>
          <w:rFonts w:hint="eastAsia" w:ascii="宋体" w:hAnsi="宋体" w:cs="PMingLiU"/>
          <w:color w:val="000000"/>
          <w:kern w:val="0"/>
          <w:szCs w:val="21"/>
          <w:u w:val="single"/>
        </w:rPr>
        <w:t></w:t>
      </w:r>
      <w:r>
        <w:rPr>
          <w:rFonts w:hint="eastAsia" w:ascii="宋体" w:hAnsi="宋体" w:cs="Arial"/>
          <w:color w:val="000000"/>
          <w:kern w:val="0"/>
          <w:szCs w:val="21"/>
          <w:u w:val="single"/>
        </w:rPr>
        <w:t xml:space="preserve">              </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2.4 施工现场、施工条件和基础资料的提供</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2.4.1 提供施工现场</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关于发包人移交施工现场的期限要求：</w:t>
      </w:r>
      <w:r>
        <w:rPr>
          <w:rFonts w:hint="eastAsia" w:ascii="宋体" w:hAnsi="宋体" w:cs="PMingLiU"/>
          <w:color w:val="000000"/>
          <w:kern w:val="0"/>
          <w:szCs w:val="21"/>
          <w:u w:val="single"/>
        </w:rPr>
        <w:t></w:t>
      </w:r>
      <w:r>
        <w:rPr>
          <w:rFonts w:hint="eastAsia" w:ascii="宋体" w:hAnsi="宋体" w:cs="Arial"/>
          <w:color w:val="000000"/>
          <w:kern w:val="0"/>
          <w:szCs w:val="21"/>
          <w:u w:val="single"/>
        </w:rPr>
        <w:t xml:space="preserve">       </w:t>
      </w:r>
      <w:r>
        <w:rPr>
          <w:rFonts w:hint="eastAsia" w:ascii="宋体" w:hAnsi="宋体" w:cs="PMingLiU"/>
          <w:color w:val="000000"/>
          <w:kern w:val="0"/>
          <w:szCs w:val="21"/>
          <w:u w:val="single"/>
        </w:rPr>
        <w:t></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2.4.2 提供施工条件</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关于发包人应负责提供施工所需要的条件，包括：</w:t>
      </w:r>
      <w:r>
        <w:rPr>
          <w:rFonts w:hint="eastAsia" w:ascii="宋体" w:hAnsi="宋体" w:cs="Arial"/>
          <w:color w:val="000000"/>
          <w:kern w:val="0"/>
          <w:szCs w:val="21"/>
          <w:u w:val="single"/>
        </w:rPr>
        <w:t xml:space="preserve">  </w:t>
      </w:r>
      <w:r>
        <w:rPr>
          <w:rFonts w:hint="eastAsia" w:ascii="宋体" w:hAnsi="宋体" w:cs="PMingLiU"/>
          <w:color w:val="000000"/>
          <w:kern w:val="0"/>
          <w:szCs w:val="21"/>
          <w:u w:val="single"/>
        </w:rPr>
        <w:t></w:t>
      </w:r>
      <w:r>
        <w:rPr>
          <w:rFonts w:hint="eastAsia" w:ascii="宋体" w:hAnsi="宋体" w:cs="Arial"/>
          <w:color w:val="000000"/>
          <w:kern w:val="0"/>
          <w:szCs w:val="21"/>
          <w:u w:val="single"/>
        </w:rPr>
        <w:t xml:space="preserve">      </w:t>
      </w:r>
      <w:r>
        <w:rPr>
          <w:rFonts w:hint="eastAsia" w:ascii="宋体" w:hAnsi="宋体" w:cs="PMingLiU"/>
          <w:color w:val="000000"/>
          <w:kern w:val="0"/>
          <w:szCs w:val="21"/>
          <w:u w:val="single"/>
        </w:rPr>
        <w:t></w:t>
      </w:r>
      <w:r>
        <w:rPr>
          <w:rFonts w:hint="eastAsia" w:ascii="宋体" w:hAnsi="宋体" w:cs="Arial"/>
          <w:color w:val="000000"/>
          <w:kern w:val="0"/>
          <w:szCs w:val="21"/>
          <w:u w:val="single"/>
        </w:rPr>
        <w:t> </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2.5 资金来源证明及支付担保</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发包人提供资金来源证明的期限要求：</w:t>
      </w:r>
      <w:r>
        <w:rPr>
          <w:rFonts w:hint="eastAsia" w:ascii="宋体" w:hAnsi="宋体" w:cs="PMingLiU"/>
          <w:color w:val="000000"/>
          <w:kern w:val="0"/>
          <w:szCs w:val="21"/>
          <w:u w:val="single"/>
        </w:rPr>
        <w:t></w:t>
      </w:r>
      <w:r>
        <w:rPr>
          <w:rFonts w:hint="eastAsia" w:ascii="宋体" w:hAnsi="宋体" w:cs="Arial"/>
          <w:color w:val="000000"/>
          <w:kern w:val="0"/>
          <w:szCs w:val="21"/>
          <w:u w:val="single"/>
        </w:rPr>
        <w:t>               </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发包人是否提供支付担保：</w:t>
      </w:r>
      <w:r>
        <w:rPr>
          <w:rFonts w:hint="eastAsia" w:ascii="宋体" w:hAnsi="宋体" w:cs="PMingLiU"/>
          <w:color w:val="000000"/>
          <w:kern w:val="0"/>
          <w:szCs w:val="21"/>
          <w:u w:val="single"/>
        </w:rPr>
        <w:t></w:t>
      </w:r>
      <w:r>
        <w:rPr>
          <w:rFonts w:hint="eastAsia" w:ascii="宋体" w:hAnsi="宋体" w:cs="Arial"/>
          <w:color w:val="000000"/>
          <w:kern w:val="0"/>
          <w:szCs w:val="21"/>
          <w:u w:val="single"/>
        </w:rPr>
        <w:t>               </w:t>
      </w:r>
      <w:r>
        <w:rPr>
          <w:rFonts w:hint="eastAsia" w:ascii="宋体" w:hAnsi="宋体" w:cs="PMingLiU"/>
          <w:color w:val="000000"/>
          <w:kern w:val="0"/>
          <w:szCs w:val="21"/>
          <w:u w:val="single"/>
        </w:rPr>
        <w:t></w:t>
      </w:r>
      <w:r>
        <w:rPr>
          <w:rFonts w:hint="eastAsia" w:ascii="宋体" w:hAnsi="宋体" w:cs="Arial"/>
          <w:color w:val="000000"/>
          <w:kern w:val="0"/>
          <w:szCs w:val="21"/>
          <w:u w:val="single"/>
        </w:rPr>
        <w:t xml:space="preserve">      </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发包人提供支付担保的形式：</w:t>
      </w:r>
      <w:r>
        <w:rPr>
          <w:rFonts w:hint="eastAsia" w:ascii="宋体" w:hAnsi="宋体" w:cs="PMingLiU"/>
          <w:color w:val="000000"/>
          <w:kern w:val="0"/>
          <w:szCs w:val="21"/>
          <w:u w:val="single"/>
        </w:rPr>
        <w:t></w:t>
      </w:r>
      <w:r>
        <w:rPr>
          <w:rFonts w:hint="eastAsia" w:ascii="宋体" w:hAnsi="宋体" w:cs="Arial"/>
          <w:color w:val="000000"/>
          <w:kern w:val="0"/>
          <w:szCs w:val="21"/>
          <w:u w:val="single"/>
        </w:rPr>
        <w:t>                     </w:t>
      </w:r>
      <w:r>
        <w:rPr>
          <w:rFonts w:hint="eastAsia" w:ascii="宋体" w:hAnsi="宋体" w:cs="PMingLiU"/>
          <w:color w:val="000000"/>
          <w:kern w:val="0"/>
          <w:szCs w:val="21"/>
          <w:u w:val="single"/>
        </w:rPr>
        <w:t></w:t>
      </w:r>
      <w:r>
        <w:rPr>
          <w:rFonts w:hint="eastAsia" w:ascii="宋体" w:hAnsi="宋体" w:cs="Arial"/>
          <w:color w:val="000000"/>
          <w:kern w:val="0"/>
          <w:szCs w:val="21"/>
        </w:rPr>
        <w:t>。</w:t>
      </w:r>
    </w:p>
    <w:p>
      <w:pPr>
        <w:widowControl/>
        <w:spacing w:line="360" w:lineRule="auto"/>
        <w:ind w:firstLine="358" w:firstLineChars="170"/>
        <w:jc w:val="left"/>
        <w:textAlignment w:val="top"/>
        <w:outlineLvl w:val="3"/>
        <w:rPr>
          <w:rFonts w:ascii="宋体" w:hAnsi="宋体" w:cs="Arial"/>
          <w:b/>
          <w:bCs/>
          <w:color w:val="000000"/>
          <w:kern w:val="0"/>
          <w:szCs w:val="21"/>
        </w:rPr>
      </w:pPr>
      <w:bookmarkStart w:id="530" w:name="_Toc351203635"/>
      <w:r>
        <w:rPr>
          <w:rFonts w:hint="eastAsia" w:ascii="宋体" w:hAnsi="宋体" w:cs="Arial"/>
          <w:b/>
          <w:bCs/>
          <w:color w:val="000000"/>
          <w:kern w:val="0"/>
          <w:szCs w:val="21"/>
        </w:rPr>
        <w:t>3</w:t>
      </w:r>
      <w:bookmarkStart w:id="531" w:name="_Toc296347157"/>
      <w:bookmarkEnd w:id="531"/>
      <w:bookmarkStart w:id="532" w:name="_Toc297048344"/>
      <w:bookmarkEnd w:id="532"/>
      <w:bookmarkStart w:id="533" w:name="_Toc296503158"/>
      <w:bookmarkEnd w:id="533"/>
      <w:bookmarkStart w:id="534" w:name="_Toc297120458"/>
      <w:bookmarkEnd w:id="534"/>
      <w:bookmarkStart w:id="535" w:name="_Toc296346659"/>
      <w:bookmarkEnd w:id="535"/>
      <w:bookmarkStart w:id="536" w:name="_Toc292559868"/>
      <w:bookmarkEnd w:id="536"/>
      <w:bookmarkStart w:id="537" w:name="_Toc296944497"/>
      <w:bookmarkEnd w:id="537"/>
      <w:bookmarkStart w:id="538" w:name="_Toc296891198"/>
      <w:bookmarkEnd w:id="538"/>
      <w:bookmarkStart w:id="539" w:name="_Toc296890986"/>
      <w:bookmarkEnd w:id="539"/>
      <w:bookmarkStart w:id="540" w:name="_Toc292559363"/>
      <w:bookmarkEnd w:id="530"/>
      <w:r>
        <w:rPr>
          <w:rFonts w:hint="eastAsia" w:ascii="宋体" w:hAnsi="宋体" w:cs="Arial"/>
          <w:b/>
          <w:bCs/>
          <w:color w:val="000000"/>
          <w:kern w:val="0"/>
          <w:szCs w:val="21"/>
        </w:rPr>
        <w:t xml:space="preserve">. </w:t>
      </w:r>
      <w:bookmarkEnd w:id="540"/>
      <w:r>
        <w:rPr>
          <w:rFonts w:hint="eastAsia" w:ascii="宋体" w:hAnsi="宋体" w:cs="Arial"/>
          <w:b/>
          <w:bCs/>
          <w:color w:val="000000"/>
          <w:kern w:val="0"/>
          <w:szCs w:val="21"/>
        </w:rPr>
        <w:t>承包人</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3.1 承包人的一般义务</w:t>
      </w:r>
    </w:p>
    <w:p>
      <w:pPr>
        <w:widowControl/>
        <w:spacing w:line="360" w:lineRule="auto"/>
        <w:ind w:firstLine="357" w:firstLineChars="170"/>
        <w:jc w:val="left"/>
        <w:textAlignment w:val="top"/>
        <w:rPr>
          <w:rFonts w:ascii="宋体" w:hAnsi="宋体" w:cs="Arial"/>
          <w:color w:val="000000"/>
          <w:kern w:val="0"/>
          <w:szCs w:val="21"/>
          <w:u w:val="single"/>
        </w:rPr>
      </w:pPr>
      <w:r>
        <w:rPr>
          <w:rFonts w:hint="eastAsia" w:ascii="宋体" w:hAnsi="宋体" w:cs="Arial"/>
          <w:color w:val="000000"/>
          <w:kern w:val="0"/>
          <w:szCs w:val="21"/>
        </w:rPr>
        <w:t xml:space="preserve">（5）承包人提交的竣工资料的内容： </w:t>
      </w:r>
      <w:r>
        <w:rPr>
          <w:rFonts w:hint="eastAsia" w:ascii="宋体" w:hAnsi="宋体" w:cs="Arial"/>
          <w:color w:val="000000"/>
          <w:kern w:val="0"/>
          <w:szCs w:val="21"/>
          <w:u w:val="single"/>
        </w:rPr>
        <w:t xml:space="preserve">                           。</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承包人需要提交的竣工资料套数：</w:t>
      </w:r>
      <w:r>
        <w:rPr>
          <w:rFonts w:hint="eastAsia" w:ascii="宋体" w:hAnsi="宋体" w:cs="Arial"/>
          <w:color w:val="000000"/>
          <w:kern w:val="0"/>
          <w:szCs w:val="21"/>
          <w:u w:val="single"/>
        </w:rPr>
        <w:t>                       </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承包人提交的竣工资料的费用承担：</w:t>
      </w:r>
      <w:r>
        <w:rPr>
          <w:rFonts w:hint="eastAsia" w:ascii="宋体" w:hAnsi="宋体" w:cs="Arial"/>
          <w:color w:val="000000"/>
          <w:kern w:val="0"/>
          <w:szCs w:val="21"/>
          <w:u w:val="single"/>
        </w:rPr>
        <w:t>                     </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承包人提交的竣工资料移交时间：</w:t>
      </w:r>
      <w:r>
        <w:rPr>
          <w:rFonts w:hint="eastAsia" w:ascii="宋体" w:hAnsi="宋体" w:cs="Arial"/>
          <w:color w:val="000000"/>
          <w:kern w:val="0"/>
          <w:szCs w:val="21"/>
          <w:u w:val="single"/>
        </w:rPr>
        <w:t>                       </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承包人提交的竣工资料形式要求：</w:t>
      </w:r>
      <w:r>
        <w:rPr>
          <w:rFonts w:hint="eastAsia" w:ascii="宋体" w:hAnsi="宋体" w:cs="Arial"/>
          <w:color w:val="000000"/>
          <w:kern w:val="0"/>
          <w:szCs w:val="21"/>
          <w:u w:val="single"/>
        </w:rPr>
        <w:t>                       </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（6）承包人应履行的其他义务：</w:t>
      </w:r>
      <w:r>
        <w:rPr>
          <w:rFonts w:hint="eastAsia" w:ascii="宋体" w:hAnsi="宋体" w:cs="PMingLiU"/>
          <w:color w:val="000000"/>
          <w:kern w:val="0"/>
          <w:szCs w:val="21"/>
          <w:u w:val="single"/>
        </w:rPr>
        <w:t></w:t>
      </w:r>
      <w:r>
        <w:rPr>
          <w:rFonts w:hint="eastAsia" w:ascii="宋体" w:hAnsi="宋体" w:cs="Arial"/>
          <w:color w:val="000000"/>
          <w:kern w:val="0"/>
          <w:szCs w:val="21"/>
          <w:u w:val="single"/>
        </w:rPr>
        <w:t>              </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3.2 项目经理</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3.2.1 项目经理：</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姓    名：</w:t>
      </w:r>
      <w:r>
        <w:rPr>
          <w:rFonts w:hint="eastAsia" w:ascii="宋体" w:hAnsi="宋体" w:cs="PMingLiU"/>
          <w:color w:val="000000"/>
          <w:kern w:val="0"/>
          <w:szCs w:val="21"/>
          <w:u w:val="single"/>
        </w:rPr>
        <w:t></w:t>
      </w:r>
      <w:r>
        <w:rPr>
          <w:rFonts w:hint="eastAsia" w:ascii="宋体" w:hAnsi="宋体" w:cs="Arial"/>
          <w:color w:val="000000"/>
          <w:kern w:val="0"/>
          <w:szCs w:val="21"/>
          <w:u w:val="single"/>
        </w:rPr>
        <w:t xml:space="preserve">  </w:t>
      </w:r>
      <w:r>
        <w:rPr>
          <w:rFonts w:hint="eastAsia" w:ascii="宋体" w:hAnsi="宋体" w:cs="PMingLiU"/>
          <w:color w:val="000000"/>
          <w:kern w:val="0"/>
          <w:szCs w:val="21"/>
          <w:u w:val="single"/>
        </w:rPr>
        <w:t></w:t>
      </w:r>
      <w:r>
        <w:rPr>
          <w:rFonts w:hint="eastAsia" w:ascii="宋体" w:hAnsi="宋体" w:cs="Arial"/>
          <w:color w:val="000000"/>
          <w:kern w:val="0"/>
          <w:szCs w:val="21"/>
          <w:u w:val="single"/>
        </w:rPr>
        <w:t xml:space="preserve">      </w:t>
      </w:r>
      <w:r>
        <w:rPr>
          <w:rFonts w:hint="eastAsia" w:ascii="宋体" w:hAnsi="宋体" w:cs="PMingLiU"/>
          <w:color w:val="000000"/>
          <w:kern w:val="0"/>
          <w:szCs w:val="21"/>
          <w:u w:val="single"/>
        </w:rPr>
        <w:t></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身份证号：</w:t>
      </w:r>
      <w:r>
        <w:rPr>
          <w:rFonts w:hint="eastAsia" w:ascii="宋体" w:hAnsi="宋体" w:cs="PMingLiU"/>
          <w:color w:val="000000"/>
          <w:kern w:val="0"/>
          <w:szCs w:val="21"/>
          <w:u w:val="single"/>
        </w:rPr>
        <w:t></w:t>
      </w:r>
      <w:r>
        <w:rPr>
          <w:rFonts w:hint="eastAsia" w:ascii="宋体" w:hAnsi="宋体" w:cs="Arial"/>
          <w:color w:val="000000"/>
          <w:kern w:val="0"/>
          <w:szCs w:val="21"/>
          <w:u w:val="single"/>
        </w:rPr>
        <w:t xml:space="preserve">  </w:t>
      </w:r>
      <w:r>
        <w:rPr>
          <w:rFonts w:hint="eastAsia" w:ascii="宋体" w:hAnsi="宋体" w:cs="PMingLiU"/>
          <w:color w:val="000000"/>
          <w:kern w:val="0"/>
          <w:szCs w:val="21"/>
          <w:u w:val="single"/>
        </w:rPr>
        <w:t></w:t>
      </w:r>
      <w:r>
        <w:rPr>
          <w:rFonts w:hint="eastAsia" w:ascii="宋体" w:hAnsi="宋体" w:cs="Arial"/>
          <w:color w:val="000000"/>
          <w:kern w:val="0"/>
          <w:szCs w:val="21"/>
          <w:u w:val="single"/>
        </w:rPr>
        <w:t xml:space="preserve">      </w:t>
      </w:r>
      <w:r>
        <w:rPr>
          <w:rFonts w:hint="eastAsia" w:ascii="宋体" w:hAnsi="宋体" w:cs="PMingLiU"/>
          <w:color w:val="000000"/>
          <w:kern w:val="0"/>
          <w:szCs w:val="21"/>
          <w:u w:val="single"/>
        </w:rPr>
        <w:t></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建造师执业资格等级：</w:t>
      </w:r>
      <w:r>
        <w:rPr>
          <w:rFonts w:hint="eastAsia" w:ascii="宋体" w:hAnsi="宋体" w:cs="PMingLiU"/>
          <w:color w:val="000000"/>
          <w:kern w:val="0"/>
          <w:szCs w:val="21"/>
          <w:u w:val="single"/>
        </w:rPr>
        <w:t></w:t>
      </w:r>
      <w:r>
        <w:rPr>
          <w:rFonts w:hint="eastAsia" w:ascii="宋体" w:hAnsi="宋体" w:cs="Arial"/>
          <w:color w:val="000000"/>
          <w:kern w:val="0"/>
          <w:szCs w:val="21"/>
          <w:u w:val="single"/>
        </w:rPr>
        <w:t xml:space="preserve">  </w:t>
      </w:r>
      <w:r>
        <w:rPr>
          <w:rFonts w:hint="eastAsia" w:ascii="宋体" w:hAnsi="宋体" w:cs="PMingLiU"/>
          <w:color w:val="000000"/>
          <w:kern w:val="0"/>
          <w:szCs w:val="21"/>
          <w:u w:val="single"/>
        </w:rPr>
        <w:t></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建造师注册证书号：</w:t>
      </w:r>
      <w:r>
        <w:rPr>
          <w:rFonts w:hint="eastAsia" w:ascii="宋体" w:hAnsi="宋体" w:cs="PMingLiU"/>
          <w:color w:val="000000"/>
          <w:kern w:val="0"/>
          <w:szCs w:val="21"/>
          <w:u w:val="single"/>
        </w:rPr>
        <w:t></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建造师执业印章号：</w:t>
      </w:r>
      <w:r>
        <w:rPr>
          <w:rFonts w:hint="eastAsia" w:ascii="宋体" w:hAnsi="宋体" w:cs="PMingLiU"/>
          <w:color w:val="000000"/>
          <w:kern w:val="0"/>
          <w:szCs w:val="21"/>
          <w:u w:val="single"/>
        </w:rPr>
        <w:t></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安全生产考核合格证书号：</w:t>
      </w:r>
      <w:r>
        <w:rPr>
          <w:rFonts w:hint="eastAsia" w:ascii="宋体" w:hAnsi="宋体" w:cs="PMingLiU"/>
          <w:color w:val="000000"/>
          <w:kern w:val="0"/>
          <w:szCs w:val="21"/>
          <w:u w:val="single"/>
        </w:rPr>
        <w:t></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联系电话：</w:t>
      </w:r>
      <w:r>
        <w:rPr>
          <w:rFonts w:hint="eastAsia" w:ascii="宋体" w:hAnsi="宋体" w:cs="PMingLiU"/>
          <w:color w:val="000000"/>
          <w:kern w:val="0"/>
          <w:szCs w:val="21"/>
          <w:u w:val="single"/>
        </w:rPr>
        <w:t></w:t>
      </w:r>
      <w:r>
        <w:rPr>
          <w:rFonts w:hint="eastAsia" w:ascii="宋体" w:hAnsi="宋体" w:cs="Arial"/>
          <w:color w:val="000000"/>
          <w:kern w:val="0"/>
          <w:szCs w:val="21"/>
          <w:u w:val="single"/>
        </w:rPr>
        <w:t xml:space="preserve">  </w:t>
      </w:r>
      <w:r>
        <w:rPr>
          <w:rFonts w:hint="eastAsia" w:ascii="宋体" w:hAnsi="宋体" w:cs="PMingLiU"/>
          <w:color w:val="000000"/>
          <w:kern w:val="0"/>
          <w:szCs w:val="21"/>
          <w:u w:val="single"/>
        </w:rPr>
        <w:t></w:t>
      </w:r>
      <w:r>
        <w:rPr>
          <w:rFonts w:hint="eastAsia" w:ascii="宋体" w:hAnsi="宋体" w:cs="Arial"/>
          <w:color w:val="000000"/>
          <w:kern w:val="0"/>
          <w:szCs w:val="21"/>
          <w:u w:val="single"/>
        </w:rPr>
        <w:t xml:space="preserve">      </w:t>
      </w:r>
      <w:r>
        <w:rPr>
          <w:rFonts w:hint="eastAsia" w:ascii="宋体" w:hAnsi="宋体" w:cs="PMingLiU"/>
          <w:color w:val="000000"/>
          <w:kern w:val="0"/>
          <w:szCs w:val="21"/>
          <w:u w:val="single"/>
        </w:rPr>
        <w:t></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电子信箱：</w:t>
      </w:r>
      <w:r>
        <w:rPr>
          <w:rFonts w:hint="eastAsia" w:ascii="宋体" w:hAnsi="宋体" w:cs="PMingLiU"/>
          <w:color w:val="000000"/>
          <w:kern w:val="0"/>
          <w:szCs w:val="21"/>
          <w:u w:val="single"/>
        </w:rPr>
        <w:t></w:t>
      </w:r>
      <w:r>
        <w:rPr>
          <w:rFonts w:hint="eastAsia" w:ascii="宋体" w:hAnsi="宋体" w:cs="Arial"/>
          <w:color w:val="000000"/>
          <w:kern w:val="0"/>
          <w:szCs w:val="21"/>
          <w:u w:val="single"/>
        </w:rPr>
        <w:t>        </w:t>
      </w:r>
      <w:r>
        <w:rPr>
          <w:rFonts w:hint="eastAsia" w:ascii="宋体" w:hAnsi="宋体" w:cs="PMingLiU"/>
          <w:color w:val="000000"/>
          <w:kern w:val="0"/>
          <w:szCs w:val="21"/>
          <w:u w:val="single"/>
        </w:rPr>
        <w:t></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通信地址：</w:t>
      </w:r>
      <w:r>
        <w:rPr>
          <w:rFonts w:hint="eastAsia" w:ascii="宋体" w:hAnsi="宋体" w:cs="PMingLiU"/>
          <w:color w:val="000000"/>
          <w:kern w:val="0"/>
          <w:szCs w:val="21"/>
          <w:u w:val="single"/>
        </w:rPr>
        <w:t></w:t>
      </w:r>
      <w:r>
        <w:rPr>
          <w:rFonts w:hint="eastAsia" w:ascii="宋体" w:hAnsi="宋体" w:cs="Arial"/>
          <w:color w:val="000000"/>
          <w:kern w:val="0"/>
          <w:szCs w:val="21"/>
          <w:u w:val="single"/>
        </w:rPr>
        <w:t>        </w:t>
      </w:r>
      <w:r>
        <w:rPr>
          <w:rFonts w:hint="eastAsia" w:ascii="宋体" w:hAnsi="宋体" w:cs="PMingLiU"/>
          <w:color w:val="000000"/>
          <w:kern w:val="0"/>
          <w:szCs w:val="21"/>
          <w:u w:val="single"/>
        </w:rPr>
        <w:t></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承包人对项目经理的授权范围如下：</w:t>
      </w:r>
      <w:r>
        <w:rPr>
          <w:rFonts w:hint="eastAsia" w:ascii="宋体" w:hAnsi="宋体" w:cs="PMingLiU"/>
          <w:color w:val="000000"/>
          <w:kern w:val="0"/>
          <w:szCs w:val="21"/>
          <w:u w:val="single"/>
        </w:rPr>
        <w:t>全权代表承包人处理本工程的一切事宜</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关于项目经理每月在施工现场的时间要求：</w:t>
      </w:r>
      <w:r>
        <w:rPr>
          <w:rFonts w:hint="eastAsia" w:ascii="宋体" w:hAnsi="宋体" w:cs="Arial"/>
          <w:color w:val="000000"/>
          <w:kern w:val="0"/>
          <w:szCs w:val="21"/>
          <w:u w:val="single"/>
        </w:rPr>
        <w:t> 22天</w:t>
      </w:r>
      <w:r>
        <w:rPr>
          <w:rFonts w:hint="eastAsia" w:ascii="宋体" w:hAnsi="宋体" w:cs="PMingLiU"/>
          <w:color w:val="000000"/>
          <w:kern w:val="0"/>
          <w:szCs w:val="21"/>
          <w:u w:val="single"/>
        </w:rPr>
        <w:t></w:t>
      </w:r>
      <w:r>
        <w:rPr>
          <w:rFonts w:hint="eastAsia" w:ascii="宋体" w:hAnsi="宋体" w:cs="Arial"/>
          <w:color w:val="000000"/>
          <w:kern w:val="0"/>
          <w:szCs w:val="21"/>
        </w:rPr>
        <w:t>。</w:t>
      </w:r>
    </w:p>
    <w:p>
      <w:pPr>
        <w:widowControl/>
        <w:spacing w:line="360" w:lineRule="auto"/>
        <w:ind w:firstLine="315" w:firstLineChars="150"/>
        <w:jc w:val="left"/>
        <w:textAlignment w:val="top"/>
        <w:rPr>
          <w:rFonts w:ascii="宋体" w:hAnsi="宋体" w:cs="Arial"/>
          <w:color w:val="000000"/>
          <w:kern w:val="0"/>
          <w:szCs w:val="21"/>
          <w:u w:val="single"/>
        </w:rPr>
      </w:pPr>
      <w:r>
        <w:rPr>
          <w:rFonts w:hint="eastAsia" w:ascii="宋体" w:hAnsi="宋体" w:cs="Arial"/>
          <w:color w:val="000000"/>
          <w:kern w:val="0"/>
          <w:szCs w:val="21"/>
        </w:rPr>
        <w:t>承包人未提交劳动合同，以及没有为项目经理缴纳社会保险证明的违约责任：</w:t>
      </w:r>
      <w:r>
        <w:rPr>
          <w:rFonts w:hint="eastAsia" w:ascii="宋体" w:hAnsi="宋体" w:cs="Arial"/>
          <w:color w:val="000000"/>
          <w:kern w:val="0"/>
          <w:szCs w:val="21"/>
          <w:u w:val="single"/>
        </w:rPr>
        <w:t>执行通用条款。</w:t>
      </w:r>
    </w:p>
    <w:p>
      <w:pPr>
        <w:widowControl/>
        <w:spacing w:line="360" w:lineRule="auto"/>
        <w:ind w:firstLine="357" w:firstLineChars="170"/>
        <w:jc w:val="left"/>
        <w:textAlignment w:val="top"/>
        <w:rPr>
          <w:rFonts w:ascii="宋体" w:hAnsi="宋体" w:cs="Arial"/>
          <w:color w:val="000000"/>
          <w:kern w:val="0"/>
          <w:szCs w:val="21"/>
          <w:u w:val="single"/>
        </w:rPr>
      </w:pPr>
      <w:r>
        <w:rPr>
          <w:rFonts w:hint="eastAsia" w:ascii="宋体" w:hAnsi="宋体" w:cs="Arial"/>
          <w:color w:val="000000"/>
          <w:kern w:val="0"/>
          <w:szCs w:val="21"/>
        </w:rPr>
        <w:t>项目经理未经批准，擅自离开施工现场的违约责任：</w:t>
      </w:r>
      <w:r>
        <w:rPr>
          <w:rFonts w:hint="eastAsia" w:ascii="宋体" w:hAnsi="宋体" w:cs="Arial"/>
          <w:color w:val="000000"/>
          <w:kern w:val="0"/>
          <w:szCs w:val="21"/>
          <w:u w:val="single"/>
        </w:rPr>
        <w:t xml:space="preserve"> 承担由此造成的发包人所有损失，并向发包人支付50元/小时（正常应履岗时间）的违约金 。</w:t>
      </w:r>
    </w:p>
    <w:p>
      <w:pPr>
        <w:widowControl/>
        <w:spacing w:line="360" w:lineRule="auto"/>
        <w:ind w:firstLine="357" w:firstLineChars="170"/>
        <w:jc w:val="left"/>
        <w:textAlignment w:val="top"/>
        <w:rPr>
          <w:rFonts w:ascii="宋体" w:hAnsi="宋体" w:cs="Arial"/>
          <w:color w:val="000000"/>
          <w:kern w:val="0"/>
          <w:szCs w:val="21"/>
          <w:u w:val="single"/>
        </w:rPr>
      </w:pPr>
      <w:r>
        <w:rPr>
          <w:rFonts w:hint="eastAsia" w:ascii="宋体" w:hAnsi="宋体" w:cs="Arial"/>
          <w:color w:val="000000"/>
          <w:kern w:val="0"/>
          <w:szCs w:val="21"/>
        </w:rPr>
        <w:t>3.2.3 承包人擅自更换项目经理的违约责任：</w:t>
      </w:r>
      <w:r>
        <w:rPr>
          <w:rFonts w:hint="eastAsia" w:ascii="宋体" w:hAnsi="宋体" w:cs="Arial"/>
          <w:color w:val="000000"/>
          <w:kern w:val="0"/>
          <w:szCs w:val="21"/>
          <w:u w:val="single"/>
        </w:rPr>
        <w:t xml:space="preserve"> 承担由此造成的发包人所有损失，并向发包人支付每次贰拾万元的违约金。</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3.2.4 承包人无正当理由拒绝更换项目经理的违约责任：</w:t>
      </w:r>
      <w:r>
        <w:rPr>
          <w:rFonts w:hint="eastAsia" w:ascii="宋体" w:hAnsi="宋体" w:cs="Arial"/>
          <w:color w:val="000000"/>
          <w:kern w:val="0"/>
          <w:szCs w:val="21"/>
          <w:u w:val="single"/>
        </w:rPr>
        <w:t xml:space="preserve"> 承担由此造成的发包人所有损失，并向发包人支付每次拾万元的违约金 </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3.3 承包人人员</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3.3.1 承包人提交项目管理机构及施工现场管理人员安排报告的期限：</w:t>
      </w:r>
      <w:r>
        <w:rPr>
          <w:rFonts w:hint="eastAsia" w:ascii="宋体" w:hAnsi="宋体" w:cs="Arial"/>
          <w:color w:val="000000"/>
          <w:kern w:val="0"/>
          <w:szCs w:val="21"/>
          <w:u w:val="single"/>
        </w:rPr>
        <w:t xml:space="preserve">  开工后7日内 。</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3.3.3 承包人无正当理由拒绝撤换主要施工管理人员的违约责任：</w:t>
      </w:r>
      <w:r>
        <w:rPr>
          <w:rFonts w:hint="eastAsia" w:ascii="宋体" w:hAnsi="宋体" w:cs="Arial"/>
          <w:color w:val="000000"/>
          <w:kern w:val="0"/>
          <w:szCs w:val="21"/>
          <w:u w:val="single"/>
        </w:rPr>
        <w:t xml:space="preserve"> 承担由此造成的发包人所有损失，并向发包人支付每人次贰万元的违约金 。</w:t>
      </w:r>
    </w:p>
    <w:p>
      <w:pPr>
        <w:widowControl/>
        <w:spacing w:line="360" w:lineRule="auto"/>
        <w:ind w:firstLine="357" w:firstLineChars="170"/>
        <w:jc w:val="left"/>
        <w:textAlignment w:val="top"/>
        <w:rPr>
          <w:rFonts w:ascii="宋体" w:hAnsi="宋体" w:cs="Arial"/>
          <w:color w:val="000000"/>
          <w:kern w:val="0"/>
          <w:szCs w:val="21"/>
          <w:u w:val="single"/>
        </w:rPr>
      </w:pPr>
      <w:r>
        <w:rPr>
          <w:rFonts w:hint="eastAsia" w:ascii="宋体" w:hAnsi="宋体" w:cs="Arial"/>
          <w:color w:val="000000"/>
          <w:kern w:val="0"/>
          <w:szCs w:val="21"/>
        </w:rPr>
        <w:t>3.3.4 承包人主要施工管理人员离开施工现场的批准要求：</w:t>
      </w:r>
      <w:r>
        <w:rPr>
          <w:rFonts w:hint="eastAsia" w:ascii="宋体" w:hAnsi="宋体" w:cs="Arial"/>
          <w:color w:val="000000"/>
          <w:kern w:val="0"/>
          <w:szCs w:val="21"/>
          <w:u w:val="single"/>
        </w:rPr>
        <w:t>应征得总监理工程师和发包人代表的同意 。</w:t>
      </w:r>
    </w:p>
    <w:p>
      <w:pPr>
        <w:widowControl/>
        <w:spacing w:line="360" w:lineRule="auto"/>
        <w:ind w:firstLine="357" w:firstLineChars="170"/>
        <w:jc w:val="left"/>
        <w:textAlignment w:val="top"/>
        <w:rPr>
          <w:rFonts w:ascii="宋体" w:hAnsi="宋体" w:cs="Arial"/>
          <w:color w:val="000000"/>
          <w:kern w:val="0"/>
          <w:szCs w:val="21"/>
          <w:u w:val="single"/>
        </w:rPr>
      </w:pPr>
      <w:r>
        <w:rPr>
          <w:rFonts w:hint="eastAsia" w:ascii="宋体" w:hAnsi="宋体" w:cs="Arial"/>
          <w:color w:val="000000"/>
          <w:kern w:val="0"/>
          <w:szCs w:val="21"/>
        </w:rPr>
        <w:t>3.3.5承包人擅自更换主要施工管理人员的违约责任：</w:t>
      </w:r>
      <w:r>
        <w:rPr>
          <w:rFonts w:hint="eastAsia" w:ascii="宋体" w:hAnsi="宋体" w:cs="Arial"/>
          <w:color w:val="000000"/>
          <w:kern w:val="0"/>
          <w:szCs w:val="21"/>
          <w:u w:val="single"/>
        </w:rPr>
        <w:t>承担由此造成的发包人所有损失，并向发包人支付每人次伍万元的违约金。</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承包人主要施工管理人员擅自离开施工现场的违约责任：</w:t>
      </w:r>
      <w:r>
        <w:rPr>
          <w:rFonts w:hint="eastAsia" w:ascii="宋体" w:hAnsi="宋体" w:cs="Arial"/>
          <w:color w:val="000000"/>
          <w:kern w:val="0"/>
          <w:szCs w:val="21"/>
          <w:u w:val="single"/>
        </w:rPr>
        <w:t>承担由此造成的发包人所有损失，并向发包人支付每人30元/小时（正常应履岗时间）的违约金。</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3</w:t>
      </w:r>
      <w:bookmarkStart w:id="541" w:name="_Toc296891199"/>
      <w:bookmarkEnd w:id="541"/>
      <w:bookmarkStart w:id="542" w:name="_Toc296890987"/>
      <w:bookmarkEnd w:id="542"/>
      <w:bookmarkStart w:id="543" w:name="_Toc296503159"/>
      <w:bookmarkEnd w:id="543"/>
      <w:bookmarkStart w:id="544" w:name="_Toc296347158"/>
      <w:bookmarkEnd w:id="544"/>
      <w:bookmarkStart w:id="545" w:name="_Toc304295523"/>
      <w:bookmarkEnd w:id="545"/>
      <w:bookmarkStart w:id="546" w:name="_Toc297123492"/>
      <w:bookmarkEnd w:id="546"/>
      <w:bookmarkStart w:id="547" w:name="_Toc303539102"/>
      <w:bookmarkEnd w:id="547"/>
      <w:bookmarkStart w:id="548" w:name="_Toc297216151"/>
      <w:bookmarkEnd w:id="548"/>
      <w:bookmarkStart w:id="549" w:name="_Toc300934945"/>
      <w:bookmarkEnd w:id="549"/>
      <w:bookmarkStart w:id="550" w:name="_Toc296346660"/>
      <w:bookmarkEnd w:id="550"/>
      <w:bookmarkStart w:id="551" w:name="_Toc296944498"/>
      <w:bookmarkEnd w:id="551"/>
      <w:bookmarkStart w:id="552" w:name="_Toc297048345"/>
      <w:bookmarkEnd w:id="552"/>
      <w:bookmarkStart w:id="553" w:name="_Toc292559869"/>
      <w:bookmarkEnd w:id="553"/>
      <w:bookmarkStart w:id="554" w:name="_Toc312677988"/>
      <w:bookmarkEnd w:id="554"/>
      <w:bookmarkStart w:id="555" w:name="_Toc297120459"/>
      <w:bookmarkEnd w:id="555"/>
      <w:bookmarkStart w:id="556" w:name="_Toc292559364"/>
      <w:r>
        <w:rPr>
          <w:rFonts w:hint="eastAsia" w:ascii="宋体" w:hAnsi="宋体" w:cs="Arial"/>
          <w:color w:val="000000"/>
          <w:kern w:val="0"/>
          <w:szCs w:val="21"/>
        </w:rPr>
        <w:t xml:space="preserve">.5 </w:t>
      </w:r>
      <w:bookmarkEnd w:id="556"/>
      <w:r>
        <w:rPr>
          <w:rFonts w:hint="eastAsia" w:ascii="宋体" w:hAnsi="宋体" w:cs="Arial"/>
          <w:color w:val="000000"/>
          <w:kern w:val="0"/>
          <w:szCs w:val="21"/>
        </w:rPr>
        <w:t>分包</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3</w:t>
      </w:r>
      <w:bookmarkStart w:id="557" w:name="_Toc292559870"/>
      <w:bookmarkEnd w:id="557"/>
      <w:bookmarkStart w:id="558" w:name="_Toc296346661"/>
      <w:bookmarkEnd w:id="558"/>
      <w:bookmarkStart w:id="559" w:name="_Toc318581158"/>
      <w:bookmarkEnd w:id="559"/>
      <w:bookmarkStart w:id="560" w:name="_Toc312677989"/>
      <w:bookmarkEnd w:id="560"/>
      <w:bookmarkStart w:id="561" w:name="_Toc296891200"/>
      <w:bookmarkEnd w:id="561"/>
      <w:bookmarkStart w:id="562" w:name="_Toc303539103"/>
      <w:bookmarkEnd w:id="562"/>
      <w:bookmarkStart w:id="563" w:name="_Toc297120460"/>
      <w:bookmarkEnd w:id="563"/>
      <w:bookmarkStart w:id="564" w:name="_Toc297216152"/>
      <w:bookmarkEnd w:id="564"/>
      <w:bookmarkStart w:id="565" w:name="_Toc297048346"/>
      <w:bookmarkEnd w:id="565"/>
      <w:bookmarkStart w:id="566" w:name="_Toc296944499"/>
      <w:bookmarkEnd w:id="566"/>
      <w:bookmarkStart w:id="567" w:name="_Toc297123493"/>
      <w:bookmarkEnd w:id="567"/>
      <w:bookmarkStart w:id="568" w:name="_Toc296347159"/>
      <w:bookmarkEnd w:id="568"/>
      <w:bookmarkStart w:id="569" w:name="_Toc300934946"/>
      <w:bookmarkEnd w:id="569"/>
      <w:bookmarkStart w:id="570" w:name="_Toc304295524"/>
      <w:bookmarkEnd w:id="570"/>
      <w:bookmarkStart w:id="571" w:name="_Toc296503160"/>
      <w:bookmarkEnd w:id="571"/>
      <w:bookmarkStart w:id="572" w:name="_Toc296890988"/>
      <w:bookmarkEnd w:id="572"/>
      <w:bookmarkStart w:id="573" w:name="_Toc292559365"/>
      <w:r>
        <w:rPr>
          <w:rFonts w:hint="eastAsia" w:ascii="宋体" w:hAnsi="宋体" w:cs="Arial"/>
          <w:color w:val="000000"/>
          <w:kern w:val="0"/>
          <w:szCs w:val="21"/>
        </w:rPr>
        <w:t xml:space="preserve">.5.1 </w:t>
      </w:r>
      <w:bookmarkEnd w:id="573"/>
      <w:r>
        <w:rPr>
          <w:rFonts w:hint="eastAsia" w:ascii="宋体" w:hAnsi="宋体" w:cs="Arial"/>
          <w:color w:val="000000"/>
          <w:kern w:val="0"/>
          <w:szCs w:val="21"/>
        </w:rPr>
        <w:t>分包的一般约定</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禁止分包的工程包括：</w:t>
      </w:r>
      <w:r>
        <w:rPr>
          <w:rFonts w:hint="eastAsia" w:ascii="宋体" w:hAnsi="宋体" w:cs="PMingLiU"/>
          <w:color w:val="000000"/>
          <w:kern w:val="0"/>
          <w:szCs w:val="21"/>
          <w:u w:val="single"/>
        </w:rPr>
        <w:t></w:t>
      </w:r>
      <w:r>
        <w:rPr>
          <w:rFonts w:hint="eastAsia" w:ascii="宋体" w:hAnsi="宋体" w:cs="Arial"/>
          <w:color w:val="000000"/>
          <w:kern w:val="0"/>
          <w:szCs w:val="21"/>
          <w:u w:val="single"/>
        </w:rPr>
        <w:t>                          </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主体结构、关键性工作的范围：</w:t>
      </w:r>
      <w:r>
        <w:rPr>
          <w:rFonts w:hint="eastAsia" w:ascii="宋体" w:hAnsi="宋体" w:cs="PMingLiU"/>
          <w:color w:val="000000"/>
          <w:kern w:val="0"/>
          <w:szCs w:val="21"/>
          <w:u w:val="single"/>
        </w:rPr>
        <w:t></w:t>
      </w:r>
      <w:r>
        <w:rPr>
          <w:rFonts w:hint="eastAsia" w:ascii="宋体" w:hAnsi="宋体" w:cs="Arial"/>
          <w:color w:val="000000"/>
          <w:kern w:val="0"/>
          <w:szCs w:val="21"/>
          <w:u w:val="single"/>
        </w:rPr>
        <w:t>         </w:t>
      </w:r>
      <w:r>
        <w:rPr>
          <w:rFonts w:hint="eastAsia" w:ascii="宋体" w:hAnsi="宋体" w:cs="Arial"/>
          <w:color w:val="000000"/>
          <w:kern w:val="0"/>
          <w:szCs w:val="21"/>
        </w:rPr>
        <w:t>。</w:t>
      </w:r>
      <w:bookmarkStart w:id="574" w:name="_Toc297120461"/>
      <w:bookmarkEnd w:id="574"/>
      <w:bookmarkStart w:id="575" w:name="_Toc303539104"/>
      <w:bookmarkEnd w:id="575"/>
      <w:bookmarkStart w:id="576" w:name="_Toc297048347"/>
      <w:bookmarkEnd w:id="576"/>
      <w:bookmarkStart w:id="577" w:name="_Toc296347160"/>
      <w:bookmarkEnd w:id="577"/>
      <w:bookmarkStart w:id="578" w:name="_Toc296890989"/>
      <w:bookmarkEnd w:id="578"/>
      <w:bookmarkStart w:id="579" w:name="_Toc300934947"/>
      <w:bookmarkEnd w:id="579"/>
      <w:bookmarkStart w:id="580" w:name="_Toc296944500"/>
      <w:bookmarkEnd w:id="580"/>
      <w:bookmarkStart w:id="581" w:name="_Toc297123494"/>
      <w:bookmarkEnd w:id="581"/>
      <w:bookmarkStart w:id="582" w:name="_Toc296503161"/>
      <w:bookmarkEnd w:id="582"/>
      <w:bookmarkStart w:id="583" w:name="_Toc304295525"/>
      <w:bookmarkEnd w:id="583"/>
      <w:bookmarkStart w:id="584" w:name="_Toc296346662"/>
      <w:bookmarkEnd w:id="584"/>
      <w:bookmarkStart w:id="585" w:name="_Toc296891201"/>
      <w:bookmarkEnd w:id="585"/>
      <w:bookmarkStart w:id="586" w:name="_Toc297216153"/>
      <w:bookmarkEnd w:id="586"/>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3</w:t>
      </w:r>
      <w:bookmarkStart w:id="587" w:name="_Toc318581159"/>
      <w:bookmarkEnd w:id="587"/>
      <w:bookmarkStart w:id="588" w:name="_Toc312677990"/>
      <w:r>
        <w:rPr>
          <w:rFonts w:hint="eastAsia" w:ascii="宋体" w:hAnsi="宋体" w:cs="Arial"/>
          <w:color w:val="000000"/>
          <w:kern w:val="0"/>
          <w:szCs w:val="21"/>
        </w:rPr>
        <w:t>.5.2</w:t>
      </w:r>
      <w:bookmarkEnd w:id="588"/>
      <w:r>
        <w:rPr>
          <w:rFonts w:hint="eastAsia" w:ascii="宋体" w:hAnsi="宋体" w:cs="Arial"/>
          <w:color w:val="000000"/>
          <w:kern w:val="0"/>
          <w:szCs w:val="21"/>
        </w:rPr>
        <w:t>分包的确定</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允许分包的专业工程包括：</w:t>
      </w:r>
      <w:r>
        <w:rPr>
          <w:rFonts w:hint="eastAsia" w:ascii="宋体" w:hAnsi="宋体" w:cs="PMingLiU"/>
          <w:color w:val="000000"/>
          <w:kern w:val="0"/>
          <w:szCs w:val="21"/>
          <w:u w:val="single"/>
        </w:rPr>
        <w:t></w:t>
      </w:r>
      <w:r>
        <w:rPr>
          <w:rFonts w:hint="eastAsia" w:ascii="宋体" w:hAnsi="宋体" w:cs="Arial"/>
          <w:color w:val="000000"/>
          <w:kern w:val="0"/>
          <w:szCs w:val="21"/>
          <w:u w:val="single"/>
        </w:rPr>
        <w:t xml:space="preserve">           </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其他关于分包的约定：</w:t>
      </w:r>
      <w:r>
        <w:rPr>
          <w:rFonts w:hint="eastAsia" w:ascii="宋体" w:hAnsi="宋体" w:cs="Arial"/>
          <w:color w:val="000000"/>
          <w:kern w:val="0"/>
          <w:szCs w:val="21"/>
          <w:u w:val="single"/>
        </w:rPr>
        <w:t>                    </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3.5.4 分包合同价款</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关于分包,合同价款支付的约定：</w:t>
      </w:r>
      <w:r>
        <w:rPr>
          <w:rFonts w:hint="eastAsia" w:ascii="宋体" w:hAnsi="宋体" w:cs="PMingLiU"/>
          <w:color w:val="000000"/>
          <w:kern w:val="0"/>
          <w:szCs w:val="21"/>
          <w:u w:val="single"/>
        </w:rPr>
        <w:t></w:t>
      </w:r>
      <w:r>
        <w:rPr>
          <w:rFonts w:hint="eastAsia" w:ascii="宋体" w:hAnsi="宋体" w:cs="Arial"/>
          <w:color w:val="000000"/>
          <w:kern w:val="0"/>
          <w:szCs w:val="21"/>
          <w:u w:val="single"/>
        </w:rPr>
        <w:t>      </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3.6 工程照管与成品、半成品保护</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承包人负责照管工程及工程相关的材料、工程设备的起始时间：</w:t>
      </w:r>
      <w:r>
        <w:rPr>
          <w:rFonts w:hint="eastAsia" w:ascii="宋体" w:hAnsi="宋体" w:cs="Arial"/>
          <w:color w:val="000000"/>
          <w:kern w:val="0"/>
          <w:szCs w:val="21"/>
          <w:u w:val="single"/>
        </w:rPr>
        <w:t>      </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3.7 履约担保</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承包人是否提供履约担保：</w:t>
      </w:r>
      <w:r>
        <w:rPr>
          <w:rFonts w:hint="eastAsia" w:ascii="宋体" w:hAnsi="宋体" w:cs="Arial"/>
          <w:color w:val="000000"/>
          <w:kern w:val="0"/>
          <w:szCs w:val="21"/>
          <w:u w:val="single"/>
        </w:rPr>
        <w:t>    提供                </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kern w:val="0"/>
          <w:szCs w:val="21"/>
        </w:rPr>
      </w:pPr>
      <w:r>
        <w:rPr>
          <w:rFonts w:hint="eastAsia" w:ascii="宋体" w:hAnsi="宋体" w:cs="Arial"/>
          <w:color w:val="000000"/>
          <w:kern w:val="0"/>
          <w:szCs w:val="21"/>
        </w:rPr>
        <w:t>承包人提供履约担保的形式、金额及期限的：</w:t>
      </w:r>
      <w:r>
        <w:rPr>
          <w:rFonts w:hint="eastAsia" w:ascii="宋体" w:hAnsi="宋体" w:cs="Arial"/>
          <w:kern w:val="0"/>
          <w:szCs w:val="21"/>
          <w:u w:val="single"/>
        </w:rPr>
        <w:t> 承包商履约担保的形式：转账、中标价的5%。中标人在领取中标通知书后5日内，将中标价的5%转入招标人指定账户，否则视为放弃中标资格 。待工程竣工验收合格后，发包人无息退还承包商的履约担保。</w:t>
      </w:r>
    </w:p>
    <w:p>
      <w:pPr>
        <w:widowControl/>
        <w:spacing w:line="360" w:lineRule="auto"/>
        <w:ind w:firstLine="358" w:firstLineChars="170"/>
        <w:jc w:val="left"/>
        <w:textAlignment w:val="top"/>
        <w:outlineLvl w:val="3"/>
        <w:rPr>
          <w:rFonts w:ascii="宋体" w:hAnsi="宋体" w:cs="Arial"/>
          <w:b/>
          <w:bCs/>
          <w:color w:val="000000"/>
          <w:kern w:val="0"/>
          <w:szCs w:val="21"/>
        </w:rPr>
      </w:pPr>
      <w:bookmarkStart w:id="589" w:name="_Toc351203636"/>
      <w:r>
        <w:rPr>
          <w:rFonts w:hint="eastAsia" w:ascii="宋体" w:hAnsi="宋体" w:cs="Arial"/>
          <w:b/>
          <w:bCs/>
          <w:color w:val="000000"/>
          <w:kern w:val="0"/>
          <w:szCs w:val="21"/>
        </w:rPr>
        <w:t>4</w:t>
      </w:r>
      <w:bookmarkStart w:id="590" w:name="_Toc296891202"/>
      <w:bookmarkEnd w:id="590"/>
      <w:bookmarkStart w:id="591" w:name="_Toc296890990"/>
      <w:bookmarkEnd w:id="591"/>
      <w:bookmarkStart w:id="592" w:name="_Toc296503162"/>
      <w:bookmarkEnd w:id="592"/>
      <w:bookmarkStart w:id="593" w:name="_Toc297120462"/>
      <w:bookmarkEnd w:id="593"/>
      <w:bookmarkStart w:id="594" w:name="_Toc292559871"/>
      <w:bookmarkEnd w:id="594"/>
      <w:bookmarkStart w:id="595" w:name="_Toc267251413"/>
      <w:bookmarkEnd w:id="595"/>
      <w:bookmarkStart w:id="596" w:name="_Toc296346663"/>
      <w:bookmarkEnd w:id="596"/>
      <w:bookmarkStart w:id="597" w:name="_Toc296347161"/>
      <w:bookmarkEnd w:id="597"/>
      <w:bookmarkStart w:id="598" w:name="_Toc297048348"/>
      <w:bookmarkEnd w:id="598"/>
      <w:bookmarkStart w:id="599" w:name="_Toc296944501"/>
      <w:bookmarkEnd w:id="599"/>
      <w:bookmarkStart w:id="600" w:name="_Toc292559366"/>
      <w:bookmarkEnd w:id="589"/>
      <w:r>
        <w:rPr>
          <w:rFonts w:hint="eastAsia" w:ascii="宋体" w:hAnsi="宋体" w:cs="Arial"/>
          <w:b/>
          <w:bCs/>
          <w:color w:val="000000"/>
          <w:kern w:val="0"/>
          <w:szCs w:val="21"/>
        </w:rPr>
        <w:t xml:space="preserve">. </w:t>
      </w:r>
      <w:bookmarkEnd w:id="600"/>
      <w:r>
        <w:rPr>
          <w:rFonts w:hint="eastAsia" w:ascii="宋体" w:hAnsi="宋体" w:cs="Arial"/>
          <w:b/>
          <w:bCs/>
          <w:color w:val="000000"/>
          <w:kern w:val="0"/>
          <w:szCs w:val="21"/>
        </w:rPr>
        <w:t>监理人</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4.1监理人的一般规定</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关于监理人的监理内容：</w:t>
      </w:r>
      <w:r>
        <w:rPr>
          <w:rFonts w:hint="eastAsia" w:ascii="宋体" w:hAnsi="宋体" w:cs="Arial"/>
          <w:color w:val="000000"/>
          <w:kern w:val="0"/>
          <w:szCs w:val="21"/>
          <w:u w:val="single"/>
        </w:rPr>
        <w:t>        </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关于监理人的监理权限：</w:t>
      </w:r>
      <w:r>
        <w:rPr>
          <w:rFonts w:hint="eastAsia" w:ascii="宋体" w:hAnsi="宋体" w:cs="Arial"/>
          <w:color w:val="000000"/>
          <w:kern w:val="0"/>
          <w:szCs w:val="21"/>
          <w:u w:val="single"/>
        </w:rPr>
        <w:t>    </w:t>
      </w:r>
      <w:r>
        <w:rPr>
          <w:rFonts w:hint="eastAsia" w:ascii="宋体" w:hAnsi="宋体" w:cs="Arial"/>
          <w:color w:val="000000"/>
          <w:kern w:val="0"/>
          <w:szCs w:val="21"/>
        </w:rPr>
        <w:t xml:space="preserve">。 </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关于监理人在施工现场的办公场所、生活场所的提供和费用承担的约定：</w:t>
      </w:r>
      <w:r>
        <w:rPr>
          <w:rFonts w:hint="eastAsia" w:ascii="宋体" w:hAnsi="宋体" w:cs="Arial"/>
          <w:color w:val="000000"/>
          <w:kern w:val="0"/>
          <w:szCs w:val="21"/>
          <w:u w:val="single"/>
        </w:rPr>
        <w:t>    </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4.2 监理人员</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总监理工程师：</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姓    名：</w:t>
      </w:r>
      <w:r>
        <w:rPr>
          <w:rFonts w:hint="eastAsia" w:ascii="宋体" w:hAnsi="宋体" w:cs="PMingLiU"/>
          <w:color w:val="000000"/>
          <w:kern w:val="0"/>
          <w:szCs w:val="21"/>
          <w:u w:val="single"/>
        </w:rPr>
        <w:t></w:t>
      </w:r>
      <w:r>
        <w:rPr>
          <w:rFonts w:hint="eastAsia" w:ascii="宋体" w:hAnsi="宋体" w:cs="Arial"/>
          <w:color w:val="000000"/>
          <w:kern w:val="0"/>
          <w:szCs w:val="21"/>
          <w:u w:val="single"/>
        </w:rPr>
        <w:t xml:space="preserve">  </w:t>
      </w:r>
      <w:r>
        <w:rPr>
          <w:rFonts w:hint="eastAsia" w:ascii="宋体" w:hAnsi="宋体" w:cs="PMingLiU"/>
          <w:color w:val="000000"/>
          <w:kern w:val="0"/>
          <w:szCs w:val="21"/>
          <w:u w:val="single"/>
        </w:rPr>
        <w:t></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职    务：</w:t>
      </w:r>
      <w:r>
        <w:rPr>
          <w:rFonts w:hint="eastAsia" w:ascii="宋体" w:hAnsi="宋体" w:cs="PMingLiU"/>
          <w:color w:val="000000"/>
          <w:kern w:val="0"/>
          <w:szCs w:val="21"/>
          <w:u w:val="single"/>
        </w:rPr>
        <w:t></w:t>
      </w:r>
      <w:r>
        <w:rPr>
          <w:rFonts w:hint="eastAsia" w:ascii="宋体" w:hAnsi="宋体" w:cs="Arial"/>
          <w:color w:val="000000"/>
          <w:kern w:val="0"/>
          <w:szCs w:val="21"/>
          <w:u w:val="single"/>
        </w:rPr>
        <w:t xml:space="preserve">  </w:t>
      </w:r>
      <w:r>
        <w:rPr>
          <w:rFonts w:hint="eastAsia" w:ascii="宋体" w:hAnsi="宋体" w:cs="PMingLiU"/>
          <w:color w:val="000000"/>
          <w:kern w:val="0"/>
          <w:szCs w:val="21"/>
          <w:u w:val="single"/>
        </w:rPr>
        <w:t></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监理工程师执业资格证书号：</w:t>
      </w:r>
      <w:r>
        <w:rPr>
          <w:rFonts w:hint="eastAsia" w:ascii="宋体" w:hAnsi="宋体" w:cs="PMingLiU"/>
          <w:color w:val="000000"/>
          <w:kern w:val="0"/>
          <w:szCs w:val="21"/>
          <w:u w:val="single"/>
        </w:rPr>
        <w:t></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联系电话：</w:t>
      </w:r>
      <w:r>
        <w:rPr>
          <w:rFonts w:hint="eastAsia" w:ascii="宋体" w:hAnsi="宋体" w:cs="PMingLiU"/>
          <w:color w:val="000000"/>
          <w:kern w:val="0"/>
          <w:szCs w:val="21"/>
          <w:u w:val="single"/>
        </w:rPr>
        <w:t></w:t>
      </w:r>
      <w:r>
        <w:rPr>
          <w:rFonts w:hint="eastAsia" w:ascii="宋体" w:hAnsi="宋体" w:cs="Arial"/>
          <w:color w:val="000000"/>
          <w:kern w:val="0"/>
          <w:szCs w:val="21"/>
          <w:u w:val="single"/>
        </w:rPr>
        <w:t xml:space="preserve">  </w:t>
      </w:r>
      <w:r>
        <w:rPr>
          <w:rFonts w:hint="eastAsia" w:ascii="宋体" w:hAnsi="宋体" w:cs="PMingLiU"/>
          <w:color w:val="000000"/>
          <w:kern w:val="0"/>
          <w:szCs w:val="21"/>
          <w:u w:val="single"/>
        </w:rPr>
        <w:t></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电子信箱：</w:t>
      </w:r>
      <w:r>
        <w:rPr>
          <w:rFonts w:hint="eastAsia" w:ascii="宋体" w:hAnsi="宋体" w:cs="PMingLiU"/>
          <w:color w:val="000000"/>
          <w:kern w:val="0"/>
          <w:szCs w:val="21"/>
          <w:u w:val="single"/>
        </w:rPr>
        <w:t></w:t>
      </w:r>
      <w:r>
        <w:rPr>
          <w:rFonts w:hint="eastAsia" w:ascii="宋体" w:hAnsi="宋体" w:cs="Arial"/>
          <w:color w:val="000000"/>
          <w:kern w:val="0"/>
          <w:szCs w:val="21"/>
          <w:u w:val="single"/>
        </w:rPr>
        <w:t xml:space="preserve">  </w:t>
      </w:r>
      <w:r>
        <w:rPr>
          <w:rFonts w:hint="eastAsia" w:ascii="宋体" w:hAnsi="宋体" w:cs="PMingLiU"/>
          <w:color w:val="000000"/>
          <w:kern w:val="0"/>
          <w:szCs w:val="21"/>
          <w:u w:val="single"/>
        </w:rPr>
        <w:t></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通信地址：</w:t>
      </w:r>
      <w:r>
        <w:rPr>
          <w:rFonts w:hint="eastAsia" w:ascii="宋体" w:hAnsi="宋体" w:cs="PMingLiU"/>
          <w:color w:val="000000"/>
          <w:kern w:val="0"/>
          <w:szCs w:val="21"/>
          <w:u w:val="single"/>
        </w:rPr>
        <w:t></w:t>
      </w:r>
      <w:r>
        <w:rPr>
          <w:rFonts w:hint="eastAsia" w:ascii="宋体" w:hAnsi="宋体" w:cs="Arial"/>
          <w:color w:val="000000"/>
          <w:kern w:val="0"/>
          <w:szCs w:val="21"/>
          <w:u w:val="single"/>
        </w:rPr>
        <w:t xml:space="preserve">  </w:t>
      </w:r>
      <w:r>
        <w:rPr>
          <w:rFonts w:hint="eastAsia" w:ascii="宋体" w:hAnsi="宋体" w:cs="PMingLiU"/>
          <w:color w:val="000000"/>
          <w:kern w:val="0"/>
          <w:szCs w:val="21"/>
          <w:u w:val="single"/>
        </w:rPr>
        <w:t></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关于监理人的其他约定：</w:t>
      </w:r>
      <w:r>
        <w:rPr>
          <w:rFonts w:hint="eastAsia" w:ascii="宋体" w:hAnsi="宋体" w:cs="PMingLiU"/>
          <w:color w:val="000000"/>
          <w:kern w:val="0"/>
          <w:szCs w:val="21"/>
          <w:u w:val="single"/>
        </w:rPr>
        <w:t></w:t>
      </w:r>
      <w:r>
        <w:rPr>
          <w:rFonts w:hint="eastAsia" w:ascii="宋体" w:hAnsi="宋体" w:cs="Arial"/>
          <w:color w:val="000000"/>
          <w:kern w:val="0"/>
          <w:szCs w:val="21"/>
          <w:u w:val="single"/>
        </w:rPr>
        <w:t xml:space="preserve">  </w:t>
      </w:r>
      <w:r>
        <w:rPr>
          <w:rFonts w:hint="eastAsia" w:ascii="宋体" w:hAnsi="宋体" w:cs="PMingLiU"/>
          <w:color w:val="000000"/>
          <w:kern w:val="0"/>
          <w:szCs w:val="21"/>
          <w:u w:val="single"/>
        </w:rPr>
        <w:t></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4.4 商定或确定</w:t>
      </w:r>
    </w:p>
    <w:p>
      <w:pPr>
        <w:widowControl/>
        <w:spacing w:line="360" w:lineRule="auto"/>
        <w:ind w:firstLine="357" w:firstLineChars="170"/>
        <w:jc w:val="left"/>
        <w:textAlignment w:val="top"/>
        <w:rPr>
          <w:rFonts w:ascii="宋体" w:hAnsi="宋体" w:cs="Arial"/>
          <w:color w:val="000000"/>
          <w:kern w:val="0"/>
          <w:szCs w:val="21"/>
        </w:rPr>
      </w:pPr>
      <w:bookmarkStart w:id="601" w:name="_Toc267251418"/>
      <w:r>
        <w:rPr>
          <w:rFonts w:hint="eastAsia" w:ascii="宋体" w:hAnsi="宋体" w:cs="Arial"/>
          <w:color w:val="000000"/>
          <w:kern w:val="0"/>
          <w:szCs w:val="21"/>
        </w:rPr>
        <w:t>在发包人和承包人不能通过协商达成一致意见时，发包人授权监理人对以下事项进行确定：</w:t>
      </w:r>
      <w:bookmarkEnd w:id="601"/>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（1）</w:t>
      </w:r>
      <w:r>
        <w:rPr>
          <w:rFonts w:hint="eastAsia" w:ascii="宋体" w:hAnsi="宋体" w:cs="Arial"/>
          <w:color w:val="000000"/>
          <w:kern w:val="0"/>
          <w:szCs w:val="21"/>
          <w:u w:val="single"/>
        </w:rPr>
        <w:t>                                   </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（2）</w:t>
      </w:r>
      <w:r>
        <w:rPr>
          <w:rFonts w:hint="eastAsia" w:ascii="宋体" w:hAnsi="宋体" w:cs="Arial"/>
          <w:color w:val="000000"/>
          <w:kern w:val="0"/>
          <w:szCs w:val="21"/>
          <w:u w:val="single"/>
        </w:rPr>
        <w:t>                                   </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（3）</w:t>
      </w:r>
      <w:r>
        <w:rPr>
          <w:rFonts w:hint="eastAsia" w:ascii="宋体" w:hAnsi="宋体" w:cs="Arial"/>
          <w:color w:val="000000"/>
          <w:kern w:val="0"/>
          <w:szCs w:val="21"/>
          <w:u w:val="single"/>
        </w:rPr>
        <w:t>                                   </w:t>
      </w:r>
      <w:r>
        <w:rPr>
          <w:rFonts w:hint="eastAsia" w:ascii="宋体" w:hAnsi="宋体" w:cs="Arial"/>
          <w:color w:val="000000"/>
          <w:kern w:val="0"/>
          <w:szCs w:val="21"/>
        </w:rPr>
        <w:t>。</w:t>
      </w:r>
    </w:p>
    <w:p>
      <w:pPr>
        <w:widowControl/>
        <w:spacing w:line="360" w:lineRule="auto"/>
        <w:ind w:firstLine="358" w:firstLineChars="170"/>
        <w:jc w:val="left"/>
        <w:textAlignment w:val="top"/>
        <w:outlineLvl w:val="3"/>
        <w:rPr>
          <w:rFonts w:ascii="宋体" w:hAnsi="宋体" w:cs="Arial"/>
          <w:b/>
          <w:bCs/>
          <w:color w:val="000000"/>
          <w:kern w:val="0"/>
          <w:szCs w:val="21"/>
        </w:rPr>
      </w:pPr>
      <w:bookmarkStart w:id="602" w:name="_Toc351203637"/>
      <w:r>
        <w:rPr>
          <w:rFonts w:hint="eastAsia" w:ascii="宋体" w:hAnsi="宋体" w:cs="Arial"/>
          <w:b/>
          <w:bCs/>
          <w:color w:val="000000"/>
          <w:kern w:val="0"/>
          <w:szCs w:val="21"/>
        </w:rPr>
        <w:t>5</w:t>
      </w:r>
      <w:bookmarkStart w:id="603" w:name="_Toc296891203"/>
      <w:bookmarkEnd w:id="603"/>
      <w:bookmarkStart w:id="604" w:name="_Toc296944502"/>
      <w:bookmarkEnd w:id="604"/>
      <w:bookmarkStart w:id="605" w:name="_Toc296503163"/>
      <w:bookmarkEnd w:id="605"/>
      <w:bookmarkStart w:id="606" w:name="_Toc297120463"/>
      <w:bookmarkEnd w:id="606"/>
      <w:bookmarkStart w:id="607" w:name="_Toc296346664"/>
      <w:bookmarkEnd w:id="607"/>
      <w:bookmarkStart w:id="608" w:name="_Toc292559367"/>
      <w:bookmarkEnd w:id="608"/>
      <w:bookmarkStart w:id="609" w:name="_Toc292559872"/>
      <w:bookmarkEnd w:id="609"/>
      <w:bookmarkStart w:id="610" w:name="_Toc297048349"/>
      <w:bookmarkEnd w:id="610"/>
      <w:bookmarkStart w:id="611" w:name="_Toc296890991"/>
      <w:bookmarkEnd w:id="611"/>
      <w:bookmarkStart w:id="612" w:name="_Toc296347162"/>
      <w:bookmarkEnd w:id="612"/>
      <w:bookmarkEnd w:id="602"/>
      <w:r>
        <w:rPr>
          <w:rFonts w:hint="eastAsia" w:ascii="宋体" w:hAnsi="宋体" w:cs="Arial"/>
          <w:b/>
          <w:bCs/>
          <w:color w:val="000000"/>
          <w:kern w:val="0"/>
          <w:szCs w:val="21"/>
        </w:rPr>
        <w:t>. 工程质量</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5.1 质量要求</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5</w:t>
      </w:r>
      <w:bookmarkStart w:id="613" w:name="_Toc312677997"/>
      <w:bookmarkEnd w:id="613"/>
      <w:bookmarkStart w:id="614" w:name="_Toc300934949"/>
      <w:bookmarkEnd w:id="614"/>
      <w:bookmarkStart w:id="615" w:name="_Toc304295527"/>
      <w:bookmarkEnd w:id="615"/>
      <w:bookmarkStart w:id="616" w:name="_Toc303539106"/>
      <w:bookmarkEnd w:id="616"/>
      <w:bookmarkStart w:id="617" w:name="_Toc297216155"/>
      <w:bookmarkEnd w:id="617"/>
      <w:bookmarkStart w:id="618" w:name="_Toc318581164"/>
      <w:bookmarkEnd w:id="618"/>
      <w:bookmarkStart w:id="619" w:name="_Toc297123496"/>
      <w:r>
        <w:rPr>
          <w:rFonts w:hint="eastAsia" w:ascii="宋体" w:hAnsi="宋体" w:cs="Arial"/>
          <w:color w:val="000000"/>
          <w:kern w:val="0"/>
          <w:szCs w:val="21"/>
        </w:rPr>
        <w:t xml:space="preserve">.1.1 </w:t>
      </w:r>
      <w:bookmarkEnd w:id="619"/>
      <w:r>
        <w:rPr>
          <w:rFonts w:hint="eastAsia" w:ascii="宋体" w:hAnsi="宋体" w:cs="Arial"/>
          <w:color w:val="000000"/>
          <w:kern w:val="0"/>
          <w:szCs w:val="21"/>
        </w:rPr>
        <w:t>特殊质量标准和要求：</w:t>
      </w:r>
      <w:r>
        <w:rPr>
          <w:rFonts w:hint="eastAsia" w:ascii="宋体" w:hAnsi="宋体" w:cs="Arial"/>
          <w:color w:val="000000"/>
          <w:kern w:val="0"/>
          <w:szCs w:val="21"/>
          <w:u w:val="single"/>
        </w:rPr>
        <w:t>             </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关于工程奖项的约定：</w:t>
      </w:r>
      <w:r>
        <w:rPr>
          <w:rFonts w:hint="eastAsia" w:ascii="宋体" w:hAnsi="宋体" w:cs="Arial"/>
          <w:color w:val="000000"/>
          <w:kern w:val="0"/>
          <w:szCs w:val="21"/>
          <w:u w:val="single"/>
        </w:rPr>
        <w:t>                    </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5.3 隐蔽工程检查</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5.3.2承包人提前通知监理人隐蔽工程检查的期限的约定：</w:t>
      </w:r>
      <w:r>
        <w:rPr>
          <w:rFonts w:hint="eastAsia" w:ascii="宋体" w:hAnsi="宋体" w:cs="Arial"/>
          <w:color w:val="000000"/>
          <w:kern w:val="0"/>
          <w:szCs w:val="21"/>
          <w:u w:val="single"/>
        </w:rPr>
        <w:t>         </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监理人不能按时进行检查时，应提前</w:t>
      </w:r>
      <w:r>
        <w:rPr>
          <w:rFonts w:hint="eastAsia" w:ascii="宋体" w:hAnsi="宋体" w:cs="Arial"/>
          <w:color w:val="000000"/>
          <w:kern w:val="0"/>
          <w:szCs w:val="21"/>
          <w:u w:val="single"/>
        </w:rPr>
        <w:t xml:space="preserve">       </w:t>
      </w:r>
      <w:r>
        <w:rPr>
          <w:rFonts w:hint="eastAsia" w:ascii="宋体" w:hAnsi="宋体" w:cs="Arial"/>
          <w:color w:val="000000"/>
          <w:kern w:val="0"/>
          <w:szCs w:val="21"/>
        </w:rPr>
        <w:t>小时提交书面延期要求。</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关于延期最长不得超过：</w:t>
      </w:r>
      <w:r>
        <w:rPr>
          <w:rFonts w:hint="eastAsia" w:ascii="宋体" w:hAnsi="宋体" w:cs="Arial"/>
          <w:color w:val="000000"/>
          <w:kern w:val="0"/>
          <w:szCs w:val="21"/>
          <w:u w:val="single"/>
        </w:rPr>
        <w:t xml:space="preserve">         </w:t>
      </w:r>
      <w:r>
        <w:rPr>
          <w:rFonts w:hint="eastAsia" w:ascii="宋体" w:hAnsi="宋体" w:cs="Arial"/>
          <w:color w:val="000000"/>
          <w:kern w:val="0"/>
          <w:szCs w:val="21"/>
        </w:rPr>
        <w:t>小时。</w:t>
      </w:r>
    </w:p>
    <w:p>
      <w:pPr>
        <w:widowControl/>
        <w:spacing w:line="360" w:lineRule="auto"/>
        <w:ind w:firstLine="358" w:firstLineChars="170"/>
        <w:jc w:val="left"/>
        <w:textAlignment w:val="top"/>
        <w:outlineLvl w:val="3"/>
        <w:rPr>
          <w:rFonts w:ascii="宋体" w:hAnsi="宋体" w:cs="Arial"/>
          <w:b/>
          <w:bCs/>
          <w:color w:val="000000"/>
          <w:kern w:val="0"/>
          <w:szCs w:val="21"/>
        </w:rPr>
      </w:pPr>
      <w:bookmarkStart w:id="620" w:name="_Toc351203638"/>
      <w:r>
        <w:rPr>
          <w:rFonts w:hint="eastAsia" w:ascii="宋体" w:hAnsi="宋体" w:cs="Arial"/>
          <w:b/>
          <w:bCs/>
          <w:color w:val="000000"/>
          <w:kern w:val="0"/>
          <w:szCs w:val="21"/>
        </w:rPr>
        <w:t xml:space="preserve">6. </w:t>
      </w:r>
      <w:bookmarkEnd w:id="620"/>
      <w:r>
        <w:rPr>
          <w:rFonts w:hint="eastAsia" w:ascii="宋体" w:hAnsi="宋体" w:cs="Arial"/>
          <w:b/>
          <w:bCs/>
          <w:color w:val="000000"/>
          <w:kern w:val="0"/>
          <w:szCs w:val="21"/>
        </w:rPr>
        <w:t>安全文明施工与环境保护</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6.1安全文明施工</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6.1.1 项目安全生产的达标目标及相应事项的约定：</w:t>
      </w:r>
      <w:r>
        <w:rPr>
          <w:rFonts w:hint="eastAsia" w:ascii="宋体" w:hAnsi="宋体" w:cs="Arial"/>
          <w:color w:val="000000"/>
          <w:kern w:val="0"/>
          <w:szCs w:val="21"/>
          <w:u w:val="single"/>
        </w:rPr>
        <w:t xml:space="preserve">  目标为不发生重伤及以上安全事故，否则承包人承担所发生的一切费用，且每重伤1人，向发包人支付贰万元，每死亡1人，向发包人支付伍万元</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6.1.4 关于治安保卫的特别约定：</w:t>
      </w:r>
      <w:r>
        <w:rPr>
          <w:rFonts w:hint="eastAsia" w:ascii="宋体" w:hAnsi="宋体" w:cs="Arial"/>
          <w:color w:val="000000"/>
          <w:kern w:val="0"/>
          <w:szCs w:val="21"/>
          <w:u w:val="single"/>
        </w:rPr>
        <w:t xml:space="preserve">承包人应当负责统一管理施工场地的治安保卫事项，履行合同工程的治安保卫职责  </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关于编制施工场地治安管理计划的约定：</w:t>
      </w:r>
      <w:r>
        <w:rPr>
          <w:rFonts w:hint="eastAsia" w:ascii="宋体" w:hAnsi="宋体" w:cs="Arial"/>
          <w:color w:val="000000"/>
          <w:kern w:val="0"/>
          <w:szCs w:val="21"/>
          <w:u w:val="single"/>
        </w:rPr>
        <w:t>由承包人收到中标通知书后7日内编制</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6.1.5 文明施工</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合同当事人对文明施工的要求：</w:t>
      </w:r>
      <w:r>
        <w:rPr>
          <w:rFonts w:hint="eastAsia" w:ascii="宋体" w:hAnsi="宋体" w:cs="Arial"/>
          <w:color w:val="000000"/>
          <w:kern w:val="0"/>
          <w:szCs w:val="21"/>
          <w:u w:val="single"/>
        </w:rPr>
        <w:t xml:space="preserve">承包人应按有关文明施工管理及规定进行施工  </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6.1.6 关于安全文明施工费支付比例和支付期限的约定：</w:t>
      </w:r>
      <w:r>
        <w:rPr>
          <w:rFonts w:hint="eastAsia" w:ascii="宋体" w:hAnsi="宋体" w:cs="Arial"/>
          <w:color w:val="000000"/>
          <w:kern w:val="0"/>
          <w:szCs w:val="21"/>
          <w:u w:val="single"/>
        </w:rPr>
        <w:t>随工程进度款同期按比例支付 </w:t>
      </w:r>
      <w:r>
        <w:rPr>
          <w:rFonts w:hint="eastAsia" w:ascii="宋体" w:hAnsi="宋体" w:cs="Arial"/>
          <w:color w:val="000000"/>
          <w:kern w:val="0"/>
          <w:szCs w:val="21"/>
        </w:rPr>
        <w:t>。</w:t>
      </w:r>
    </w:p>
    <w:p>
      <w:pPr>
        <w:widowControl/>
        <w:spacing w:line="360" w:lineRule="auto"/>
        <w:ind w:firstLine="358" w:firstLineChars="170"/>
        <w:jc w:val="left"/>
        <w:textAlignment w:val="top"/>
        <w:outlineLvl w:val="3"/>
        <w:rPr>
          <w:rFonts w:ascii="宋体" w:hAnsi="宋体" w:cs="Arial"/>
          <w:b/>
          <w:bCs/>
          <w:color w:val="000000"/>
          <w:kern w:val="0"/>
          <w:szCs w:val="21"/>
        </w:rPr>
      </w:pPr>
      <w:bookmarkStart w:id="621" w:name="_Toc351203639"/>
      <w:r>
        <w:rPr>
          <w:rFonts w:hint="eastAsia" w:ascii="宋体" w:hAnsi="宋体" w:cs="Arial"/>
          <w:b/>
          <w:bCs/>
          <w:color w:val="000000"/>
          <w:kern w:val="0"/>
          <w:szCs w:val="21"/>
        </w:rPr>
        <w:t xml:space="preserve">7. </w:t>
      </w:r>
      <w:bookmarkEnd w:id="621"/>
      <w:r>
        <w:rPr>
          <w:rFonts w:hint="eastAsia" w:ascii="宋体" w:hAnsi="宋体" w:cs="Arial"/>
          <w:b/>
          <w:bCs/>
          <w:color w:val="000000"/>
          <w:kern w:val="0"/>
          <w:szCs w:val="21"/>
        </w:rPr>
        <w:t>工期和进度</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7.1 施工组织设计</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7.1.1 合同当事人约定的施工组织设计应包括的其他内容：</w:t>
      </w:r>
      <w:r>
        <w:rPr>
          <w:rFonts w:hint="eastAsia" w:ascii="宋体" w:hAnsi="宋体" w:cs="Arial"/>
          <w:color w:val="000000"/>
          <w:kern w:val="0"/>
          <w:szCs w:val="21"/>
          <w:u w:val="single"/>
        </w:rPr>
        <w:t>       </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7.1.2 施工组织设计的提交和修改</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承包人提交详细施工组织设计的期限的约定：</w:t>
      </w:r>
      <w:r>
        <w:rPr>
          <w:rFonts w:hint="eastAsia" w:ascii="宋体" w:hAnsi="宋体" w:cs="Arial"/>
          <w:color w:val="000000"/>
          <w:kern w:val="0"/>
          <w:szCs w:val="21"/>
          <w:u w:val="single"/>
        </w:rPr>
        <w:t>                </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发包人和监理人在收到详细的施工组织设计后确认或提出修改意见的期限：</w:t>
      </w:r>
      <w:r>
        <w:rPr>
          <w:rFonts w:hint="eastAsia" w:ascii="宋体" w:hAnsi="宋体" w:cs="Arial"/>
          <w:color w:val="000000"/>
          <w:kern w:val="0"/>
          <w:szCs w:val="21"/>
          <w:u w:val="single"/>
        </w:rPr>
        <w:t>   </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7</w:t>
      </w:r>
      <w:bookmarkStart w:id="622" w:name="_Toc304295541"/>
      <w:bookmarkEnd w:id="622"/>
      <w:bookmarkStart w:id="623" w:name="_Toc303539123"/>
      <w:bookmarkEnd w:id="623"/>
      <w:bookmarkStart w:id="624" w:name="_Toc312678005"/>
      <w:bookmarkEnd w:id="624"/>
      <w:bookmarkStart w:id="625" w:name="_Toc297216173"/>
      <w:bookmarkEnd w:id="625"/>
      <w:bookmarkStart w:id="626" w:name="_Toc300934966"/>
      <w:bookmarkEnd w:id="626"/>
      <w:bookmarkStart w:id="627" w:name="_Toc297123514"/>
      <w:bookmarkEnd w:id="627"/>
      <w:bookmarkStart w:id="628" w:name="_Toc312677479"/>
      <w:r>
        <w:rPr>
          <w:rFonts w:hint="eastAsia" w:ascii="宋体" w:hAnsi="宋体" w:cs="Arial"/>
          <w:color w:val="000000"/>
          <w:kern w:val="0"/>
          <w:szCs w:val="21"/>
        </w:rPr>
        <w:t xml:space="preserve">.2 </w:t>
      </w:r>
      <w:bookmarkEnd w:id="628"/>
      <w:r>
        <w:rPr>
          <w:rFonts w:hint="eastAsia" w:ascii="宋体" w:hAnsi="宋体" w:cs="Arial"/>
          <w:color w:val="000000"/>
          <w:kern w:val="0"/>
          <w:szCs w:val="21"/>
        </w:rPr>
        <w:t>施工进度计划</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7.2.2 施工进度计划的修订</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发包人和监理人在收到修订的施工进度计划后确认或提出修改意见的期限：</w:t>
      </w:r>
      <w:r>
        <w:rPr>
          <w:rFonts w:hint="eastAsia" w:ascii="宋体" w:hAnsi="宋体" w:cs="Arial"/>
          <w:color w:val="000000"/>
          <w:kern w:val="0"/>
          <w:szCs w:val="21"/>
          <w:u w:val="single"/>
        </w:rPr>
        <w:t>  </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7.3 开工</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7.3.1 开工准备</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关于承包人提交工程开工报审表的期限：</w:t>
      </w:r>
      <w:r>
        <w:rPr>
          <w:rFonts w:hint="eastAsia" w:ascii="宋体" w:hAnsi="宋体" w:cs="Arial"/>
          <w:color w:val="000000"/>
          <w:kern w:val="0"/>
          <w:szCs w:val="21"/>
          <w:u w:val="single"/>
        </w:rPr>
        <w:t>                 </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关于发包人应完成的其他开工准备工作及期限：</w:t>
      </w:r>
      <w:r>
        <w:rPr>
          <w:rFonts w:hint="eastAsia" w:ascii="宋体" w:hAnsi="宋体" w:cs="Arial"/>
          <w:color w:val="000000"/>
          <w:kern w:val="0"/>
          <w:szCs w:val="21"/>
          <w:u w:val="single"/>
        </w:rPr>
        <w:t>              </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关于承包人应完成的其他开工准备工作及期限：</w:t>
      </w:r>
      <w:r>
        <w:rPr>
          <w:rFonts w:hint="eastAsia" w:ascii="宋体" w:hAnsi="宋体" w:cs="Arial"/>
          <w:color w:val="000000"/>
          <w:kern w:val="0"/>
          <w:szCs w:val="21"/>
          <w:u w:val="single"/>
        </w:rPr>
        <w:t>               </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7.3.2开工通知</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因发包人原因造成监理人未能在计划开工日期之日起</w:t>
      </w:r>
      <w:r>
        <w:rPr>
          <w:rFonts w:hint="eastAsia" w:ascii="宋体" w:hAnsi="宋体" w:cs="Arial"/>
          <w:color w:val="000000"/>
          <w:kern w:val="0"/>
          <w:szCs w:val="21"/>
          <w:u w:val="single"/>
        </w:rPr>
        <w:t xml:space="preserve">     </w:t>
      </w:r>
      <w:r>
        <w:rPr>
          <w:rFonts w:hint="eastAsia" w:ascii="宋体" w:hAnsi="宋体" w:cs="Arial"/>
          <w:color w:val="000000"/>
          <w:kern w:val="0"/>
          <w:szCs w:val="21"/>
        </w:rPr>
        <w:t>天内发出开工通知的，承包人有权提出价格调整要求，或者解除合同。</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7.4 测量放线</w:t>
      </w:r>
    </w:p>
    <w:p>
      <w:pPr>
        <w:widowControl/>
        <w:spacing w:line="360" w:lineRule="auto"/>
        <w:ind w:firstLine="357" w:firstLineChars="170"/>
        <w:textAlignment w:val="top"/>
        <w:rPr>
          <w:rFonts w:ascii="宋体" w:hAnsi="宋体" w:cs="Arial"/>
          <w:color w:val="000000"/>
          <w:kern w:val="0"/>
          <w:szCs w:val="21"/>
        </w:rPr>
      </w:pPr>
      <w:r>
        <w:rPr>
          <w:rFonts w:hint="eastAsia" w:ascii="宋体" w:hAnsi="宋体" w:cs="Arial"/>
          <w:color w:val="000000"/>
          <w:kern w:val="0"/>
          <w:szCs w:val="21"/>
        </w:rPr>
        <w:t>7.4.1发包人通过监理人向承包人提供测量基准点、基准线和水准点及其书面资料的期限：</w:t>
      </w:r>
      <w:r>
        <w:rPr>
          <w:rFonts w:hint="eastAsia" w:ascii="宋体" w:hAnsi="宋体" w:cs="Arial"/>
          <w:color w:val="000000"/>
          <w:kern w:val="0"/>
          <w:szCs w:val="21"/>
          <w:u w:val="single"/>
        </w:rPr>
        <w:t>                                  </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7</w:t>
      </w:r>
      <w:bookmarkStart w:id="629" w:name="_Toc300934968"/>
      <w:bookmarkEnd w:id="629"/>
      <w:bookmarkStart w:id="630" w:name="_Toc312678010"/>
      <w:bookmarkEnd w:id="630"/>
      <w:bookmarkStart w:id="631" w:name="_Toc312677484"/>
      <w:bookmarkEnd w:id="631"/>
      <w:bookmarkStart w:id="632" w:name="_Toc304295546"/>
      <w:bookmarkEnd w:id="632"/>
      <w:bookmarkStart w:id="633" w:name="_Toc303539125"/>
      <w:bookmarkEnd w:id="633"/>
      <w:bookmarkStart w:id="634" w:name="_Toc297216175"/>
      <w:bookmarkEnd w:id="634"/>
      <w:bookmarkStart w:id="635" w:name="_Toc297123516"/>
      <w:r>
        <w:rPr>
          <w:rFonts w:hint="eastAsia" w:ascii="宋体" w:hAnsi="宋体" w:cs="Arial"/>
          <w:color w:val="000000"/>
          <w:kern w:val="0"/>
          <w:szCs w:val="21"/>
        </w:rPr>
        <w:t xml:space="preserve">.5 </w:t>
      </w:r>
      <w:bookmarkEnd w:id="635"/>
      <w:r>
        <w:rPr>
          <w:rFonts w:hint="eastAsia" w:ascii="宋体" w:hAnsi="宋体" w:cs="Arial"/>
          <w:color w:val="000000"/>
          <w:kern w:val="0"/>
          <w:szCs w:val="21"/>
        </w:rPr>
        <w:t>工期延误</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7.5.1 因发包人原因导致工期延误</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（7）因发包人原因导致工期延误的其他情形：</w:t>
      </w:r>
      <w:r>
        <w:rPr>
          <w:rFonts w:hint="eastAsia" w:ascii="宋体" w:hAnsi="宋体" w:cs="Arial"/>
          <w:color w:val="000000"/>
          <w:kern w:val="0"/>
          <w:szCs w:val="21"/>
          <w:u w:val="single"/>
        </w:rPr>
        <w:t>              </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7</w:t>
      </w:r>
      <w:bookmarkStart w:id="636" w:name="_Toc312677486"/>
      <w:bookmarkEnd w:id="636"/>
      <w:bookmarkStart w:id="637" w:name="_Toc304295548"/>
      <w:bookmarkEnd w:id="637"/>
      <w:bookmarkStart w:id="638" w:name="_Toc303539127"/>
      <w:bookmarkEnd w:id="638"/>
      <w:bookmarkStart w:id="639" w:name="_Toc300934970"/>
      <w:bookmarkEnd w:id="639"/>
      <w:bookmarkStart w:id="640" w:name="_Toc297216177"/>
      <w:bookmarkEnd w:id="640"/>
      <w:bookmarkStart w:id="641" w:name="_Toc297123518"/>
      <w:bookmarkEnd w:id="641"/>
      <w:bookmarkStart w:id="642" w:name="_Toc312678012"/>
      <w:bookmarkEnd w:id="642"/>
      <w:bookmarkStart w:id="643" w:name="_Toc318581169"/>
      <w:r>
        <w:rPr>
          <w:rFonts w:hint="eastAsia" w:ascii="宋体" w:hAnsi="宋体" w:cs="Arial"/>
          <w:color w:val="000000"/>
          <w:kern w:val="0"/>
          <w:szCs w:val="21"/>
        </w:rPr>
        <w:t xml:space="preserve">.5.2 </w:t>
      </w:r>
      <w:bookmarkEnd w:id="643"/>
      <w:r>
        <w:rPr>
          <w:rFonts w:hint="eastAsia" w:ascii="宋体" w:hAnsi="宋体" w:cs="Arial"/>
          <w:color w:val="000000"/>
          <w:kern w:val="0"/>
          <w:szCs w:val="21"/>
        </w:rPr>
        <w:t>因承包人原因导致工期延误</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因</w:t>
      </w:r>
      <w:bookmarkStart w:id="644" w:name="_Toc318581170"/>
      <w:bookmarkEnd w:id="644"/>
      <w:bookmarkStart w:id="645" w:name="_Toc312678013"/>
      <w:bookmarkEnd w:id="645"/>
      <w:bookmarkStart w:id="646" w:name="_Toc312677487"/>
      <w:r>
        <w:rPr>
          <w:rFonts w:hint="eastAsia" w:ascii="宋体" w:hAnsi="宋体" w:cs="Arial"/>
          <w:color w:val="000000"/>
          <w:kern w:val="0"/>
          <w:szCs w:val="21"/>
        </w:rPr>
        <w:t>承包人原因造成工期延误，逾期竣工违约金的计算方法为：</w:t>
      </w:r>
      <w:bookmarkEnd w:id="646"/>
      <w:r>
        <w:rPr>
          <w:rFonts w:hint="eastAsia" w:ascii="宋体" w:hAnsi="宋体" w:cs="Arial"/>
          <w:color w:val="000000"/>
          <w:kern w:val="0"/>
          <w:szCs w:val="21"/>
          <w:u w:val="single"/>
        </w:rPr>
        <w:t>           </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因承包人原因造成工期延误，逾</w:t>
      </w:r>
      <w:bookmarkStart w:id="647" w:name="_Toc318581171"/>
      <w:bookmarkEnd w:id="647"/>
      <w:bookmarkStart w:id="648" w:name="_Toc312678014"/>
      <w:r>
        <w:rPr>
          <w:rFonts w:hint="eastAsia" w:ascii="宋体" w:hAnsi="宋体" w:cs="Arial"/>
          <w:color w:val="000000"/>
          <w:kern w:val="0"/>
          <w:szCs w:val="21"/>
        </w:rPr>
        <w:t>期竣工违约金的上限：</w:t>
      </w:r>
      <w:bookmarkEnd w:id="648"/>
      <w:r>
        <w:rPr>
          <w:rFonts w:hint="eastAsia" w:ascii="宋体" w:hAnsi="宋体" w:cs="Arial"/>
          <w:color w:val="000000"/>
          <w:kern w:val="0"/>
          <w:szCs w:val="21"/>
          <w:u w:val="single"/>
        </w:rPr>
        <w:t>        </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7</w:t>
      </w:r>
      <w:bookmarkStart w:id="649" w:name="_Toc312678015"/>
      <w:bookmarkEnd w:id="649"/>
      <w:bookmarkStart w:id="650" w:name="_Toc297216178"/>
      <w:bookmarkEnd w:id="650"/>
      <w:bookmarkStart w:id="651" w:name="_Toc300934971"/>
      <w:bookmarkEnd w:id="651"/>
      <w:bookmarkStart w:id="652" w:name="_Toc304295549"/>
      <w:bookmarkEnd w:id="652"/>
      <w:bookmarkStart w:id="653" w:name="_Toc297123519"/>
      <w:bookmarkEnd w:id="653"/>
      <w:bookmarkStart w:id="654" w:name="_Toc303539128"/>
      <w:r>
        <w:rPr>
          <w:rFonts w:hint="eastAsia" w:ascii="宋体" w:hAnsi="宋体" w:cs="Arial"/>
          <w:color w:val="000000"/>
          <w:kern w:val="0"/>
          <w:szCs w:val="21"/>
        </w:rPr>
        <w:t xml:space="preserve">.6 </w:t>
      </w:r>
      <w:bookmarkEnd w:id="654"/>
      <w:r>
        <w:rPr>
          <w:rFonts w:hint="eastAsia" w:ascii="宋体" w:hAnsi="宋体" w:cs="Arial"/>
          <w:color w:val="000000"/>
          <w:kern w:val="0"/>
          <w:szCs w:val="21"/>
        </w:rPr>
        <w:t>不利物质条件</w:t>
      </w:r>
    </w:p>
    <w:p>
      <w:pPr>
        <w:widowControl/>
        <w:spacing w:line="360" w:lineRule="auto"/>
        <w:ind w:firstLine="357" w:firstLineChars="170"/>
        <w:jc w:val="left"/>
        <w:textAlignment w:val="top"/>
        <w:rPr>
          <w:rFonts w:ascii="宋体" w:hAnsi="宋体" w:cs="Arial"/>
          <w:color w:val="000000"/>
          <w:kern w:val="0"/>
          <w:szCs w:val="21"/>
        </w:rPr>
      </w:pPr>
      <w:bookmarkStart w:id="655" w:name="_Toc297123520"/>
      <w:bookmarkEnd w:id="655"/>
      <w:bookmarkStart w:id="656" w:name="_Toc318581172"/>
      <w:bookmarkEnd w:id="656"/>
      <w:bookmarkStart w:id="657" w:name="_Toc312678016"/>
      <w:bookmarkEnd w:id="657"/>
      <w:bookmarkStart w:id="658" w:name="_Toc303539129"/>
      <w:bookmarkEnd w:id="658"/>
      <w:bookmarkStart w:id="659" w:name="_Toc300934972"/>
      <w:bookmarkEnd w:id="659"/>
      <w:bookmarkStart w:id="660" w:name="_Toc297216179"/>
      <w:bookmarkEnd w:id="660"/>
      <w:bookmarkStart w:id="661" w:name="_Toc304295550"/>
      <w:r>
        <w:rPr>
          <w:rFonts w:hint="eastAsia" w:ascii="宋体" w:hAnsi="宋体" w:cs="Arial"/>
          <w:color w:val="000000"/>
          <w:kern w:val="0"/>
          <w:szCs w:val="21"/>
        </w:rPr>
        <w:t>不利物质条件的其他情形和有关约定：</w:t>
      </w:r>
      <w:bookmarkEnd w:id="661"/>
      <w:r>
        <w:rPr>
          <w:rFonts w:hint="eastAsia" w:ascii="宋体" w:hAnsi="宋体" w:cs="Arial"/>
          <w:color w:val="000000"/>
          <w:kern w:val="0"/>
          <w:szCs w:val="21"/>
          <w:u w:val="single"/>
        </w:rPr>
        <w:t>               </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7</w:t>
      </w:r>
      <w:bookmarkStart w:id="662" w:name="_Toc303539130"/>
      <w:bookmarkEnd w:id="662"/>
      <w:bookmarkStart w:id="663" w:name="_Toc312678017"/>
      <w:bookmarkEnd w:id="663"/>
      <w:bookmarkStart w:id="664" w:name="_Toc304295551"/>
      <w:bookmarkEnd w:id="664"/>
      <w:bookmarkStart w:id="665" w:name="_Toc297123521"/>
      <w:bookmarkEnd w:id="665"/>
      <w:bookmarkStart w:id="666" w:name="_Toc300934973"/>
      <w:bookmarkEnd w:id="666"/>
      <w:bookmarkStart w:id="667" w:name="_Toc297216180"/>
      <w:r>
        <w:rPr>
          <w:rFonts w:hint="eastAsia" w:ascii="宋体" w:hAnsi="宋体" w:cs="Arial"/>
          <w:color w:val="000000"/>
          <w:kern w:val="0"/>
          <w:szCs w:val="21"/>
        </w:rPr>
        <w:t>.7</w:t>
      </w:r>
      <w:bookmarkEnd w:id="667"/>
      <w:r>
        <w:rPr>
          <w:rFonts w:hint="eastAsia" w:ascii="宋体" w:hAnsi="宋体" w:cs="Arial"/>
          <w:color w:val="000000"/>
          <w:kern w:val="0"/>
          <w:szCs w:val="21"/>
        </w:rPr>
        <w:t>异常恶劣的气候条件</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发包人和承包人同意以下情形视为异常恶劣的气候条件：</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（1）</w:t>
      </w:r>
      <w:r>
        <w:rPr>
          <w:rFonts w:hint="eastAsia" w:ascii="宋体" w:hAnsi="宋体" w:cs="Arial"/>
          <w:color w:val="000000"/>
          <w:kern w:val="0"/>
          <w:szCs w:val="21"/>
          <w:u w:val="single"/>
        </w:rPr>
        <w:t xml:space="preserve">               </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（2）</w:t>
      </w:r>
      <w:r>
        <w:rPr>
          <w:rFonts w:hint="eastAsia" w:ascii="宋体" w:hAnsi="宋体" w:cs="Arial"/>
          <w:color w:val="000000"/>
          <w:kern w:val="0"/>
          <w:szCs w:val="21"/>
          <w:u w:val="single"/>
        </w:rPr>
        <w:t>                  </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（3）</w:t>
      </w:r>
      <w:r>
        <w:rPr>
          <w:rFonts w:hint="eastAsia" w:ascii="宋体" w:hAnsi="宋体" w:cs="Arial"/>
          <w:color w:val="000000"/>
          <w:kern w:val="0"/>
          <w:szCs w:val="21"/>
          <w:u w:val="single"/>
        </w:rPr>
        <w:t xml:space="preserve">              </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7.9 提前竣工的奖励</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7.9.2提前竣工的奖励：</w:t>
      </w:r>
      <w:r>
        <w:rPr>
          <w:rFonts w:hint="eastAsia" w:ascii="宋体" w:hAnsi="宋体" w:cs="Arial"/>
          <w:color w:val="000000"/>
          <w:kern w:val="0"/>
          <w:szCs w:val="21"/>
          <w:u w:val="single"/>
        </w:rPr>
        <w:t>              </w:t>
      </w:r>
      <w:r>
        <w:rPr>
          <w:rFonts w:hint="eastAsia" w:ascii="宋体" w:hAnsi="宋体" w:cs="Arial"/>
          <w:color w:val="000000"/>
          <w:kern w:val="0"/>
          <w:szCs w:val="21"/>
        </w:rPr>
        <w:t>。</w:t>
      </w:r>
    </w:p>
    <w:p>
      <w:pPr>
        <w:widowControl/>
        <w:spacing w:line="360" w:lineRule="auto"/>
        <w:ind w:firstLine="358" w:firstLineChars="170"/>
        <w:jc w:val="left"/>
        <w:textAlignment w:val="top"/>
        <w:outlineLvl w:val="3"/>
        <w:rPr>
          <w:rFonts w:ascii="宋体" w:hAnsi="宋体" w:cs="Arial"/>
          <w:b/>
          <w:bCs/>
          <w:color w:val="000000"/>
          <w:kern w:val="0"/>
          <w:szCs w:val="21"/>
        </w:rPr>
      </w:pPr>
      <w:bookmarkStart w:id="668" w:name="_Toc351203640"/>
      <w:r>
        <w:rPr>
          <w:rFonts w:hint="eastAsia" w:ascii="宋体" w:hAnsi="宋体" w:cs="Arial"/>
          <w:b/>
          <w:bCs/>
          <w:color w:val="000000"/>
          <w:kern w:val="0"/>
          <w:szCs w:val="21"/>
        </w:rPr>
        <w:t xml:space="preserve">8. </w:t>
      </w:r>
      <w:bookmarkEnd w:id="668"/>
      <w:r>
        <w:rPr>
          <w:rFonts w:hint="eastAsia" w:ascii="宋体" w:hAnsi="宋体" w:cs="Arial"/>
          <w:b/>
          <w:bCs/>
          <w:color w:val="000000"/>
          <w:kern w:val="0"/>
          <w:szCs w:val="21"/>
        </w:rPr>
        <w:t>材料与设备</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8</w:t>
      </w:r>
      <w:bookmarkStart w:id="669" w:name="_Toc292559372"/>
      <w:bookmarkEnd w:id="669"/>
      <w:bookmarkStart w:id="670" w:name="_Toc296944506"/>
      <w:bookmarkEnd w:id="670"/>
      <w:bookmarkStart w:id="671" w:name="_Toc300934979"/>
      <w:bookmarkEnd w:id="671"/>
      <w:bookmarkStart w:id="672" w:name="_Toc304295556"/>
      <w:bookmarkEnd w:id="672"/>
      <w:bookmarkStart w:id="673" w:name="_Toc312677493"/>
      <w:bookmarkEnd w:id="673"/>
      <w:bookmarkStart w:id="674" w:name="_Toc312678019"/>
      <w:bookmarkEnd w:id="674"/>
      <w:bookmarkStart w:id="675" w:name="_Toc296347166"/>
      <w:bookmarkEnd w:id="675"/>
      <w:bookmarkStart w:id="676" w:name="_Toc296503167"/>
      <w:bookmarkEnd w:id="676"/>
      <w:bookmarkStart w:id="677" w:name="_Toc267251424"/>
      <w:bookmarkEnd w:id="677"/>
      <w:bookmarkStart w:id="678" w:name="_Toc297048353"/>
      <w:bookmarkEnd w:id="678"/>
      <w:bookmarkStart w:id="679" w:name="_Toc297120467"/>
      <w:bookmarkEnd w:id="679"/>
      <w:bookmarkStart w:id="680" w:name="_Toc297216186"/>
      <w:bookmarkEnd w:id="680"/>
      <w:bookmarkStart w:id="681" w:name="_Toc296890995"/>
      <w:bookmarkEnd w:id="681"/>
      <w:bookmarkStart w:id="682" w:name="_Toc296891207"/>
      <w:bookmarkEnd w:id="682"/>
      <w:bookmarkStart w:id="683" w:name="_Toc280868656"/>
      <w:bookmarkEnd w:id="683"/>
      <w:bookmarkStart w:id="684" w:name="_Toc303539136"/>
      <w:bookmarkEnd w:id="684"/>
      <w:bookmarkStart w:id="685" w:name="_Toc297123527"/>
      <w:bookmarkEnd w:id="685"/>
      <w:bookmarkStart w:id="686" w:name="_Toc280868655"/>
      <w:bookmarkEnd w:id="686"/>
      <w:bookmarkStart w:id="687" w:name="_Toc292559877"/>
      <w:bookmarkEnd w:id="687"/>
      <w:bookmarkStart w:id="688" w:name="_Toc296346668"/>
      <w:bookmarkEnd w:id="688"/>
      <w:bookmarkStart w:id="689" w:name="_Toc280868654"/>
      <w:r>
        <w:rPr>
          <w:rFonts w:hint="eastAsia" w:ascii="宋体" w:hAnsi="宋体" w:cs="Arial"/>
          <w:color w:val="000000"/>
          <w:kern w:val="0"/>
          <w:szCs w:val="21"/>
        </w:rPr>
        <w:t>.4</w:t>
      </w:r>
      <w:bookmarkEnd w:id="689"/>
      <w:r>
        <w:rPr>
          <w:rFonts w:hint="eastAsia" w:ascii="宋体" w:hAnsi="宋体" w:cs="Arial"/>
          <w:color w:val="000000"/>
          <w:kern w:val="0"/>
          <w:szCs w:val="21"/>
        </w:rPr>
        <w:t>材料与工程设备的保管与使用</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8</w:t>
      </w:r>
      <w:bookmarkStart w:id="690" w:name="_Toc296944507"/>
      <w:bookmarkEnd w:id="690"/>
      <w:bookmarkStart w:id="691" w:name="_Toc296347167"/>
      <w:bookmarkEnd w:id="691"/>
      <w:bookmarkStart w:id="692" w:name="_Toc297048354"/>
      <w:bookmarkEnd w:id="692"/>
      <w:bookmarkStart w:id="693" w:name="_Toc300934980"/>
      <w:bookmarkEnd w:id="693"/>
      <w:bookmarkStart w:id="694" w:name="_Toc296346669"/>
      <w:bookmarkEnd w:id="694"/>
      <w:bookmarkStart w:id="695" w:name="_Toc312677494"/>
      <w:bookmarkEnd w:id="695"/>
      <w:bookmarkStart w:id="696" w:name="_Toc296891208"/>
      <w:bookmarkEnd w:id="696"/>
      <w:bookmarkStart w:id="697" w:name="_Toc297216187"/>
      <w:bookmarkEnd w:id="697"/>
      <w:bookmarkStart w:id="698" w:name="_Toc292559878"/>
      <w:bookmarkEnd w:id="698"/>
      <w:bookmarkStart w:id="699" w:name="_Toc304295557"/>
      <w:bookmarkEnd w:id="699"/>
      <w:bookmarkStart w:id="700" w:name="_Toc303539137"/>
      <w:bookmarkEnd w:id="700"/>
      <w:bookmarkStart w:id="701" w:name="_Toc297120468"/>
      <w:bookmarkEnd w:id="701"/>
      <w:bookmarkStart w:id="702" w:name="_Toc318581173"/>
      <w:bookmarkEnd w:id="702"/>
      <w:bookmarkStart w:id="703" w:name="_Toc312678020"/>
      <w:bookmarkEnd w:id="703"/>
      <w:bookmarkStart w:id="704" w:name="_Toc297123528"/>
      <w:bookmarkEnd w:id="704"/>
      <w:bookmarkStart w:id="705" w:name="_Toc296503168"/>
      <w:bookmarkEnd w:id="705"/>
      <w:bookmarkStart w:id="706" w:name="_Toc296890996"/>
      <w:bookmarkEnd w:id="706"/>
      <w:bookmarkStart w:id="707" w:name="_Toc292559373"/>
      <w:r>
        <w:rPr>
          <w:rFonts w:hint="eastAsia" w:ascii="宋体" w:hAnsi="宋体" w:cs="Arial"/>
          <w:color w:val="000000"/>
          <w:kern w:val="0"/>
          <w:szCs w:val="21"/>
        </w:rPr>
        <w:t>.4.1</w:t>
      </w:r>
      <w:bookmarkEnd w:id="707"/>
      <w:r>
        <w:rPr>
          <w:rFonts w:hint="eastAsia" w:ascii="宋体" w:hAnsi="宋体" w:cs="Arial"/>
          <w:color w:val="000000"/>
          <w:kern w:val="0"/>
          <w:szCs w:val="21"/>
        </w:rPr>
        <w:t>发包人供应的材料设备的保管费用的承担：</w:t>
      </w:r>
      <w:r>
        <w:rPr>
          <w:rFonts w:hint="eastAsia" w:ascii="宋体" w:hAnsi="宋体" w:cs="Arial"/>
          <w:color w:val="000000"/>
          <w:kern w:val="0"/>
          <w:szCs w:val="21"/>
          <w:u w:val="single"/>
        </w:rPr>
        <w:t>              </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8.6 样品</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8.6.1 样品的报送与封存</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需要承包人报送样品的材料或工程设备，样品的种类、名称、规格、数量要求：</w:t>
      </w:r>
      <w:r>
        <w:rPr>
          <w:rFonts w:hint="eastAsia" w:ascii="宋体" w:hAnsi="宋体" w:cs="Arial"/>
          <w:color w:val="000000"/>
          <w:kern w:val="0"/>
          <w:szCs w:val="21"/>
          <w:u w:val="single"/>
        </w:rPr>
        <w:t>    </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8.8 施工设备和临时设施</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8.8.1 承包人提供的施工设备和临时设施</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关于修建临时设施费用承担的约定：</w:t>
      </w:r>
      <w:r>
        <w:rPr>
          <w:rFonts w:hint="eastAsia" w:ascii="宋体" w:hAnsi="宋体" w:cs="Arial"/>
          <w:color w:val="000000"/>
          <w:kern w:val="0"/>
          <w:szCs w:val="21"/>
          <w:u w:val="single"/>
        </w:rPr>
        <w:t>                 </w:t>
      </w:r>
      <w:r>
        <w:rPr>
          <w:rFonts w:hint="eastAsia" w:ascii="宋体" w:hAnsi="宋体" w:cs="Arial"/>
          <w:color w:val="000000"/>
          <w:kern w:val="0"/>
          <w:szCs w:val="21"/>
        </w:rPr>
        <w:t>。</w:t>
      </w:r>
    </w:p>
    <w:p>
      <w:pPr>
        <w:widowControl/>
        <w:spacing w:line="360" w:lineRule="auto"/>
        <w:ind w:firstLine="358" w:firstLineChars="170"/>
        <w:jc w:val="left"/>
        <w:textAlignment w:val="top"/>
        <w:outlineLvl w:val="3"/>
        <w:rPr>
          <w:rFonts w:ascii="宋体" w:hAnsi="宋体" w:cs="Arial"/>
          <w:b/>
          <w:bCs/>
          <w:color w:val="000000"/>
          <w:kern w:val="0"/>
          <w:szCs w:val="21"/>
        </w:rPr>
      </w:pPr>
      <w:bookmarkStart w:id="708" w:name="_Toc351203641"/>
      <w:r>
        <w:rPr>
          <w:rFonts w:hint="eastAsia" w:ascii="宋体" w:hAnsi="宋体" w:cs="Arial"/>
          <w:b/>
          <w:bCs/>
          <w:color w:val="000000"/>
          <w:kern w:val="0"/>
          <w:szCs w:val="21"/>
        </w:rPr>
        <w:t>9</w:t>
      </w:r>
      <w:bookmarkStart w:id="709" w:name="_Toc296347172"/>
      <w:bookmarkEnd w:id="709"/>
      <w:bookmarkStart w:id="710" w:name="_Toc296891213"/>
      <w:bookmarkEnd w:id="710"/>
      <w:bookmarkStart w:id="711" w:name="_Toc296346674"/>
      <w:bookmarkEnd w:id="711"/>
      <w:bookmarkStart w:id="712" w:name="_Toc296891001"/>
      <w:bookmarkEnd w:id="712"/>
      <w:bookmarkStart w:id="713" w:name="_Toc297120473"/>
      <w:bookmarkEnd w:id="713"/>
      <w:bookmarkStart w:id="714" w:name="_Toc296503173"/>
      <w:bookmarkEnd w:id="714"/>
      <w:bookmarkStart w:id="715" w:name="_Toc304295559"/>
      <w:bookmarkEnd w:id="715"/>
      <w:bookmarkStart w:id="716" w:name="_Toc312677495"/>
      <w:bookmarkEnd w:id="716"/>
      <w:bookmarkStart w:id="717" w:name="_Toc267251428"/>
      <w:bookmarkEnd w:id="717"/>
      <w:bookmarkStart w:id="718" w:name="_Toc292559378"/>
      <w:bookmarkEnd w:id="718"/>
      <w:bookmarkStart w:id="719" w:name="_Toc303539139"/>
      <w:bookmarkEnd w:id="719"/>
      <w:bookmarkStart w:id="720" w:name="_Toc292559883"/>
      <w:bookmarkEnd w:id="720"/>
      <w:bookmarkStart w:id="721" w:name="_Toc267251427"/>
      <w:bookmarkEnd w:id="721"/>
      <w:bookmarkStart w:id="722" w:name="_Toc297216192"/>
      <w:bookmarkEnd w:id="722"/>
      <w:bookmarkStart w:id="723" w:name="_Toc297123533"/>
      <w:bookmarkEnd w:id="723"/>
      <w:bookmarkStart w:id="724" w:name="_Toc312678021"/>
      <w:bookmarkEnd w:id="724"/>
      <w:bookmarkStart w:id="725" w:name="_Toc300934982"/>
      <w:bookmarkEnd w:id="725"/>
      <w:bookmarkStart w:id="726" w:name="_Toc297048359"/>
      <w:bookmarkEnd w:id="726"/>
      <w:bookmarkStart w:id="727" w:name="_Toc296944512"/>
      <w:bookmarkEnd w:id="727"/>
      <w:bookmarkEnd w:id="708"/>
      <w:r>
        <w:rPr>
          <w:rFonts w:hint="eastAsia" w:ascii="宋体" w:hAnsi="宋体" w:cs="Arial"/>
          <w:b/>
          <w:bCs/>
          <w:color w:val="000000"/>
          <w:kern w:val="0"/>
          <w:szCs w:val="21"/>
        </w:rPr>
        <w:t>. 试验与检验</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9</w:t>
      </w:r>
      <w:bookmarkStart w:id="728" w:name="_Toc304295560"/>
      <w:bookmarkEnd w:id="728"/>
      <w:bookmarkStart w:id="729" w:name="_Toc312678022"/>
      <w:bookmarkEnd w:id="729"/>
      <w:bookmarkStart w:id="730" w:name="_Toc297123534"/>
      <w:bookmarkEnd w:id="730"/>
      <w:bookmarkStart w:id="731" w:name="_Toc300934983"/>
      <w:bookmarkEnd w:id="731"/>
      <w:bookmarkStart w:id="732" w:name="_Toc303539140"/>
      <w:bookmarkEnd w:id="732"/>
      <w:bookmarkStart w:id="733" w:name="_Toc312677496"/>
      <w:bookmarkEnd w:id="733"/>
      <w:bookmarkStart w:id="734" w:name="_Toc297216193"/>
      <w:r>
        <w:rPr>
          <w:rFonts w:hint="eastAsia" w:ascii="宋体" w:hAnsi="宋体" w:cs="Arial"/>
          <w:color w:val="000000"/>
          <w:kern w:val="0"/>
          <w:szCs w:val="21"/>
        </w:rPr>
        <w:t>.1</w:t>
      </w:r>
      <w:bookmarkEnd w:id="734"/>
      <w:r>
        <w:rPr>
          <w:rFonts w:hint="eastAsia" w:ascii="宋体" w:hAnsi="宋体" w:cs="Arial"/>
          <w:color w:val="000000"/>
          <w:kern w:val="0"/>
          <w:szCs w:val="21"/>
        </w:rPr>
        <w:t>试验设备与试验人员</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9</w:t>
      </w:r>
      <w:bookmarkStart w:id="735" w:name="_Toc300934984"/>
      <w:bookmarkEnd w:id="735"/>
      <w:bookmarkStart w:id="736" w:name="_Toc318581174"/>
      <w:bookmarkEnd w:id="736"/>
      <w:bookmarkStart w:id="737" w:name="_Toc297216194"/>
      <w:bookmarkEnd w:id="737"/>
      <w:bookmarkStart w:id="738" w:name="_Toc304295561"/>
      <w:bookmarkEnd w:id="738"/>
      <w:bookmarkStart w:id="739" w:name="_Toc303539141"/>
      <w:bookmarkEnd w:id="739"/>
      <w:bookmarkStart w:id="740" w:name="_Toc312678023"/>
      <w:bookmarkEnd w:id="740"/>
      <w:bookmarkStart w:id="741" w:name="_Toc312677497"/>
      <w:bookmarkEnd w:id="741"/>
      <w:bookmarkStart w:id="742" w:name="_Toc297123535"/>
      <w:r>
        <w:rPr>
          <w:rFonts w:hint="eastAsia" w:ascii="宋体" w:hAnsi="宋体" w:cs="Arial"/>
          <w:color w:val="000000"/>
          <w:kern w:val="0"/>
          <w:szCs w:val="21"/>
        </w:rPr>
        <w:t xml:space="preserve">.1.2 </w:t>
      </w:r>
      <w:bookmarkEnd w:id="742"/>
      <w:r>
        <w:rPr>
          <w:rFonts w:hint="eastAsia" w:ascii="宋体" w:hAnsi="宋体" w:cs="Arial"/>
          <w:color w:val="000000"/>
          <w:kern w:val="0"/>
          <w:szCs w:val="21"/>
        </w:rPr>
        <w:t>试验设备</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施工现场需要配置的试验场所：</w:t>
      </w:r>
      <w:bookmarkStart w:id="743" w:name="_Toc303539142"/>
      <w:bookmarkEnd w:id="743"/>
      <w:bookmarkStart w:id="744" w:name="_Toc300934985"/>
      <w:bookmarkEnd w:id="744"/>
      <w:bookmarkStart w:id="745" w:name="_Toc297216195"/>
      <w:bookmarkEnd w:id="745"/>
      <w:bookmarkStart w:id="746" w:name="_Toc297123536"/>
      <w:bookmarkEnd w:id="746"/>
      <w:bookmarkStart w:id="747" w:name="_Toc312677498"/>
      <w:bookmarkEnd w:id="747"/>
      <w:bookmarkStart w:id="748" w:name="_Toc304295562"/>
      <w:bookmarkEnd w:id="748"/>
      <w:bookmarkStart w:id="749" w:name="_Toc312678024"/>
      <w:bookmarkEnd w:id="749"/>
      <w:r>
        <w:rPr>
          <w:rFonts w:hint="eastAsia" w:ascii="宋体" w:hAnsi="宋体" w:cs="Arial"/>
          <w:color w:val="000000"/>
          <w:kern w:val="0"/>
          <w:szCs w:val="21"/>
          <w:u w:val="single"/>
        </w:rPr>
        <w:t>                 </w:t>
      </w:r>
      <w:r>
        <w:rPr>
          <w:rFonts w:hint="eastAsia" w:ascii="宋体" w:hAnsi="宋体" w:cs="Arial"/>
          <w:color w:val="000000"/>
          <w:kern w:val="0"/>
          <w:szCs w:val="21"/>
        </w:rPr>
        <w:t xml:space="preserve">。 </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施工现场需要配备的试验设备：</w:t>
      </w:r>
      <w:r>
        <w:rPr>
          <w:rFonts w:hint="eastAsia" w:ascii="宋体" w:hAnsi="宋体" w:cs="Arial"/>
          <w:color w:val="000000"/>
          <w:kern w:val="0"/>
          <w:szCs w:val="21"/>
          <w:u w:val="single"/>
        </w:rPr>
        <w:t>                       </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施工现场需要具备的其他试验条件：</w:t>
      </w:r>
      <w:r>
        <w:rPr>
          <w:rFonts w:hint="eastAsia" w:ascii="宋体" w:hAnsi="宋体" w:cs="Arial"/>
          <w:color w:val="000000"/>
          <w:kern w:val="0"/>
          <w:szCs w:val="21"/>
          <w:u w:val="single"/>
        </w:rPr>
        <w:t>                 </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 xml:space="preserve">9.4 现场工艺试验 </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现场工艺试验的有关约定：</w:t>
      </w:r>
      <w:r>
        <w:rPr>
          <w:rFonts w:hint="eastAsia" w:ascii="宋体" w:hAnsi="宋体" w:cs="Arial"/>
          <w:color w:val="000000"/>
          <w:kern w:val="0"/>
          <w:szCs w:val="21"/>
          <w:u w:val="single"/>
        </w:rPr>
        <w:t>                         </w:t>
      </w:r>
      <w:r>
        <w:rPr>
          <w:rFonts w:hint="eastAsia" w:ascii="宋体" w:hAnsi="宋体" w:cs="Arial"/>
          <w:color w:val="000000"/>
          <w:kern w:val="0"/>
          <w:szCs w:val="21"/>
        </w:rPr>
        <w:t>。</w:t>
      </w:r>
    </w:p>
    <w:p>
      <w:pPr>
        <w:widowControl/>
        <w:spacing w:line="360" w:lineRule="auto"/>
        <w:ind w:firstLine="358" w:firstLineChars="170"/>
        <w:jc w:val="left"/>
        <w:textAlignment w:val="top"/>
        <w:outlineLvl w:val="3"/>
        <w:rPr>
          <w:rFonts w:ascii="宋体" w:hAnsi="宋体" w:cs="Arial"/>
          <w:b/>
          <w:bCs/>
          <w:color w:val="000000"/>
          <w:kern w:val="0"/>
          <w:szCs w:val="21"/>
        </w:rPr>
      </w:pPr>
      <w:bookmarkStart w:id="750" w:name="_Toc351203642"/>
      <w:r>
        <w:rPr>
          <w:rFonts w:hint="eastAsia" w:ascii="宋体" w:hAnsi="宋体" w:cs="Arial"/>
          <w:b/>
          <w:bCs/>
          <w:color w:val="000000"/>
          <w:kern w:val="0"/>
          <w:szCs w:val="21"/>
        </w:rPr>
        <w:t>1</w:t>
      </w:r>
      <w:bookmarkStart w:id="751" w:name="_Toc297216199"/>
      <w:bookmarkEnd w:id="751"/>
      <w:bookmarkStart w:id="752" w:name="_Toc303539146"/>
      <w:bookmarkEnd w:id="752"/>
      <w:bookmarkStart w:id="753" w:name="_Toc296891233"/>
      <w:bookmarkEnd w:id="753"/>
      <w:bookmarkStart w:id="754" w:name="_Toc267251442"/>
      <w:bookmarkEnd w:id="754"/>
      <w:bookmarkStart w:id="755" w:name="_Toc297048379"/>
      <w:bookmarkEnd w:id="755"/>
      <w:bookmarkStart w:id="756" w:name="_Toc297120493"/>
      <w:bookmarkEnd w:id="756"/>
      <w:bookmarkStart w:id="757" w:name="_Toc292559398"/>
      <w:bookmarkEnd w:id="757"/>
      <w:bookmarkStart w:id="758" w:name="_Toc304295566"/>
      <w:bookmarkEnd w:id="758"/>
      <w:bookmarkStart w:id="759" w:name="_Toc300934989"/>
      <w:bookmarkEnd w:id="759"/>
      <w:bookmarkStart w:id="760" w:name="_Toc296503193"/>
      <w:bookmarkEnd w:id="760"/>
      <w:bookmarkStart w:id="761" w:name="_Toc312677499"/>
      <w:bookmarkEnd w:id="761"/>
      <w:bookmarkStart w:id="762" w:name="_Toc267251433"/>
      <w:bookmarkEnd w:id="762"/>
      <w:bookmarkStart w:id="763" w:name="_Toc292559903"/>
      <w:bookmarkEnd w:id="763"/>
      <w:bookmarkStart w:id="764" w:name="_Toc296891021"/>
      <w:bookmarkEnd w:id="764"/>
      <w:bookmarkStart w:id="765" w:name="_Toc267251440"/>
      <w:bookmarkEnd w:id="765"/>
      <w:bookmarkStart w:id="766" w:name="_Toc267251441"/>
      <w:bookmarkEnd w:id="766"/>
      <w:bookmarkStart w:id="767" w:name="_Toc296346694"/>
      <w:bookmarkEnd w:id="767"/>
      <w:bookmarkStart w:id="768" w:name="_Toc267251435"/>
      <w:bookmarkEnd w:id="768"/>
      <w:bookmarkStart w:id="769" w:name="_Toc267251437"/>
      <w:bookmarkEnd w:id="769"/>
      <w:bookmarkStart w:id="770" w:name="_Toc296347192"/>
      <w:bookmarkEnd w:id="770"/>
      <w:bookmarkStart w:id="771" w:name="_Toc296944532"/>
      <w:bookmarkEnd w:id="771"/>
      <w:bookmarkStart w:id="772" w:name="_Toc267251439"/>
      <w:bookmarkEnd w:id="772"/>
      <w:bookmarkStart w:id="773" w:name="_Toc312678025"/>
      <w:bookmarkEnd w:id="773"/>
      <w:bookmarkStart w:id="774" w:name="_Toc297123540"/>
      <w:bookmarkEnd w:id="774"/>
      <w:bookmarkEnd w:id="750"/>
      <w:r>
        <w:rPr>
          <w:rFonts w:hint="eastAsia" w:ascii="宋体" w:hAnsi="宋体" w:cs="Arial"/>
          <w:b/>
          <w:bCs/>
          <w:color w:val="000000"/>
          <w:kern w:val="0"/>
          <w:szCs w:val="21"/>
        </w:rPr>
        <w:t>0. 变更</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1</w:t>
      </w:r>
      <w:bookmarkStart w:id="775" w:name="_Toc296503194"/>
      <w:bookmarkEnd w:id="775"/>
      <w:bookmarkStart w:id="776" w:name="_Toc296944533"/>
      <w:bookmarkEnd w:id="776"/>
      <w:bookmarkStart w:id="777" w:name="_Toc296347193"/>
      <w:bookmarkEnd w:id="777"/>
      <w:bookmarkStart w:id="778" w:name="_Toc312677500"/>
      <w:bookmarkEnd w:id="778"/>
      <w:bookmarkStart w:id="779" w:name="_Toc297216200"/>
      <w:bookmarkEnd w:id="779"/>
      <w:bookmarkStart w:id="780" w:name="_Toc303539147"/>
      <w:bookmarkEnd w:id="780"/>
      <w:bookmarkStart w:id="781" w:name="_Toc297120494"/>
      <w:bookmarkEnd w:id="781"/>
      <w:bookmarkStart w:id="782" w:name="_Toc312678026"/>
      <w:bookmarkEnd w:id="782"/>
      <w:bookmarkStart w:id="783" w:name="_Toc297048380"/>
      <w:bookmarkEnd w:id="783"/>
      <w:bookmarkStart w:id="784" w:name="_Toc300934990"/>
      <w:bookmarkEnd w:id="784"/>
      <w:bookmarkStart w:id="785" w:name="_Toc296346695"/>
      <w:bookmarkEnd w:id="785"/>
      <w:bookmarkStart w:id="786" w:name="_Toc304295567"/>
      <w:bookmarkEnd w:id="786"/>
      <w:bookmarkStart w:id="787" w:name="_Toc296891022"/>
      <w:bookmarkEnd w:id="787"/>
      <w:bookmarkStart w:id="788" w:name="_Toc292559399"/>
      <w:bookmarkEnd w:id="788"/>
      <w:bookmarkStart w:id="789" w:name="_Toc297123541"/>
      <w:bookmarkEnd w:id="789"/>
      <w:bookmarkStart w:id="790" w:name="_Toc296891234"/>
      <w:bookmarkEnd w:id="790"/>
      <w:bookmarkStart w:id="791" w:name="_Toc292559904"/>
      <w:r>
        <w:rPr>
          <w:rFonts w:hint="eastAsia" w:ascii="宋体" w:hAnsi="宋体" w:cs="Arial"/>
          <w:color w:val="000000"/>
          <w:kern w:val="0"/>
          <w:szCs w:val="21"/>
        </w:rPr>
        <w:t>0.1</w:t>
      </w:r>
      <w:bookmarkEnd w:id="791"/>
      <w:r>
        <w:rPr>
          <w:rFonts w:hint="eastAsia" w:ascii="宋体" w:hAnsi="宋体" w:cs="Arial"/>
          <w:color w:val="000000"/>
          <w:kern w:val="0"/>
          <w:szCs w:val="21"/>
        </w:rPr>
        <w:t>变更的范围</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关于变更的范围的约定：</w:t>
      </w:r>
      <w:r>
        <w:rPr>
          <w:rFonts w:hint="eastAsia" w:ascii="宋体" w:hAnsi="宋体" w:cs="Arial"/>
          <w:color w:val="000000"/>
          <w:kern w:val="0"/>
          <w:szCs w:val="21"/>
          <w:u w:val="single"/>
        </w:rPr>
        <w:t xml:space="preserve">                    </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10.4 变更估价</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10.4.1 变更估价原则</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关于变更估价的约定: </w:t>
      </w:r>
      <w:r>
        <w:rPr>
          <w:rFonts w:hint="eastAsia" w:ascii="宋体" w:hAnsi="宋体" w:cs="Arial"/>
          <w:color w:val="000000"/>
          <w:kern w:val="0"/>
          <w:szCs w:val="21"/>
          <w:u w:val="single"/>
        </w:rPr>
        <w:t>                         </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1</w:t>
      </w:r>
      <w:bookmarkStart w:id="792" w:name="_Toc296891237"/>
      <w:bookmarkEnd w:id="792"/>
      <w:bookmarkStart w:id="793" w:name="_Toc296347196"/>
      <w:bookmarkEnd w:id="793"/>
      <w:bookmarkStart w:id="794" w:name="_Toc312678029"/>
      <w:bookmarkEnd w:id="794"/>
      <w:bookmarkStart w:id="795" w:name="_Toc312677503"/>
      <w:bookmarkEnd w:id="795"/>
      <w:bookmarkStart w:id="796" w:name="_Toc296503197"/>
      <w:bookmarkEnd w:id="796"/>
      <w:bookmarkStart w:id="797" w:name="_Toc303539150"/>
      <w:bookmarkEnd w:id="797"/>
      <w:bookmarkStart w:id="798" w:name="_Toc304295570"/>
      <w:bookmarkEnd w:id="798"/>
      <w:bookmarkStart w:id="799" w:name="_Toc297216203"/>
      <w:bookmarkEnd w:id="799"/>
      <w:bookmarkStart w:id="800" w:name="_Toc292559907"/>
      <w:bookmarkEnd w:id="800"/>
      <w:bookmarkStart w:id="801" w:name="_Toc292559402"/>
      <w:bookmarkEnd w:id="801"/>
      <w:bookmarkStart w:id="802" w:name="_Toc296891025"/>
      <w:bookmarkEnd w:id="802"/>
      <w:bookmarkStart w:id="803" w:name="_Toc297123544"/>
      <w:bookmarkEnd w:id="803"/>
      <w:bookmarkStart w:id="804" w:name="_Toc297048383"/>
      <w:bookmarkEnd w:id="804"/>
      <w:bookmarkStart w:id="805" w:name="_Toc296944536"/>
      <w:bookmarkEnd w:id="805"/>
      <w:bookmarkStart w:id="806" w:name="_Toc296346698"/>
      <w:bookmarkEnd w:id="806"/>
      <w:bookmarkStart w:id="807" w:name="_Toc297120497"/>
      <w:bookmarkEnd w:id="807"/>
      <w:bookmarkStart w:id="808" w:name="_Toc300934993"/>
      <w:bookmarkEnd w:id="808"/>
      <w:r>
        <w:rPr>
          <w:rFonts w:hint="eastAsia" w:ascii="宋体" w:hAnsi="宋体" w:cs="Arial"/>
          <w:color w:val="000000"/>
          <w:kern w:val="0"/>
          <w:szCs w:val="21"/>
        </w:rPr>
        <w:t>0.5承</w:t>
      </w:r>
      <w:bookmarkStart w:id="809" w:name="_Toc296347202"/>
      <w:bookmarkEnd w:id="809"/>
      <w:bookmarkStart w:id="810" w:name="_Toc292559408"/>
      <w:bookmarkEnd w:id="810"/>
      <w:bookmarkStart w:id="811" w:name="_Toc297048389"/>
      <w:bookmarkEnd w:id="811"/>
      <w:bookmarkStart w:id="812" w:name="_Toc296891243"/>
      <w:bookmarkEnd w:id="812"/>
      <w:bookmarkStart w:id="813" w:name="_Toc296346704"/>
      <w:bookmarkEnd w:id="813"/>
      <w:bookmarkStart w:id="814" w:name="_Toc296944542"/>
      <w:bookmarkEnd w:id="814"/>
      <w:bookmarkStart w:id="815" w:name="_Toc297216204"/>
      <w:bookmarkEnd w:id="815"/>
      <w:bookmarkStart w:id="816" w:name="_Toc300934994"/>
      <w:bookmarkEnd w:id="816"/>
      <w:bookmarkStart w:id="817" w:name="_Toc296891031"/>
      <w:bookmarkEnd w:id="817"/>
      <w:bookmarkStart w:id="818" w:name="_Toc292559913"/>
      <w:bookmarkEnd w:id="818"/>
      <w:bookmarkStart w:id="819" w:name="_Toc297120503"/>
      <w:bookmarkEnd w:id="819"/>
      <w:bookmarkStart w:id="820" w:name="_Toc296503203"/>
      <w:bookmarkEnd w:id="820"/>
      <w:bookmarkStart w:id="821" w:name="_Toc303539151"/>
      <w:bookmarkEnd w:id="821"/>
      <w:bookmarkStart w:id="822" w:name="_Toc297123545"/>
      <w:bookmarkEnd w:id="822"/>
      <w:r>
        <w:rPr>
          <w:rFonts w:hint="eastAsia" w:ascii="宋体" w:hAnsi="宋体" w:cs="Arial"/>
          <w:color w:val="000000"/>
          <w:kern w:val="0"/>
          <w:szCs w:val="21"/>
        </w:rPr>
        <w:t>包人的合理化建议</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监理人审查承包人合理化建议的期限：</w:t>
      </w:r>
      <w:r>
        <w:rPr>
          <w:rFonts w:hint="eastAsia" w:ascii="宋体" w:hAnsi="宋体" w:cs="Arial"/>
          <w:color w:val="000000"/>
          <w:kern w:val="0"/>
          <w:szCs w:val="21"/>
          <w:u w:val="single"/>
        </w:rPr>
        <w:t>                    </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发包人审批承包人合理化建议的期限：</w:t>
      </w:r>
      <w:r>
        <w:rPr>
          <w:rFonts w:hint="eastAsia" w:ascii="宋体" w:hAnsi="宋体" w:cs="Arial"/>
          <w:color w:val="000000"/>
          <w:kern w:val="0"/>
          <w:szCs w:val="21"/>
          <w:u w:val="single"/>
        </w:rPr>
        <w:t>                    </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承</w:t>
      </w:r>
      <w:bookmarkStart w:id="823" w:name="_Toc292559409"/>
      <w:bookmarkEnd w:id="823"/>
      <w:bookmarkStart w:id="824" w:name="_Toc318581175"/>
      <w:bookmarkEnd w:id="824"/>
      <w:bookmarkStart w:id="825" w:name="_Toc312678030"/>
      <w:bookmarkEnd w:id="825"/>
      <w:bookmarkStart w:id="826" w:name="_Toc300934995"/>
      <w:bookmarkEnd w:id="826"/>
      <w:bookmarkStart w:id="827" w:name="_Toc297216205"/>
      <w:bookmarkEnd w:id="827"/>
      <w:bookmarkStart w:id="828" w:name="_Toc297123546"/>
      <w:bookmarkEnd w:id="828"/>
      <w:bookmarkStart w:id="829" w:name="_Toc312677504"/>
      <w:bookmarkEnd w:id="829"/>
      <w:bookmarkStart w:id="830" w:name="_Toc304295571"/>
      <w:bookmarkEnd w:id="830"/>
      <w:bookmarkStart w:id="831" w:name="_Toc297120504"/>
      <w:bookmarkEnd w:id="831"/>
      <w:bookmarkStart w:id="832" w:name="_Toc296891032"/>
      <w:bookmarkEnd w:id="832"/>
      <w:bookmarkStart w:id="833" w:name="_Toc296503204"/>
      <w:bookmarkEnd w:id="833"/>
      <w:bookmarkStart w:id="834" w:name="_Toc296347203"/>
      <w:bookmarkEnd w:id="834"/>
      <w:bookmarkStart w:id="835" w:name="_Toc296346705"/>
      <w:bookmarkEnd w:id="835"/>
      <w:bookmarkStart w:id="836" w:name="_Toc297048390"/>
      <w:bookmarkEnd w:id="836"/>
      <w:bookmarkStart w:id="837" w:name="_Toc296944543"/>
      <w:bookmarkEnd w:id="837"/>
      <w:bookmarkStart w:id="838" w:name="_Toc296891244"/>
      <w:bookmarkEnd w:id="838"/>
      <w:bookmarkStart w:id="839" w:name="_Toc292559914"/>
      <w:bookmarkEnd w:id="839"/>
      <w:bookmarkStart w:id="840" w:name="_Toc303539152"/>
      <w:r>
        <w:rPr>
          <w:rFonts w:hint="eastAsia" w:ascii="宋体" w:hAnsi="宋体" w:cs="Arial"/>
          <w:color w:val="000000"/>
          <w:kern w:val="0"/>
          <w:szCs w:val="21"/>
        </w:rPr>
        <w:t>包人提出的合理化建议降低了合同价格或者提高了工程经济效益的奖励的方法和金额为：</w:t>
      </w:r>
      <w:bookmarkEnd w:id="840"/>
      <w:r>
        <w:rPr>
          <w:rFonts w:hint="eastAsia" w:ascii="宋体" w:hAnsi="宋体" w:cs="Arial"/>
          <w:color w:val="000000"/>
          <w:kern w:val="0"/>
          <w:szCs w:val="21"/>
          <w:u w:val="single"/>
        </w:rPr>
        <w:t>  </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1</w:t>
      </w:r>
      <w:bookmarkStart w:id="841" w:name="_Toc296891239"/>
      <w:bookmarkEnd w:id="841"/>
      <w:bookmarkStart w:id="842" w:name="_Toc312677507"/>
      <w:bookmarkEnd w:id="842"/>
      <w:bookmarkStart w:id="843" w:name="_Toc296346700"/>
      <w:bookmarkEnd w:id="843"/>
      <w:bookmarkStart w:id="844" w:name="_Toc296347198"/>
      <w:bookmarkEnd w:id="844"/>
      <w:bookmarkStart w:id="845" w:name="_Toc296891027"/>
      <w:bookmarkEnd w:id="845"/>
      <w:bookmarkStart w:id="846" w:name="_Toc304295574"/>
      <w:bookmarkEnd w:id="846"/>
      <w:bookmarkStart w:id="847" w:name="_Toc296503199"/>
      <w:bookmarkEnd w:id="847"/>
      <w:bookmarkStart w:id="848" w:name="_Toc297048385"/>
      <w:bookmarkEnd w:id="848"/>
      <w:bookmarkStart w:id="849" w:name="_Toc292559909"/>
      <w:bookmarkEnd w:id="849"/>
      <w:bookmarkStart w:id="850" w:name="_Toc297123548"/>
      <w:bookmarkEnd w:id="850"/>
      <w:bookmarkStart w:id="851" w:name="_Toc297120499"/>
      <w:bookmarkEnd w:id="851"/>
      <w:bookmarkStart w:id="852" w:name="_Toc297216207"/>
      <w:bookmarkEnd w:id="852"/>
      <w:bookmarkStart w:id="853" w:name="_Toc303539154"/>
      <w:bookmarkEnd w:id="853"/>
      <w:bookmarkStart w:id="854" w:name="_Toc296944538"/>
      <w:bookmarkEnd w:id="854"/>
      <w:bookmarkStart w:id="855" w:name="_Toc312678033"/>
      <w:bookmarkEnd w:id="855"/>
      <w:bookmarkStart w:id="856" w:name="_Toc292559404"/>
      <w:bookmarkEnd w:id="856"/>
      <w:bookmarkStart w:id="857" w:name="_Toc300934997"/>
      <w:r>
        <w:rPr>
          <w:rFonts w:hint="eastAsia" w:ascii="宋体" w:hAnsi="宋体" w:cs="Arial"/>
          <w:color w:val="000000"/>
          <w:kern w:val="0"/>
          <w:szCs w:val="21"/>
        </w:rPr>
        <w:t xml:space="preserve">0.7 </w:t>
      </w:r>
      <w:bookmarkEnd w:id="857"/>
      <w:r>
        <w:rPr>
          <w:rFonts w:hint="eastAsia" w:ascii="宋体" w:hAnsi="宋体" w:cs="Arial"/>
          <w:color w:val="000000"/>
          <w:kern w:val="0"/>
          <w:szCs w:val="21"/>
        </w:rPr>
        <w:t>暂估价</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暂</w:t>
      </w:r>
      <w:bookmarkStart w:id="858" w:name="_Toc312677508"/>
      <w:bookmarkEnd w:id="858"/>
      <w:bookmarkStart w:id="859" w:name="_Toc312678034"/>
      <w:bookmarkEnd w:id="859"/>
      <w:bookmarkStart w:id="860" w:name="_Toc318581176"/>
      <w:r>
        <w:rPr>
          <w:rFonts w:hint="eastAsia" w:ascii="宋体" w:hAnsi="宋体" w:cs="Arial"/>
          <w:color w:val="000000"/>
          <w:kern w:val="0"/>
          <w:szCs w:val="21"/>
        </w:rPr>
        <w:t>估价材料和工程设备的明细详见附件</w:t>
      </w:r>
      <w:bookmarkEnd w:id="860"/>
      <w:r>
        <w:rPr>
          <w:rFonts w:hint="eastAsia" w:ascii="宋体" w:hAnsi="宋体" w:cs="Arial"/>
          <w:color w:val="000000"/>
          <w:kern w:val="0"/>
          <w:szCs w:val="21"/>
        </w:rPr>
        <w:t>11：《暂估价一览表》。</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1</w:t>
      </w:r>
      <w:bookmarkStart w:id="861" w:name="_Toc318581177"/>
      <w:bookmarkEnd w:id="861"/>
      <w:bookmarkStart w:id="862" w:name="_Toc312678035"/>
      <w:bookmarkEnd w:id="862"/>
      <w:bookmarkStart w:id="863" w:name="_Toc312677509"/>
      <w:r>
        <w:rPr>
          <w:rFonts w:hint="eastAsia" w:ascii="宋体" w:hAnsi="宋体" w:cs="Arial"/>
          <w:color w:val="000000"/>
          <w:kern w:val="0"/>
          <w:szCs w:val="21"/>
        </w:rPr>
        <w:t xml:space="preserve">0.7.1 </w:t>
      </w:r>
      <w:bookmarkEnd w:id="863"/>
      <w:r>
        <w:rPr>
          <w:rFonts w:hint="eastAsia" w:ascii="宋体" w:hAnsi="宋体" w:cs="Arial"/>
          <w:color w:val="000000"/>
          <w:kern w:val="0"/>
          <w:szCs w:val="21"/>
        </w:rPr>
        <w:t>依法必须招标的暂估价项目</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对于依法必须招标的暂估价项目的确认和批准采取第</w:t>
      </w:r>
      <w:r>
        <w:rPr>
          <w:rFonts w:hint="eastAsia" w:ascii="宋体" w:hAnsi="宋体" w:cs="Arial"/>
          <w:color w:val="000000"/>
          <w:kern w:val="0"/>
          <w:szCs w:val="21"/>
          <w:u w:val="single"/>
        </w:rPr>
        <w:t xml:space="preserve">    </w:t>
      </w:r>
      <w:r>
        <w:rPr>
          <w:rFonts w:hint="eastAsia" w:ascii="宋体" w:hAnsi="宋体" w:cs="Arial"/>
          <w:color w:val="000000"/>
          <w:kern w:val="0"/>
          <w:szCs w:val="21"/>
        </w:rPr>
        <w:t>种方式确定。</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10.7.2 不属于依法必须招标的暂估价项目</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对于不属于依法必须招标的暂估价项目的确认和批准采取第</w:t>
      </w:r>
      <w:r>
        <w:rPr>
          <w:rFonts w:hint="eastAsia" w:ascii="宋体" w:hAnsi="宋体" w:cs="Arial"/>
          <w:color w:val="000000"/>
          <w:kern w:val="0"/>
          <w:szCs w:val="21"/>
          <w:u w:val="single"/>
        </w:rPr>
        <w:t xml:space="preserve">   </w:t>
      </w:r>
      <w:r>
        <w:rPr>
          <w:rFonts w:hint="eastAsia" w:ascii="宋体" w:hAnsi="宋体" w:cs="Arial"/>
          <w:color w:val="000000"/>
          <w:kern w:val="0"/>
          <w:szCs w:val="21"/>
        </w:rPr>
        <w:t> 种方式确定。</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第3种方式：承包人直接实施的暂估价项目</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承包人直接实施的暂估价项目的约定：</w:t>
      </w:r>
      <w:r>
        <w:rPr>
          <w:rFonts w:hint="eastAsia" w:ascii="宋体" w:hAnsi="宋体" w:cs="Arial"/>
          <w:color w:val="000000"/>
          <w:kern w:val="0"/>
          <w:szCs w:val="21"/>
          <w:u w:val="single"/>
        </w:rPr>
        <w:t>               </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10.8 暂列金额</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合同当事人关于暂列金额使用的约定：</w:t>
      </w:r>
      <w:r>
        <w:rPr>
          <w:rFonts w:hint="eastAsia" w:ascii="宋体" w:hAnsi="宋体" w:cs="Arial"/>
          <w:color w:val="000000"/>
          <w:kern w:val="0"/>
          <w:szCs w:val="21"/>
          <w:u w:val="single"/>
        </w:rPr>
        <w:t>             </w:t>
      </w:r>
      <w:r>
        <w:rPr>
          <w:rFonts w:hint="eastAsia" w:ascii="宋体" w:hAnsi="宋体" w:cs="Arial"/>
          <w:color w:val="000000"/>
          <w:kern w:val="0"/>
          <w:szCs w:val="21"/>
        </w:rPr>
        <w:t>。</w:t>
      </w:r>
    </w:p>
    <w:p>
      <w:pPr>
        <w:widowControl/>
        <w:spacing w:line="360" w:lineRule="auto"/>
        <w:ind w:firstLine="358" w:firstLineChars="170"/>
        <w:jc w:val="left"/>
        <w:textAlignment w:val="top"/>
        <w:outlineLvl w:val="3"/>
        <w:rPr>
          <w:rFonts w:ascii="宋体" w:hAnsi="宋体" w:cs="Arial"/>
          <w:b/>
          <w:bCs/>
          <w:color w:val="000000"/>
          <w:kern w:val="0"/>
          <w:szCs w:val="21"/>
        </w:rPr>
      </w:pPr>
      <w:bookmarkStart w:id="864" w:name="_Toc351203643"/>
      <w:r>
        <w:rPr>
          <w:rFonts w:hint="eastAsia" w:ascii="宋体" w:hAnsi="宋体" w:cs="Arial"/>
          <w:b/>
          <w:bCs/>
          <w:color w:val="000000"/>
          <w:kern w:val="0"/>
          <w:szCs w:val="21"/>
        </w:rPr>
        <w:t xml:space="preserve">11. </w:t>
      </w:r>
      <w:bookmarkEnd w:id="864"/>
      <w:r>
        <w:rPr>
          <w:rFonts w:hint="eastAsia" w:ascii="宋体" w:hAnsi="宋体" w:cs="Arial"/>
          <w:b/>
          <w:bCs/>
          <w:color w:val="000000"/>
          <w:kern w:val="0"/>
          <w:szCs w:val="21"/>
        </w:rPr>
        <w:t>价格调整</w:t>
      </w:r>
    </w:p>
    <w:p>
      <w:pPr>
        <w:widowControl/>
        <w:spacing w:line="360" w:lineRule="auto"/>
        <w:ind w:firstLine="357" w:firstLineChars="170"/>
        <w:jc w:val="left"/>
        <w:textAlignment w:val="top"/>
        <w:rPr>
          <w:rFonts w:ascii="宋体" w:hAnsi="宋体" w:cs="Arial"/>
          <w:color w:val="000000"/>
          <w:kern w:val="0"/>
          <w:szCs w:val="21"/>
        </w:rPr>
      </w:pPr>
      <w:bookmarkStart w:id="865" w:name="_Toc303539157"/>
      <w:bookmarkEnd w:id="865"/>
      <w:bookmarkStart w:id="866" w:name="_Toc296944540"/>
      <w:bookmarkEnd w:id="866"/>
      <w:bookmarkStart w:id="867" w:name="_Toc292559911"/>
      <w:bookmarkEnd w:id="867"/>
      <w:bookmarkStart w:id="868" w:name="_Toc296891029"/>
      <w:bookmarkEnd w:id="868"/>
      <w:bookmarkStart w:id="869" w:name="_Toc296891241"/>
      <w:bookmarkEnd w:id="869"/>
      <w:bookmarkStart w:id="870" w:name="_Toc297048387"/>
      <w:bookmarkEnd w:id="870"/>
      <w:bookmarkStart w:id="871" w:name="_Toc292559406"/>
      <w:bookmarkEnd w:id="871"/>
      <w:bookmarkStart w:id="872" w:name="_Toc312678039"/>
      <w:bookmarkEnd w:id="872"/>
      <w:bookmarkStart w:id="873" w:name="_Toc297120501"/>
      <w:bookmarkEnd w:id="873"/>
      <w:bookmarkStart w:id="874" w:name="_Toc297216209"/>
      <w:bookmarkEnd w:id="874"/>
      <w:bookmarkStart w:id="875" w:name="_Toc296346702"/>
      <w:bookmarkEnd w:id="875"/>
      <w:bookmarkStart w:id="876" w:name="_Toc296503201"/>
      <w:bookmarkEnd w:id="876"/>
      <w:bookmarkStart w:id="877" w:name="_Toc297123550"/>
      <w:bookmarkEnd w:id="877"/>
      <w:bookmarkStart w:id="878" w:name="_Toc296347200"/>
      <w:bookmarkEnd w:id="878"/>
      <w:bookmarkStart w:id="879" w:name="_Toc300935000"/>
      <w:bookmarkEnd w:id="879"/>
      <w:bookmarkStart w:id="880" w:name="_Toc304295577"/>
      <w:r>
        <w:rPr>
          <w:rFonts w:hint="eastAsia" w:ascii="宋体" w:hAnsi="宋体" w:cs="Arial"/>
          <w:color w:val="000000"/>
          <w:kern w:val="0"/>
          <w:szCs w:val="21"/>
        </w:rPr>
        <w:t xml:space="preserve">11.1 </w:t>
      </w:r>
      <w:bookmarkEnd w:id="880"/>
      <w:r>
        <w:rPr>
          <w:rFonts w:hint="eastAsia" w:ascii="宋体" w:hAnsi="宋体" w:cs="Arial"/>
          <w:color w:val="000000"/>
          <w:kern w:val="0"/>
          <w:szCs w:val="21"/>
        </w:rPr>
        <w:t>市场价格波动引起的调整</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市场价格波动是否调整合同价格的约定：</w:t>
      </w:r>
      <w:r>
        <w:rPr>
          <w:rFonts w:hint="eastAsia" w:ascii="宋体" w:hAnsi="宋体" w:cs="Arial"/>
          <w:color w:val="000000"/>
          <w:kern w:val="0"/>
          <w:szCs w:val="21"/>
          <w:u w:val="single"/>
        </w:rPr>
        <w:t xml:space="preserve"> 调整 </w:t>
      </w:r>
      <w:r>
        <w:rPr>
          <w:rFonts w:hint="eastAsia" w:ascii="宋体" w:hAnsi="宋体" w:cs="Arial"/>
          <w:color w:val="000000"/>
          <w:kern w:val="0"/>
          <w:szCs w:val="21"/>
        </w:rPr>
        <w:t>。钢材、水泥等主材要选用国内或地方知名品牌。</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因市场价格波动调整合同价格，采用以下第</w:t>
      </w:r>
      <w:r>
        <w:rPr>
          <w:rFonts w:hint="eastAsia" w:ascii="宋体" w:hAnsi="宋体" w:cs="Arial"/>
          <w:color w:val="000000"/>
          <w:kern w:val="0"/>
          <w:szCs w:val="21"/>
          <w:u w:val="single"/>
        </w:rPr>
        <w:t xml:space="preserve">  3 </w:t>
      </w:r>
      <w:r>
        <w:rPr>
          <w:rFonts w:hint="eastAsia" w:ascii="宋体" w:hAnsi="宋体" w:cs="Arial"/>
          <w:color w:val="000000"/>
          <w:kern w:val="0"/>
          <w:szCs w:val="21"/>
        </w:rPr>
        <w:t>种方式对合同价格进行调整：</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第1种方式：采用价格指数进行价格调整。</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关于各可调因子、定值和变值权重，以及基本价格指数及其来源的约定：</w:t>
      </w:r>
      <w:r>
        <w:rPr>
          <w:rFonts w:hint="eastAsia" w:ascii="宋体" w:hAnsi="宋体" w:cs="Arial"/>
          <w:color w:val="000000"/>
          <w:kern w:val="0"/>
          <w:szCs w:val="21"/>
          <w:u w:val="single"/>
        </w:rPr>
        <w:t xml:space="preserve">   /   </w:t>
      </w:r>
      <w:r>
        <w:rPr>
          <w:rFonts w:hint="eastAsia" w:ascii="宋体" w:hAnsi="宋体" w:cs="Arial"/>
          <w:color w:val="000000"/>
          <w:kern w:val="0"/>
          <w:szCs w:val="21"/>
        </w:rPr>
        <w:t xml:space="preserve">；  </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第2种方式：采用造价信息进行价格调整。</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（2）关于基准价格的约定：</w:t>
      </w:r>
      <w:r>
        <w:rPr>
          <w:rFonts w:hint="eastAsia" w:ascii="宋体" w:hAnsi="宋体" w:cs="Arial"/>
          <w:color w:val="000000"/>
          <w:kern w:val="0"/>
          <w:szCs w:val="21"/>
          <w:u w:val="single"/>
        </w:rPr>
        <w:t xml:space="preserve">        /      </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专用合同条款</w:t>
      </w:r>
      <w:r>
        <w:rPr>
          <w:rFonts w:hint="eastAsia" w:ascii="宋体" w:hAnsi="宋体" w:cs="宋体"/>
          <w:color w:val="000000"/>
          <w:kern w:val="0"/>
          <w:szCs w:val="21"/>
        </w:rPr>
        <w:t>①</w:t>
      </w:r>
      <w:r>
        <w:rPr>
          <w:rFonts w:hint="eastAsia" w:ascii="宋体" w:hAnsi="宋体" w:cs="Arial"/>
          <w:color w:val="000000"/>
          <w:kern w:val="0"/>
          <w:szCs w:val="21"/>
        </w:rPr>
        <w:t>承包人在已标价工程量清单或预算书中载明的材料单价低于基准价格的：专用合同条款合同履行期间材料单价涨幅以基准价格为基础超过</w:t>
      </w:r>
      <w:r>
        <w:rPr>
          <w:rFonts w:hint="eastAsia" w:ascii="宋体" w:hAnsi="宋体" w:cs="Arial"/>
          <w:color w:val="000000"/>
          <w:kern w:val="0"/>
          <w:szCs w:val="21"/>
          <w:u w:val="single"/>
        </w:rPr>
        <w:t xml:space="preserve">   </w:t>
      </w:r>
      <w:r>
        <w:rPr>
          <w:rFonts w:hint="eastAsia" w:ascii="宋体" w:hAnsi="宋体" w:cs="Arial"/>
          <w:color w:val="000000"/>
          <w:kern w:val="0"/>
          <w:szCs w:val="21"/>
        </w:rPr>
        <w:t>%时，或材料单价跌幅以已标价工程量清单或预算书中载明材料单价为基础超过</w:t>
      </w:r>
      <w:r>
        <w:rPr>
          <w:rFonts w:hint="eastAsia" w:ascii="宋体" w:hAnsi="宋体" w:cs="Arial"/>
          <w:color w:val="000000"/>
          <w:kern w:val="0"/>
          <w:szCs w:val="21"/>
          <w:u w:val="single"/>
        </w:rPr>
        <w:t xml:space="preserve">   </w:t>
      </w:r>
      <w:r>
        <w:rPr>
          <w:rFonts w:hint="eastAsia" w:ascii="宋体" w:hAnsi="宋体" w:cs="Arial"/>
          <w:color w:val="000000"/>
          <w:kern w:val="0"/>
          <w:szCs w:val="21"/>
        </w:rPr>
        <w:t>%时，其超过部分据实调整。</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宋体"/>
          <w:color w:val="000000"/>
          <w:kern w:val="0"/>
          <w:szCs w:val="21"/>
        </w:rPr>
        <w:t>②</w:t>
      </w:r>
      <w:r>
        <w:rPr>
          <w:rFonts w:hint="eastAsia" w:ascii="宋体" w:hAnsi="宋体" w:cs="Arial"/>
          <w:color w:val="000000"/>
          <w:kern w:val="0"/>
          <w:szCs w:val="21"/>
        </w:rPr>
        <w:t>承包人在已标价工程量清单或预算书中载明的材料单价高于基准价格的：专用合同条款合同履行期间材料单价跌幅以基准价格为基础超过</w:t>
      </w:r>
      <w:r>
        <w:rPr>
          <w:rFonts w:hint="eastAsia" w:ascii="宋体" w:hAnsi="宋体" w:cs="Arial"/>
          <w:color w:val="000000"/>
          <w:kern w:val="0"/>
          <w:szCs w:val="21"/>
          <w:u w:val="single"/>
        </w:rPr>
        <w:t xml:space="preserve">   </w:t>
      </w:r>
      <w:r>
        <w:rPr>
          <w:rFonts w:hint="eastAsia" w:ascii="宋体" w:hAnsi="宋体" w:cs="Arial"/>
          <w:color w:val="000000"/>
          <w:kern w:val="0"/>
          <w:szCs w:val="21"/>
        </w:rPr>
        <w:t>%时，材料单价涨幅以已标价工程量清单或预算书中载明材料单价为基础超过</w:t>
      </w:r>
      <w:r>
        <w:rPr>
          <w:rFonts w:hint="eastAsia" w:ascii="宋体" w:hAnsi="宋体" w:cs="Arial"/>
          <w:color w:val="000000"/>
          <w:kern w:val="0"/>
          <w:szCs w:val="21"/>
          <w:u w:val="single"/>
        </w:rPr>
        <w:t xml:space="preserve">   </w:t>
      </w:r>
      <w:r>
        <w:rPr>
          <w:rFonts w:hint="eastAsia" w:ascii="宋体" w:hAnsi="宋体" w:cs="Arial"/>
          <w:color w:val="000000"/>
          <w:kern w:val="0"/>
          <w:szCs w:val="21"/>
        </w:rPr>
        <w:t>%时，其超过部分据实调整。</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宋体"/>
          <w:color w:val="000000"/>
          <w:kern w:val="0"/>
          <w:szCs w:val="21"/>
        </w:rPr>
        <w:t>③</w:t>
      </w:r>
      <w:r>
        <w:rPr>
          <w:rFonts w:hint="eastAsia" w:ascii="宋体" w:hAnsi="宋体" w:cs="Arial"/>
          <w:color w:val="000000"/>
          <w:kern w:val="0"/>
          <w:szCs w:val="21"/>
        </w:rPr>
        <w:t>承包人在已标价工程量清单或预算书中载明的材料单价等于基准单价的：专用合同条款合同履行期间材料单价涨跌幅以基准单价为基础超过±</w:t>
      </w:r>
      <w:r>
        <w:rPr>
          <w:rFonts w:hint="eastAsia" w:ascii="宋体" w:hAnsi="宋体" w:cs="Arial"/>
          <w:color w:val="000000"/>
          <w:kern w:val="0"/>
          <w:szCs w:val="21"/>
          <w:u w:val="single"/>
        </w:rPr>
        <w:t xml:space="preserve">   </w:t>
      </w:r>
      <w:r>
        <w:rPr>
          <w:rFonts w:hint="eastAsia" w:ascii="宋体" w:hAnsi="宋体" w:cs="Arial"/>
          <w:color w:val="000000"/>
          <w:kern w:val="0"/>
          <w:szCs w:val="21"/>
        </w:rPr>
        <w:t>%时，其超过部分据实调整。</w:t>
      </w:r>
    </w:p>
    <w:p>
      <w:pPr>
        <w:widowControl/>
        <w:spacing w:line="360" w:lineRule="auto"/>
        <w:ind w:firstLine="357" w:firstLineChars="170"/>
        <w:jc w:val="left"/>
        <w:textAlignment w:val="top"/>
        <w:rPr>
          <w:rFonts w:ascii="宋体" w:hAnsi="宋体" w:cs="Arial"/>
          <w:color w:val="000000"/>
          <w:kern w:val="0"/>
          <w:szCs w:val="21"/>
          <w:u w:val="single"/>
        </w:rPr>
      </w:pPr>
      <w:r>
        <w:rPr>
          <w:rFonts w:hint="eastAsia" w:ascii="宋体" w:hAnsi="宋体" w:cs="Arial"/>
          <w:color w:val="000000"/>
          <w:kern w:val="0"/>
          <w:szCs w:val="21"/>
        </w:rPr>
        <w:t>第3种方式：其他价格调整方式：</w:t>
      </w:r>
      <w:r>
        <w:rPr>
          <w:rFonts w:hint="eastAsia" w:ascii="宋体" w:hAnsi="宋体" w:cs="Arial"/>
          <w:color w:val="000000"/>
          <w:kern w:val="0"/>
          <w:szCs w:val="21"/>
          <w:u w:val="single"/>
        </w:rPr>
        <w:t xml:space="preserve">                                              。</w:t>
      </w:r>
    </w:p>
    <w:p>
      <w:pPr>
        <w:widowControl/>
        <w:spacing w:line="360" w:lineRule="auto"/>
        <w:ind w:firstLine="358" w:firstLineChars="170"/>
        <w:jc w:val="left"/>
        <w:textAlignment w:val="top"/>
        <w:outlineLvl w:val="3"/>
        <w:rPr>
          <w:rFonts w:ascii="宋体" w:hAnsi="宋体" w:cs="Arial"/>
          <w:b/>
          <w:bCs/>
          <w:color w:val="000000"/>
          <w:kern w:val="0"/>
          <w:szCs w:val="21"/>
        </w:rPr>
      </w:pPr>
      <w:bookmarkStart w:id="881" w:name="_Toc296944544"/>
      <w:bookmarkEnd w:id="881"/>
      <w:bookmarkStart w:id="882" w:name="_Toc304295579"/>
      <w:bookmarkEnd w:id="882"/>
      <w:bookmarkStart w:id="883" w:name="_Toc296503205"/>
      <w:bookmarkEnd w:id="883"/>
      <w:bookmarkStart w:id="884" w:name="_Toc296891033"/>
      <w:bookmarkEnd w:id="884"/>
      <w:bookmarkStart w:id="885" w:name="_Toc292559410"/>
      <w:bookmarkEnd w:id="885"/>
      <w:bookmarkStart w:id="886" w:name="_Toc351203644"/>
      <w:bookmarkEnd w:id="886"/>
      <w:bookmarkStart w:id="887" w:name="_Toc297123552"/>
      <w:bookmarkEnd w:id="887"/>
      <w:bookmarkStart w:id="888" w:name="_Toc297216211"/>
      <w:bookmarkEnd w:id="888"/>
      <w:bookmarkStart w:id="889" w:name="_Toc297048391"/>
      <w:bookmarkEnd w:id="889"/>
      <w:bookmarkStart w:id="890" w:name="_Toc296346706"/>
      <w:bookmarkEnd w:id="890"/>
      <w:bookmarkStart w:id="891" w:name="_Toc296891245"/>
      <w:bookmarkEnd w:id="891"/>
      <w:bookmarkStart w:id="892" w:name="_Toc312678040"/>
      <w:bookmarkEnd w:id="892"/>
      <w:bookmarkStart w:id="893" w:name="_Toc296347204"/>
      <w:bookmarkEnd w:id="893"/>
      <w:bookmarkStart w:id="894" w:name="_Toc300935002"/>
      <w:bookmarkEnd w:id="894"/>
      <w:bookmarkStart w:id="895" w:name="_Toc303539159"/>
      <w:bookmarkEnd w:id="895"/>
      <w:bookmarkStart w:id="896" w:name="_Toc297120505"/>
      <w:bookmarkEnd w:id="896"/>
      <w:bookmarkStart w:id="897" w:name="_Toc292559915"/>
      <w:r>
        <w:rPr>
          <w:rFonts w:hint="eastAsia" w:ascii="宋体" w:hAnsi="宋体" w:cs="Arial"/>
          <w:b/>
          <w:bCs/>
          <w:color w:val="000000"/>
          <w:kern w:val="0"/>
          <w:szCs w:val="21"/>
        </w:rPr>
        <w:t xml:space="preserve">12. </w:t>
      </w:r>
      <w:bookmarkEnd w:id="897"/>
      <w:r>
        <w:rPr>
          <w:rFonts w:hint="eastAsia" w:ascii="宋体" w:hAnsi="宋体" w:cs="Arial"/>
          <w:b/>
          <w:bCs/>
          <w:color w:val="000000"/>
          <w:kern w:val="0"/>
          <w:szCs w:val="21"/>
        </w:rPr>
        <w:t>合同价格、计量与支付</w:t>
      </w:r>
    </w:p>
    <w:p>
      <w:pPr>
        <w:widowControl/>
        <w:spacing w:line="360" w:lineRule="auto"/>
        <w:ind w:firstLine="357" w:firstLineChars="170"/>
        <w:jc w:val="left"/>
        <w:textAlignment w:val="top"/>
        <w:rPr>
          <w:rFonts w:ascii="宋体" w:hAnsi="宋体" w:cs="Arial"/>
          <w:color w:val="000000"/>
          <w:kern w:val="0"/>
          <w:szCs w:val="21"/>
        </w:rPr>
      </w:pPr>
      <w:bookmarkStart w:id="898" w:name="_Toc297216212"/>
      <w:bookmarkEnd w:id="898"/>
      <w:bookmarkStart w:id="899" w:name="_Toc296346707"/>
      <w:bookmarkEnd w:id="899"/>
      <w:bookmarkStart w:id="900" w:name="_Toc296944545"/>
      <w:bookmarkEnd w:id="900"/>
      <w:bookmarkStart w:id="901" w:name="_Toc312678041"/>
      <w:bookmarkEnd w:id="901"/>
      <w:bookmarkStart w:id="902" w:name="_Toc296891034"/>
      <w:bookmarkEnd w:id="902"/>
      <w:bookmarkStart w:id="903" w:name="_Toc303539160"/>
      <w:bookmarkEnd w:id="903"/>
      <w:bookmarkStart w:id="904" w:name="_Toc296503206"/>
      <w:bookmarkEnd w:id="904"/>
      <w:bookmarkStart w:id="905" w:name="_Toc292559411"/>
      <w:bookmarkEnd w:id="905"/>
      <w:bookmarkStart w:id="906" w:name="_Toc297123553"/>
      <w:bookmarkEnd w:id="906"/>
      <w:bookmarkStart w:id="907" w:name="_Toc297120506"/>
      <w:bookmarkEnd w:id="907"/>
      <w:bookmarkStart w:id="908" w:name="_Toc267251461"/>
      <w:bookmarkEnd w:id="908"/>
      <w:bookmarkStart w:id="909" w:name="_Toc304295580"/>
      <w:bookmarkEnd w:id="909"/>
      <w:bookmarkStart w:id="910" w:name="_Toc296891246"/>
      <w:bookmarkEnd w:id="910"/>
      <w:bookmarkStart w:id="911" w:name="_Toc297048392"/>
      <w:bookmarkEnd w:id="911"/>
      <w:bookmarkStart w:id="912" w:name="_Toc296347205"/>
      <w:bookmarkEnd w:id="912"/>
      <w:bookmarkStart w:id="913" w:name="_Toc300935003"/>
      <w:bookmarkEnd w:id="913"/>
      <w:bookmarkStart w:id="914" w:name="_Toc292559916"/>
      <w:r>
        <w:rPr>
          <w:rFonts w:hint="eastAsia" w:ascii="宋体" w:hAnsi="宋体" w:cs="Arial"/>
          <w:color w:val="000000"/>
          <w:kern w:val="0"/>
          <w:szCs w:val="21"/>
        </w:rPr>
        <w:t xml:space="preserve">12.1 </w:t>
      </w:r>
      <w:bookmarkEnd w:id="914"/>
      <w:r>
        <w:rPr>
          <w:rFonts w:hint="eastAsia" w:ascii="宋体" w:hAnsi="宋体" w:cs="Arial"/>
          <w:color w:val="000000"/>
          <w:kern w:val="0"/>
          <w:szCs w:val="21"/>
        </w:rPr>
        <w:t>合同价格形式</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1、单价合同。</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综合单价包含的风险范围：</w:t>
      </w:r>
      <w:r>
        <w:rPr>
          <w:rFonts w:hint="eastAsia" w:ascii="宋体" w:hAnsi="宋体" w:cs="Arial"/>
          <w:color w:val="000000"/>
          <w:kern w:val="0"/>
          <w:szCs w:val="21"/>
          <w:u w:val="single"/>
        </w:rPr>
        <w:t>                      </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风险费用的计算方法：</w:t>
      </w:r>
      <w:r>
        <w:rPr>
          <w:rFonts w:hint="eastAsia" w:ascii="宋体" w:hAnsi="宋体" w:cs="Arial"/>
          <w:color w:val="000000"/>
          <w:kern w:val="0"/>
          <w:szCs w:val="21"/>
          <w:u w:val="single"/>
        </w:rPr>
        <w:t>                           </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风险范围以外合同价格的调整方法：</w:t>
      </w:r>
      <w:r>
        <w:rPr>
          <w:rFonts w:hint="eastAsia" w:ascii="宋体" w:hAnsi="宋体" w:cs="Arial"/>
          <w:color w:val="000000"/>
          <w:kern w:val="0"/>
          <w:szCs w:val="21"/>
          <w:u w:val="single"/>
        </w:rPr>
        <w:t>                    </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2、总价合同。</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总价包含的风险范围：</w:t>
      </w:r>
      <w:r>
        <w:rPr>
          <w:rFonts w:hint="eastAsia" w:ascii="宋体" w:hAnsi="宋体" w:cs="Arial"/>
          <w:color w:val="000000"/>
          <w:kern w:val="0"/>
          <w:szCs w:val="21"/>
          <w:u w:val="single"/>
        </w:rPr>
        <w:t>                         </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风险费用的计算方法：</w:t>
      </w:r>
      <w:r>
        <w:rPr>
          <w:rFonts w:hint="eastAsia" w:ascii="宋体" w:hAnsi="宋体" w:cs="Arial"/>
          <w:color w:val="000000"/>
          <w:kern w:val="0"/>
          <w:szCs w:val="21"/>
          <w:u w:val="single"/>
        </w:rPr>
        <w:t>                           </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风险范围以外合同价格的调整方法：</w:t>
      </w:r>
      <w:r>
        <w:rPr>
          <w:rFonts w:hint="eastAsia" w:ascii="宋体" w:hAnsi="宋体" w:cs="Arial"/>
          <w:color w:val="000000"/>
          <w:kern w:val="0"/>
          <w:szCs w:val="21"/>
          <w:u w:val="single"/>
        </w:rPr>
        <w:t>                     </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3、其他价格方式：</w:t>
      </w:r>
      <w:r>
        <w:rPr>
          <w:rFonts w:hint="eastAsia" w:ascii="宋体" w:hAnsi="宋体" w:cs="Arial"/>
          <w:color w:val="000000"/>
          <w:kern w:val="0"/>
          <w:szCs w:val="21"/>
          <w:u w:val="single"/>
        </w:rPr>
        <w:t>                 </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bookmarkStart w:id="915" w:name="_Toc303539161"/>
      <w:bookmarkEnd w:id="915"/>
      <w:bookmarkStart w:id="916" w:name="_Toc292559917"/>
      <w:bookmarkEnd w:id="916"/>
      <w:bookmarkStart w:id="917" w:name="_Toc296346708"/>
      <w:bookmarkEnd w:id="917"/>
      <w:bookmarkStart w:id="918" w:name="_Toc296347206"/>
      <w:bookmarkEnd w:id="918"/>
      <w:bookmarkStart w:id="919" w:name="_Toc300935004"/>
      <w:bookmarkEnd w:id="919"/>
      <w:bookmarkStart w:id="920" w:name="_Toc297216213"/>
      <w:bookmarkEnd w:id="920"/>
      <w:bookmarkStart w:id="921" w:name="_Toc297123554"/>
      <w:bookmarkEnd w:id="921"/>
      <w:bookmarkStart w:id="922" w:name="_Toc297048393"/>
      <w:bookmarkEnd w:id="922"/>
      <w:bookmarkStart w:id="923" w:name="_Toc297120507"/>
      <w:bookmarkEnd w:id="923"/>
      <w:bookmarkStart w:id="924" w:name="_Toc296891035"/>
      <w:bookmarkEnd w:id="924"/>
      <w:bookmarkStart w:id="925" w:name="_Toc296503207"/>
      <w:bookmarkEnd w:id="925"/>
      <w:bookmarkStart w:id="926" w:name="_Toc304295581"/>
      <w:bookmarkEnd w:id="926"/>
      <w:bookmarkStart w:id="927" w:name="_Toc296944546"/>
      <w:bookmarkEnd w:id="927"/>
      <w:bookmarkStart w:id="928" w:name="_Toc296891247"/>
      <w:bookmarkEnd w:id="928"/>
      <w:bookmarkStart w:id="929" w:name="_Toc292559412"/>
      <w:bookmarkEnd w:id="929"/>
      <w:bookmarkStart w:id="930" w:name="_Toc312678042"/>
      <w:r>
        <w:rPr>
          <w:rFonts w:hint="eastAsia" w:ascii="宋体" w:hAnsi="宋体" w:cs="Arial"/>
          <w:color w:val="000000"/>
          <w:kern w:val="0"/>
          <w:szCs w:val="21"/>
        </w:rPr>
        <w:t xml:space="preserve">12.2 </w:t>
      </w:r>
      <w:bookmarkEnd w:id="930"/>
      <w:r>
        <w:rPr>
          <w:rFonts w:hint="eastAsia" w:ascii="宋体" w:hAnsi="宋体" w:cs="Arial"/>
          <w:color w:val="000000"/>
          <w:kern w:val="0"/>
          <w:szCs w:val="21"/>
        </w:rPr>
        <w:t>预付款</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12.2.1 预付款的支付</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预付款支付比例或金额：</w:t>
      </w:r>
      <w:r>
        <w:rPr>
          <w:rFonts w:hint="eastAsia" w:ascii="宋体" w:hAnsi="宋体" w:cs="Arial"/>
          <w:color w:val="000000"/>
          <w:kern w:val="0"/>
          <w:szCs w:val="21"/>
          <w:u w:val="single"/>
        </w:rPr>
        <w:t>      /              </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预付款支付期限：</w:t>
      </w:r>
      <w:r>
        <w:rPr>
          <w:rFonts w:hint="eastAsia" w:ascii="宋体" w:hAnsi="宋体" w:cs="Arial"/>
          <w:color w:val="000000"/>
          <w:kern w:val="0"/>
          <w:szCs w:val="21"/>
          <w:u w:val="single"/>
        </w:rPr>
        <w:t>   /                </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预付款扣回的方式：</w:t>
      </w:r>
      <w:r>
        <w:rPr>
          <w:rFonts w:hint="eastAsia" w:ascii="宋体" w:hAnsi="宋体" w:cs="Arial"/>
          <w:color w:val="000000"/>
          <w:kern w:val="0"/>
          <w:szCs w:val="21"/>
          <w:u w:val="single"/>
        </w:rPr>
        <w:t>     /                </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12.2.2 预付款担保</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承包人提交预付款担保的期限：</w:t>
      </w:r>
      <w:r>
        <w:rPr>
          <w:rFonts w:hint="eastAsia" w:ascii="宋体" w:hAnsi="宋体" w:cs="Arial"/>
          <w:color w:val="000000"/>
          <w:kern w:val="0"/>
          <w:szCs w:val="21"/>
          <w:u w:val="single"/>
        </w:rPr>
        <w:t>     /                </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预付款担保的形式为：</w:t>
      </w:r>
      <w:r>
        <w:rPr>
          <w:rFonts w:hint="eastAsia" w:ascii="宋体" w:hAnsi="宋体" w:cs="Arial"/>
          <w:color w:val="000000"/>
          <w:kern w:val="0"/>
          <w:szCs w:val="21"/>
          <w:u w:val="single"/>
        </w:rPr>
        <w:t>        /                </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12.3 计量</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12.3.1 计量原则</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工程量计算规则：</w:t>
      </w:r>
      <w:r>
        <w:rPr>
          <w:rFonts w:hint="eastAsia" w:ascii="宋体" w:hAnsi="宋体" w:cs="Arial"/>
          <w:color w:val="000000"/>
          <w:kern w:val="0"/>
          <w:szCs w:val="21"/>
          <w:u w:val="single"/>
        </w:rPr>
        <w:t>                       </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12.3.2 计量周期</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关于计量周期的约定：</w:t>
      </w:r>
      <w:r>
        <w:rPr>
          <w:rFonts w:hint="eastAsia" w:ascii="宋体" w:hAnsi="宋体" w:cs="Arial"/>
          <w:color w:val="000000"/>
          <w:kern w:val="0"/>
          <w:szCs w:val="21"/>
          <w:u w:val="single"/>
        </w:rPr>
        <w:t>                </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12.3.3 单价合同的计量</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关于单价合同计量的约定：</w:t>
      </w:r>
      <w:r>
        <w:rPr>
          <w:rFonts w:hint="eastAsia" w:ascii="宋体" w:hAnsi="宋体" w:cs="Arial"/>
          <w:color w:val="000000"/>
          <w:kern w:val="0"/>
          <w:szCs w:val="21"/>
          <w:u w:val="single"/>
        </w:rPr>
        <w:t>                 </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12.3.4 总价合同的计量</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关于总价合同计量的约定：</w:t>
      </w:r>
      <w:r>
        <w:rPr>
          <w:rFonts w:hint="eastAsia" w:ascii="宋体" w:hAnsi="宋体" w:cs="Arial"/>
          <w:color w:val="000000"/>
          <w:kern w:val="0"/>
          <w:szCs w:val="21"/>
          <w:u w:val="single"/>
        </w:rPr>
        <w:t>               </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12.3.5总价合同采用支付分解表计量支付的，是否适用第12.3.4 项〔总价合同的计量〕约定进行计量：</w:t>
      </w:r>
      <w:r>
        <w:rPr>
          <w:rFonts w:hint="eastAsia" w:ascii="宋体" w:hAnsi="宋体" w:cs="Arial"/>
          <w:color w:val="000000"/>
          <w:kern w:val="0"/>
          <w:szCs w:val="21"/>
          <w:u w:val="single"/>
        </w:rPr>
        <w:t>                     </w:t>
      </w:r>
      <w:r>
        <w:rPr>
          <w:rFonts w:hint="eastAsia" w:ascii="宋体" w:hAnsi="宋体" w:cs="Arial"/>
          <w:color w:val="000000"/>
          <w:kern w:val="0"/>
          <w:szCs w:val="21"/>
        </w:rPr>
        <w:t>。</w:t>
      </w:r>
    </w:p>
    <w:p>
      <w:pPr>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12.3.6 其他价格形式合同的计量</w:t>
      </w:r>
    </w:p>
    <w:p>
      <w:pPr>
        <w:spacing w:line="360" w:lineRule="auto"/>
        <w:ind w:left="357" w:leftChars="170"/>
        <w:jc w:val="left"/>
        <w:textAlignment w:val="top"/>
        <w:rPr>
          <w:rFonts w:ascii="宋体" w:hAnsi="宋体" w:cs="Arial"/>
          <w:color w:val="000000"/>
          <w:kern w:val="0"/>
          <w:szCs w:val="21"/>
        </w:rPr>
      </w:pPr>
      <w:r>
        <w:rPr>
          <w:rFonts w:hint="eastAsia" w:ascii="宋体" w:hAnsi="宋体" w:cs="Arial"/>
          <w:color w:val="000000"/>
          <w:kern w:val="0"/>
          <w:szCs w:val="21"/>
        </w:rPr>
        <w:t>其他价格形式的计量方式和程序：</w:t>
      </w:r>
    </w:p>
    <w:p>
      <w:pPr>
        <w:widowControl/>
        <w:spacing w:line="360" w:lineRule="auto"/>
        <w:ind w:firstLine="357" w:firstLineChars="170"/>
        <w:jc w:val="left"/>
        <w:textAlignment w:val="top"/>
        <w:rPr>
          <w:rFonts w:ascii="宋体" w:hAnsi="宋体" w:cs="Arial"/>
          <w:kern w:val="0"/>
          <w:szCs w:val="21"/>
        </w:rPr>
      </w:pPr>
      <w:r>
        <w:rPr>
          <w:rFonts w:hint="eastAsia" w:ascii="宋体" w:hAnsi="宋体" w:cs="Arial"/>
          <w:kern w:val="0"/>
          <w:szCs w:val="21"/>
        </w:rPr>
        <w:t>12.4 工程进度款支付</w:t>
      </w:r>
    </w:p>
    <w:p>
      <w:pPr>
        <w:widowControl/>
        <w:spacing w:line="360" w:lineRule="auto"/>
        <w:ind w:firstLine="357" w:firstLineChars="170"/>
        <w:jc w:val="left"/>
        <w:textAlignment w:val="top"/>
        <w:rPr>
          <w:rFonts w:ascii="宋体" w:hAnsi="宋体" w:cs="Arial"/>
          <w:kern w:val="0"/>
          <w:szCs w:val="21"/>
        </w:rPr>
      </w:pPr>
      <w:bookmarkStart w:id="931" w:name="_Toc303539163"/>
      <w:bookmarkEnd w:id="931"/>
      <w:bookmarkStart w:id="932" w:name="_Toc297048397"/>
      <w:bookmarkEnd w:id="932"/>
      <w:bookmarkStart w:id="933" w:name="_Toc292559416"/>
      <w:bookmarkEnd w:id="933"/>
      <w:bookmarkStart w:id="934" w:name="_Toc297216215"/>
      <w:bookmarkEnd w:id="934"/>
      <w:bookmarkStart w:id="935" w:name="_Toc297123556"/>
      <w:bookmarkEnd w:id="935"/>
      <w:bookmarkStart w:id="936" w:name="_Toc300935006"/>
      <w:bookmarkEnd w:id="936"/>
      <w:bookmarkStart w:id="937" w:name="_Toc296944550"/>
      <w:bookmarkEnd w:id="937"/>
      <w:bookmarkStart w:id="938" w:name="_Toc296891039"/>
      <w:bookmarkEnd w:id="938"/>
      <w:bookmarkStart w:id="939" w:name="_Toc297120511"/>
      <w:bookmarkEnd w:id="939"/>
      <w:bookmarkStart w:id="940" w:name="_Toc292559921"/>
      <w:bookmarkEnd w:id="940"/>
      <w:bookmarkStart w:id="941" w:name="_Toc296891251"/>
      <w:bookmarkEnd w:id="941"/>
      <w:bookmarkStart w:id="942" w:name="_Toc296503211"/>
      <w:bookmarkEnd w:id="942"/>
      <w:bookmarkStart w:id="943" w:name="_Toc296347210"/>
      <w:bookmarkEnd w:id="943"/>
      <w:bookmarkStart w:id="944" w:name="_Toc296346712"/>
      <w:r>
        <w:rPr>
          <w:rFonts w:hint="eastAsia" w:ascii="宋体" w:hAnsi="宋体" w:cs="Arial"/>
          <w:kern w:val="0"/>
          <w:szCs w:val="21"/>
        </w:rPr>
        <w:t xml:space="preserve">12.4.1 </w:t>
      </w:r>
      <w:bookmarkEnd w:id="944"/>
      <w:r>
        <w:rPr>
          <w:rFonts w:hint="eastAsia" w:ascii="宋体" w:hAnsi="宋体" w:cs="Arial"/>
          <w:kern w:val="0"/>
          <w:szCs w:val="21"/>
        </w:rPr>
        <w:t>付款周期</w:t>
      </w:r>
    </w:p>
    <w:p>
      <w:pPr>
        <w:widowControl/>
        <w:spacing w:line="360" w:lineRule="auto"/>
        <w:ind w:firstLine="357" w:firstLineChars="170"/>
        <w:jc w:val="left"/>
        <w:textAlignment w:val="top"/>
        <w:rPr>
          <w:rFonts w:ascii="宋体" w:hAnsi="宋体" w:cs="Arial"/>
          <w:kern w:val="0"/>
          <w:szCs w:val="21"/>
        </w:rPr>
      </w:pPr>
      <w:r>
        <w:rPr>
          <w:rFonts w:hint="eastAsia" w:ascii="宋体" w:hAnsi="宋体" w:cs="Arial"/>
          <w:kern w:val="0"/>
          <w:szCs w:val="21"/>
        </w:rPr>
        <w:t xml:space="preserve"> 关于付款周期的约定：到温县财政局办理本合同价款的支付手续：1、综合业务楼全部完成并试压合格付总工程款的10%.门诊楼全部完成并试压合格付总工程款的 10%，综合楼和门诊楼链接完成支付设备空调主机预付款10%，空调主机运到施工现场付总工程款的20%.病房楼工程量完成一半支付总工程款的10%，系统调试完成付总工程款的10%，空调系统全部验收合格后并经审计部门审计后，支付到审计价款的90%；剩余的部分分两年二次支付。验收满一年第一次支付质保金，即合同价款的5%（无利息）；验收满两年第二次支付合同价款的5%（无利息）。</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本合同单价及总价为不变价，不受市场风险等因素的影响。</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12.4.2 进度付款申请单的编制</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关于进度付款申请单编制的约定：</w:t>
      </w:r>
      <w:r>
        <w:rPr>
          <w:rFonts w:hint="eastAsia" w:ascii="宋体" w:hAnsi="宋体" w:cs="Arial"/>
          <w:color w:val="000000"/>
          <w:kern w:val="0"/>
          <w:szCs w:val="21"/>
          <w:u w:val="single"/>
        </w:rPr>
        <w:t>                    </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12.4.3 进度付款申请单的提交</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（1）单价合同进度付款申请单提交的约定：</w:t>
      </w:r>
      <w:r>
        <w:rPr>
          <w:rFonts w:hint="eastAsia" w:ascii="宋体" w:hAnsi="宋体" w:cs="Arial"/>
          <w:color w:val="000000"/>
          <w:kern w:val="0"/>
          <w:szCs w:val="21"/>
          <w:u w:val="single"/>
        </w:rPr>
        <w:t>               </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（2）总价合同进度付款申请单提交的约定：</w:t>
      </w:r>
      <w:r>
        <w:rPr>
          <w:rFonts w:hint="eastAsia" w:ascii="宋体" w:hAnsi="宋体" w:cs="Arial"/>
          <w:color w:val="000000"/>
          <w:kern w:val="0"/>
          <w:szCs w:val="21"/>
          <w:u w:val="single"/>
        </w:rPr>
        <w:t>               </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（3）其他价格形式合同进度付款申请单提交的约定：</w:t>
      </w:r>
      <w:r>
        <w:rPr>
          <w:rFonts w:hint="eastAsia" w:ascii="宋体" w:hAnsi="宋体" w:cs="Arial"/>
          <w:color w:val="000000"/>
          <w:kern w:val="0"/>
          <w:szCs w:val="21"/>
          <w:u w:val="single"/>
        </w:rPr>
        <w:t>              </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12.4.4 进度款审核和支付</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（1）监理人审查并报送发包人的期限：</w:t>
      </w:r>
      <w:r>
        <w:rPr>
          <w:rFonts w:hint="eastAsia" w:ascii="宋体" w:hAnsi="宋体" w:cs="Arial"/>
          <w:color w:val="000000"/>
          <w:kern w:val="0"/>
          <w:szCs w:val="21"/>
          <w:u w:val="single"/>
        </w:rPr>
        <w:t>                  </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发包人完成审批并签发进度款支付证书的期限：</w:t>
      </w:r>
      <w:r>
        <w:rPr>
          <w:rFonts w:hint="eastAsia" w:ascii="宋体" w:hAnsi="宋体" w:cs="Arial"/>
          <w:color w:val="000000"/>
          <w:kern w:val="0"/>
          <w:szCs w:val="21"/>
          <w:u w:val="single"/>
        </w:rPr>
        <w:t>               </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（2）发包人支付进度款的期限：</w:t>
      </w:r>
      <w:r>
        <w:rPr>
          <w:rFonts w:hint="eastAsia" w:ascii="宋体" w:hAnsi="宋体" w:cs="Arial"/>
          <w:color w:val="000000"/>
          <w:kern w:val="0"/>
          <w:szCs w:val="21"/>
          <w:u w:val="single"/>
        </w:rPr>
        <w:t>                        </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发包人逾期支付进度款的违约金的计算方式：</w:t>
      </w:r>
      <w:r>
        <w:rPr>
          <w:rFonts w:hint="eastAsia" w:ascii="宋体" w:hAnsi="宋体" w:cs="Arial"/>
          <w:color w:val="000000"/>
          <w:kern w:val="0"/>
          <w:szCs w:val="21"/>
          <w:u w:val="single"/>
        </w:rPr>
        <w:t>                </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12.4.6 支付分解表的编制</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2、总价合同支付分解表的编制与审批：</w:t>
      </w:r>
      <w:r>
        <w:rPr>
          <w:rFonts w:hint="eastAsia" w:ascii="宋体" w:hAnsi="宋体" w:cs="Arial"/>
          <w:color w:val="000000"/>
          <w:kern w:val="0"/>
          <w:szCs w:val="21"/>
          <w:u w:val="single"/>
        </w:rPr>
        <w:t>                    </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3、单价合同的总价项目支付分解表的编制与审批：</w:t>
      </w:r>
      <w:r>
        <w:rPr>
          <w:rFonts w:hint="eastAsia" w:ascii="宋体" w:hAnsi="宋体" w:cs="Arial"/>
          <w:color w:val="000000"/>
          <w:kern w:val="0"/>
          <w:szCs w:val="21"/>
          <w:u w:val="single"/>
        </w:rPr>
        <w:t>              </w:t>
      </w:r>
      <w:r>
        <w:rPr>
          <w:rFonts w:hint="eastAsia" w:ascii="宋体" w:hAnsi="宋体" w:cs="Arial"/>
          <w:color w:val="000000"/>
          <w:kern w:val="0"/>
          <w:szCs w:val="21"/>
        </w:rPr>
        <w:t>。</w:t>
      </w:r>
    </w:p>
    <w:p>
      <w:pPr>
        <w:widowControl/>
        <w:spacing w:line="360" w:lineRule="auto"/>
        <w:ind w:firstLine="358" w:firstLineChars="170"/>
        <w:jc w:val="left"/>
        <w:textAlignment w:val="top"/>
        <w:outlineLvl w:val="3"/>
        <w:rPr>
          <w:rFonts w:ascii="宋体" w:hAnsi="宋体" w:cs="Arial"/>
          <w:b/>
          <w:bCs/>
          <w:color w:val="000000"/>
          <w:kern w:val="0"/>
          <w:szCs w:val="21"/>
        </w:rPr>
      </w:pPr>
      <w:bookmarkStart w:id="945" w:name="_Toc300935015"/>
      <w:bookmarkEnd w:id="945"/>
      <w:bookmarkStart w:id="946" w:name="_Toc292559929"/>
      <w:bookmarkEnd w:id="946"/>
      <w:bookmarkStart w:id="947" w:name="_Toc296347218"/>
      <w:bookmarkEnd w:id="947"/>
      <w:bookmarkStart w:id="948" w:name="_Toc296891047"/>
      <w:bookmarkEnd w:id="948"/>
      <w:bookmarkStart w:id="949" w:name="_Toc303539172"/>
      <w:bookmarkEnd w:id="949"/>
      <w:bookmarkStart w:id="950" w:name="_Toc312678053"/>
      <w:bookmarkEnd w:id="950"/>
      <w:bookmarkStart w:id="951" w:name="_Toc297123564"/>
      <w:bookmarkEnd w:id="951"/>
      <w:bookmarkStart w:id="952" w:name="_Toc297120519"/>
      <w:bookmarkEnd w:id="952"/>
      <w:bookmarkStart w:id="953" w:name="_Toc297216223"/>
      <w:bookmarkEnd w:id="953"/>
      <w:bookmarkStart w:id="954" w:name="_Toc296503219"/>
      <w:bookmarkEnd w:id="954"/>
      <w:bookmarkStart w:id="955" w:name="_Toc296346720"/>
      <w:bookmarkEnd w:id="955"/>
      <w:bookmarkStart w:id="956" w:name="_Toc292559424"/>
      <w:bookmarkEnd w:id="956"/>
      <w:bookmarkStart w:id="957" w:name="_Toc296891259"/>
      <w:bookmarkEnd w:id="957"/>
      <w:bookmarkStart w:id="958" w:name="_Toc304295593"/>
      <w:bookmarkEnd w:id="958"/>
      <w:bookmarkStart w:id="959" w:name="_Toc296944558"/>
      <w:bookmarkEnd w:id="959"/>
      <w:bookmarkStart w:id="960" w:name="_Toc297048405"/>
      <w:bookmarkEnd w:id="960"/>
      <w:bookmarkStart w:id="961" w:name="_Toc351203645"/>
      <w:r>
        <w:rPr>
          <w:rFonts w:hint="eastAsia" w:ascii="宋体" w:hAnsi="宋体" w:cs="Arial"/>
          <w:b/>
          <w:bCs/>
          <w:color w:val="000000"/>
          <w:kern w:val="0"/>
          <w:szCs w:val="21"/>
        </w:rPr>
        <w:t xml:space="preserve">13. </w:t>
      </w:r>
      <w:bookmarkEnd w:id="961"/>
      <w:r>
        <w:rPr>
          <w:rFonts w:hint="eastAsia" w:ascii="宋体" w:hAnsi="宋体" w:cs="Arial"/>
          <w:b/>
          <w:bCs/>
          <w:color w:val="000000"/>
          <w:kern w:val="0"/>
          <w:szCs w:val="21"/>
        </w:rPr>
        <w:t>验收和工程试车</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13.1 分部分项工程验收</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13.1.2监理人不能按时进行验收时，应提前</w:t>
      </w:r>
      <w:r>
        <w:rPr>
          <w:rFonts w:hint="eastAsia" w:ascii="宋体" w:hAnsi="宋体" w:cs="Arial"/>
          <w:color w:val="000000"/>
          <w:kern w:val="0"/>
          <w:szCs w:val="21"/>
          <w:u w:val="single"/>
        </w:rPr>
        <w:t xml:space="preserve">       </w:t>
      </w:r>
      <w:r>
        <w:rPr>
          <w:rFonts w:hint="eastAsia" w:ascii="宋体" w:hAnsi="宋体" w:cs="Arial"/>
          <w:color w:val="000000"/>
          <w:kern w:val="0"/>
          <w:szCs w:val="21"/>
        </w:rPr>
        <w:t>小时提交书面延期要求。</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关于延期最长不得超过：</w:t>
      </w:r>
      <w:r>
        <w:rPr>
          <w:rFonts w:hint="eastAsia" w:ascii="宋体" w:hAnsi="宋体" w:cs="Arial"/>
          <w:color w:val="000000"/>
          <w:kern w:val="0"/>
          <w:szCs w:val="21"/>
          <w:u w:val="single"/>
        </w:rPr>
        <w:t xml:space="preserve">         </w:t>
      </w:r>
      <w:r>
        <w:rPr>
          <w:rFonts w:hint="eastAsia" w:ascii="宋体" w:hAnsi="宋体" w:cs="Arial"/>
          <w:color w:val="000000"/>
          <w:kern w:val="0"/>
          <w:szCs w:val="21"/>
        </w:rPr>
        <w:t>小时。</w:t>
      </w:r>
    </w:p>
    <w:p>
      <w:pPr>
        <w:widowControl/>
        <w:spacing w:line="360" w:lineRule="auto"/>
        <w:ind w:firstLine="357" w:firstLineChars="170"/>
        <w:jc w:val="left"/>
        <w:textAlignment w:val="top"/>
        <w:rPr>
          <w:rFonts w:ascii="宋体" w:hAnsi="宋体" w:cs="Arial"/>
          <w:color w:val="000000"/>
          <w:kern w:val="0"/>
          <w:szCs w:val="21"/>
        </w:rPr>
      </w:pPr>
      <w:bookmarkStart w:id="962" w:name="_Toc267251471"/>
      <w:bookmarkEnd w:id="962"/>
      <w:bookmarkStart w:id="963" w:name="_Toc267251474"/>
      <w:bookmarkEnd w:id="963"/>
      <w:bookmarkStart w:id="964" w:name="_Toc300935016"/>
      <w:bookmarkEnd w:id="964"/>
      <w:bookmarkStart w:id="965" w:name="_Toc296944562"/>
      <w:bookmarkEnd w:id="965"/>
      <w:bookmarkStart w:id="966" w:name="_Toc303539173"/>
      <w:bookmarkEnd w:id="966"/>
      <w:bookmarkStart w:id="967" w:name="_Toc296346724"/>
      <w:bookmarkEnd w:id="967"/>
      <w:bookmarkStart w:id="968" w:name="_Toc267251470"/>
      <w:bookmarkEnd w:id="968"/>
      <w:bookmarkStart w:id="969" w:name="_Toc267251476"/>
      <w:bookmarkEnd w:id="969"/>
      <w:bookmarkStart w:id="970" w:name="_Toc296891263"/>
      <w:bookmarkEnd w:id="970"/>
      <w:bookmarkStart w:id="971" w:name="_Toc296891051"/>
      <w:bookmarkEnd w:id="971"/>
      <w:bookmarkStart w:id="972" w:name="_Toc297048409"/>
      <w:bookmarkEnd w:id="972"/>
      <w:bookmarkStart w:id="973" w:name="_Toc304295596"/>
      <w:bookmarkEnd w:id="973"/>
      <w:bookmarkStart w:id="974" w:name="_Toc267251475"/>
      <w:bookmarkEnd w:id="974"/>
      <w:bookmarkStart w:id="975" w:name="_Toc267251473"/>
      <w:bookmarkEnd w:id="975"/>
      <w:bookmarkStart w:id="976" w:name="_Toc296503223"/>
      <w:bookmarkEnd w:id="976"/>
      <w:bookmarkStart w:id="977" w:name="_Toc296347222"/>
      <w:bookmarkEnd w:id="977"/>
      <w:bookmarkStart w:id="978" w:name="_Toc267251472"/>
      <w:bookmarkEnd w:id="978"/>
      <w:bookmarkStart w:id="979" w:name="_Toc312678056"/>
      <w:bookmarkEnd w:id="979"/>
      <w:bookmarkStart w:id="980" w:name="_Toc297123565"/>
      <w:bookmarkEnd w:id="980"/>
      <w:bookmarkStart w:id="981" w:name="_Toc297120523"/>
      <w:bookmarkEnd w:id="981"/>
      <w:bookmarkStart w:id="982" w:name="_Toc297216224"/>
      <w:bookmarkEnd w:id="982"/>
      <w:bookmarkStart w:id="983" w:name="_Toc292559933"/>
      <w:bookmarkEnd w:id="983"/>
      <w:bookmarkStart w:id="984" w:name="_Toc292559428"/>
      <w:r>
        <w:rPr>
          <w:rFonts w:hint="eastAsia" w:ascii="宋体" w:hAnsi="宋体" w:cs="Arial"/>
          <w:color w:val="000000"/>
          <w:kern w:val="0"/>
          <w:szCs w:val="21"/>
        </w:rPr>
        <w:t xml:space="preserve">13.2 </w:t>
      </w:r>
      <w:bookmarkEnd w:id="984"/>
      <w:r>
        <w:rPr>
          <w:rFonts w:hint="eastAsia" w:ascii="宋体" w:hAnsi="宋体" w:cs="Arial"/>
          <w:color w:val="000000"/>
          <w:kern w:val="0"/>
          <w:szCs w:val="21"/>
        </w:rPr>
        <w:t>竣工验收</w:t>
      </w:r>
    </w:p>
    <w:p>
      <w:pPr>
        <w:widowControl/>
        <w:spacing w:line="360" w:lineRule="auto"/>
        <w:ind w:firstLine="357" w:firstLineChars="170"/>
        <w:jc w:val="left"/>
        <w:textAlignment w:val="top"/>
        <w:rPr>
          <w:rFonts w:ascii="宋体" w:hAnsi="宋体" w:cs="Arial"/>
          <w:color w:val="000000"/>
          <w:kern w:val="0"/>
          <w:szCs w:val="21"/>
        </w:rPr>
      </w:pPr>
      <w:bookmarkStart w:id="985" w:name="_Toc280868708"/>
      <w:bookmarkEnd w:id="985"/>
      <w:bookmarkStart w:id="986" w:name="_Toc280868705"/>
      <w:bookmarkEnd w:id="986"/>
      <w:bookmarkStart w:id="987" w:name="_Toc280868706"/>
      <w:bookmarkEnd w:id="987"/>
      <w:bookmarkStart w:id="988" w:name="_Toc280868707"/>
      <w:bookmarkEnd w:id="988"/>
      <w:bookmarkStart w:id="989" w:name="_Toc280868709"/>
      <w:bookmarkEnd w:id="989"/>
      <w:bookmarkStart w:id="990" w:name="_Toc280868704"/>
      <w:r>
        <w:rPr>
          <w:rFonts w:hint="eastAsia" w:ascii="宋体" w:hAnsi="宋体" w:cs="Arial"/>
          <w:color w:val="000000"/>
          <w:kern w:val="0"/>
          <w:szCs w:val="21"/>
        </w:rPr>
        <w:t>13.2.2</w:t>
      </w:r>
      <w:bookmarkEnd w:id="990"/>
      <w:r>
        <w:rPr>
          <w:rFonts w:hint="eastAsia" w:ascii="宋体" w:hAnsi="宋体" w:cs="Arial"/>
          <w:color w:val="000000"/>
          <w:kern w:val="0"/>
          <w:szCs w:val="21"/>
        </w:rPr>
        <w:t>竣工验收程序</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关于竣工验收程序的约定：</w:t>
      </w:r>
      <w:r>
        <w:rPr>
          <w:rFonts w:hint="eastAsia" w:ascii="宋体" w:hAnsi="宋体" w:cs="Arial"/>
          <w:color w:val="000000"/>
          <w:kern w:val="0"/>
          <w:szCs w:val="21"/>
          <w:u w:val="single"/>
        </w:rPr>
        <w:t>             </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发包人不按照本项约定组织竣工验收、颁发工程接收证书的违约金的计算方法方</w:t>
      </w:r>
      <w:r>
        <w:rPr>
          <w:rFonts w:hint="eastAsia" w:ascii="宋体" w:hAnsi="宋体" w:cs="Arial"/>
          <w:color w:val="000000"/>
          <w:kern w:val="0"/>
          <w:szCs w:val="21"/>
          <w:u w:val="single"/>
        </w:rPr>
        <w:t>  </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13.2.5移交、接收全部与部分工程</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承包人向发包人移交工程的期限：</w:t>
      </w:r>
      <w:r>
        <w:rPr>
          <w:rFonts w:hint="eastAsia" w:ascii="宋体" w:hAnsi="宋体" w:cs="Arial"/>
          <w:color w:val="000000"/>
          <w:kern w:val="0"/>
          <w:szCs w:val="21"/>
          <w:u w:val="single"/>
        </w:rPr>
        <w:t>                </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发包人未按本合同约定接收全部或部分工程的，违约金的计算方法为：</w:t>
      </w:r>
      <w:r>
        <w:rPr>
          <w:rFonts w:hint="eastAsia" w:ascii="宋体" w:hAnsi="宋体" w:cs="Arial"/>
          <w:color w:val="000000"/>
          <w:kern w:val="0"/>
          <w:szCs w:val="21"/>
          <w:u w:val="single"/>
        </w:rPr>
        <w:t>      </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承包人未按时移交工程的，违约金的计算方法为：</w:t>
      </w:r>
      <w:r>
        <w:rPr>
          <w:rFonts w:hint="eastAsia" w:ascii="宋体" w:hAnsi="宋体" w:cs="Arial"/>
          <w:color w:val="000000"/>
          <w:kern w:val="0"/>
          <w:szCs w:val="21"/>
          <w:u w:val="single"/>
        </w:rPr>
        <w:t>                </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13.3 工程试车</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13.3.1 试车程序</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工程试车内容：</w:t>
      </w:r>
      <w:r>
        <w:rPr>
          <w:rFonts w:hint="eastAsia" w:ascii="宋体" w:hAnsi="宋体" w:cs="Arial"/>
          <w:color w:val="000000"/>
          <w:kern w:val="0"/>
          <w:szCs w:val="21"/>
          <w:u w:val="single"/>
        </w:rPr>
        <w:t>                       </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（1）单机无负荷试车费用由</w:t>
      </w:r>
      <w:r>
        <w:rPr>
          <w:rFonts w:hint="eastAsia" w:ascii="宋体" w:hAnsi="宋体" w:cs="Arial"/>
          <w:color w:val="000000"/>
          <w:kern w:val="0"/>
          <w:szCs w:val="21"/>
          <w:u w:val="single"/>
        </w:rPr>
        <w:t xml:space="preserve">                     </w:t>
      </w:r>
      <w:r>
        <w:rPr>
          <w:rFonts w:hint="eastAsia" w:ascii="宋体" w:hAnsi="宋体" w:cs="Arial"/>
          <w:color w:val="000000"/>
          <w:kern w:val="0"/>
          <w:szCs w:val="21"/>
        </w:rPr>
        <w:t>承担；</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（2）无负荷联动试车费用由</w:t>
      </w:r>
      <w:r>
        <w:rPr>
          <w:rFonts w:hint="eastAsia" w:ascii="宋体" w:hAnsi="宋体" w:cs="Arial"/>
          <w:color w:val="000000"/>
          <w:kern w:val="0"/>
          <w:szCs w:val="21"/>
          <w:u w:val="single"/>
        </w:rPr>
        <w:t xml:space="preserve">                     </w:t>
      </w:r>
      <w:r>
        <w:rPr>
          <w:rFonts w:hint="eastAsia" w:ascii="宋体" w:hAnsi="宋体" w:cs="Arial"/>
          <w:color w:val="000000"/>
          <w:kern w:val="0"/>
          <w:szCs w:val="21"/>
        </w:rPr>
        <w:t>承担。</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13.3.3 投料试车</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关于投料试车相关事项的约定：</w:t>
      </w:r>
      <w:r>
        <w:rPr>
          <w:rFonts w:hint="eastAsia" w:ascii="宋体" w:hAnsi="宋体" w:cs="Arial"/>
          <w:color w:val="000000"/>
          <w:kern w:val="0"/>
          <w:szCs w:val="21"/>
          <w:u w:val="single"/>
        </w:rPr>
        <w:t>                   </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13.6 竣工退场</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13.6.1 竣工退场</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承包人完成竣工退场的期限：</w:t>
      </w:r>
      <w:r>
        <w:rPr>
          <w:rFonts w:hint="eastAsia" w:ascii="宋体" w:hAnsi="宋体" w:cs="Arial"/>
          <w:color w:val="000000"/>
          <w:kern w:val="0"/>
          <w:szCs w:val="21"/>
          <w:u w:val="single"/>
        </w:rPr>
        <w:t>                   </w:t>
      </w:r>
      <w:r>
        <w:rPr>
          <w:rFonts w:hint="eastAsia" w:ascii="宋体" w:hAnsi="宋体" w:cs="Arial"/>
          <w:color w:val="000000"/>
          <w:kern w:val="0"/>
          <w:szCs w:val="21"/>
        </w:rPr>
        <w:t>。</w:t>
      </w:r>
    </w:p>
    <w:p>
      <w:pPr>
        <w:widowControl/>
        <w:spacing w:line="360" w:lineRule="auto"/>
        <w:ind w:firstLine="358" w:firstLineChars="170"/>
        <w:jc w:val="left"/>
        <w:textAlignment w:val="top"/>
        <w:outlineLvl w:val="3"/>
        <w:rPr>
          <w:rFonts w:ascii="宋体" w:hAnsi="宋体" w:cs="Arial"/>
          <w:b/>
          <w:bCs/>
          <w:color w:val="000000"/>
          <w:kern w:val="0"/>
          <w:szCs w:val="21"/>
        </w:rPr>
      </w:pPr>
      <w:bookmarkStart w:id="991" w:name="_Toc351203646"/>
      <w:r>
        <w:rPr>
          <w:rFonts w:hint="eastAsia" w:ascii="宋体" w:hAnsi="宋体" w:cs="Arial"/>
          <w:b/>
          <w:bCs/>
          <w:color w:val="000000"/>
          <w:kern w:val="0"/>
          <w:szCs w:val="21"/>
        </w:rPr>
        <w:t xml:space="preserve">14. </w:t>
      </w:r>
      <w:bookmarkEnd w:id="991"/>
      <w:r>
        <w:rPr>
          <w:rFonts w:hint="eastAsia" w:ascii="宋体" w:hAnsi="宋体" w:cs="Arial"/>
          <w:b/>
          <w:bCs/>
          <w:color w:val="000000"/>
          <w:kern w:val="0"/>
          <w:szCs w:val="21"/>
        </w:rPr>
        <w:t>竣工结算</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14.1 竣工付款申请</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承包人提交竣工付款申请单的期限：</w:t>
      </w:r>
      <w:r>
        <w:rPr>
          <w:rFonts w:hint="eastAsia" w:ascii="宋体" w:hAnsi="宋体" w:cs="Arial"/>
          <w:color w:val="000000"/>
          <w:kern w:val="0"/>
          <w:szCs w:val="21"/>
          <w:u w:val="single"/>
        </w:rPr>
        <w:t>                    </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竣工付款申请单应包括的内容：</w:t>
      </w:r>
      <w:r>
        <w:rPr>
          <w:rFonts w:hint="eastAsia" w:ascii="宋体" w:hAnsi="宋体" w:cs="Arial"/>
          <w:color w:val="000000"/>
          <w:kern w:val="0"/>
          <w:szCs w:val="21"/>
          <w:u w:val="single"/>
        </w:rPr>
        <w:t>                   </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14.2 竣工结算审核</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发包人审批竣工付款申请单的期限：</w:t>
      </w:r>
      <w:r>
        <w:rPr>
          <w:rFonts w:hint="eastAsia" w:ascii="宋体" w:hAnsi="宋体" w:cs="Arial"/>
          <w:color w:val="000000"/>
          <w:kern w:val="0"/>
          <w:szCs w:val="21"/>
          <w:u w:val="single"/>
        </w:rPr>
        <w:t>                      </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发包人完成竣工付款的期限：</w:t>
      </w:r>
      <w:r>
        <w:rPr>
          <w:rFonts w:hint="eastAsia" w:ascii="宋体" w:hAnsi="宋体" w:cs="Arial"/>
          <w:color w:val="000000"/>
          <w:kern w:val="0"/>
          <w:szCs w:val="21"/>
          <w:u w:val="single"/>
        </w:rPr>
        <w:t>                  </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关于竣工付款证书异议部分复核的方式和程序：</w:t>
      </w:r>
      <w:r>
        <w:rPr>
          <w:rFonts w:hint="eastAsia" w:ascii="宋体" w:hAnsi="宋体" w:cs="Arial"/>
          <w:color w:val="000000"/>
          <w:kern w:val="0"/>
          <w:szCs w:val="21"/>
          <w:u w:val="single"/>
        </w:rPr>
        <w:t>              </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14.4 最终结清</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14.4.1 最终结清申请单</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承包人提交最终结清申请单的份数：</w:t>
      </w:r>
      <w:r>
        <w:rPr>
          <w:rFonts w:hint="eastAsia" w:ascii="宋体" w:hAnsi="宋体" w:cs="Arial"/>
          <w:color w:val="000000"/>
          <w:kern w:val="0"/>
          <w:szCs w:val="21"/>
          <w:u w:val="single"/>
        </w:rPr>
        <w:t>                    </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承包人提交最终结算申请单的期限：</w:t>
      </w:r>
      <w:r>
        <w:rPr>
          <w:rFonts w:hint="eastAsia" w:ascii="宋体" w:hAnsi="宋体" w:cs="Arial"/>
          <w:color w:val="000000"/>
          <w:kern w:val="0"/>
          <w:szCs w:val="21"/>
          <w:u w:val="single"/>
        </w:rPr>
        <w:t>                    </w:t>
      </w:r>
      <w:r>
        <w:rPr>
          <w:rFonts w:hint="eastAsia" w:ascii="宋体" w:hAnsi="宋体" w:cs="Arial"/>
          <w:color w:val="000000"/>
          <w:kern w:val="0"/>
          <w:szCs w:val="21"/>
        </w:rPr>
        <w:t xml:space="preserve">。 </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14.4.2 最终结清证书和支付</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（1）发包人完成最终结清申请单的审批并颁发最终结清证书的期限：</w:t>
      </w:r>
      <w:r>
        <w:rPr>
          <w:rFonts w:hint="eastAsia" w:ascii="宋体" w:hAnsi="宋体" w:cs="Arial"/>
          <w:color w:val="000000"/>
          <w:kern w:val="0"/>
          <w:szCs w:val="21"/>
          <w:u w:val="single"/>
        </w:rPr>
        <w:t>      </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（2）发包人完成支付的期限：</w:t>
      </w:r>
      <w:r>
        <w:rPr>
          <w:rFonts w:hint="eastAsia" w:ascii="宋体" w:hAnsi="宋体" w:cs="Arial"/>
          <w:color w:val="000000"/>
          <w:kern w:val="0"/>
          <w:szCs w:val="21"/>
          <w:u w:val="single"/>
        </w:rPr>
        <w:t>                         </w:t>
      </w:r>
      <w:r>
        <w:rPr>
          <w:rFonts w:hint="eastAsia" w:ascii="宋体" w:hAnsi="宋体" w:cs="Arial"/>
          <w:color w:val="000000"/>
          <w:kern w:val="0"/>
          <w:szCs w:val="21"/>
        </w:rPr>
        <w:t>。</w:t>
      </w:r>
    </w:p>
    <w:p>
      <w:pPr>
        <w:widowControl/>
        <w:spacing w:line="360" w:lineRule="auto"/>
        <w:ind w:firstLine="358" w:firstLineChars="170"/>
        <w:jc w:val="left"/>
        <w:textAlignment w:val="top"/>
        <w:outlineLvl w:val="3"/>
        <w:rPr>
          <w:rFonts w:ascii="宋体" w:hAnsi="宋体" w:cs="Arial"/>
          <w:b/>
          <w:bCs/>
          <w:color w:val="000000"/>
          <w:kern w:val="0"/>
          <w:szCs w:val="21"/>
        </w:rPr>
      </w:pPr>
      <w:bookmarkStart w:id="992" w:name="_Toc267251511"/>
      <w:bookmarkEnd w:id="992"/>
      <w:bookmarkStart w:id="993" w:name="_Toc267251492"/>
      <w:bookmarkEnd w:id="993"/>
      <w:bookmarkStart w:id="994" w:name="_Toc267251483"/>
      <w:bookmarkEnd w:id="994"/>
      <w:bookmarkStart w:id="995" w:name="_Toc267251501"/>
      <w:bookmarkEnd w:id="995"/>
      <w:bookmarkStart w:id="996" w:name="_Toc267251498"/>
      <w:bookmarkEnd w:id="996"/>
      <w:bookmarkStart w:id="997" w:name="_Toc267251490"/>
      <w:bookmarkEnd w:id="997"/>
      <w:bookmarkStart w:id="998" w:name="_Toc267251491"/>
      <w:bookmarkEnd w:id="998"/>
      <w:bookmarkStart w:id="999" w:name="_Toc267251493"/>
      <w:bookmarkEnd w:id="999"/>
      <w:bookmarkStart w:id="1000" w:name="_Toc267251496"/>
      <w:bookmarkEnd w:id="1000"/>
      <w:bookmarkStart w:id="1001" w:name="_Toc267251506"/>
      <w:bookmarkEnd w:id="1001"/>
      <w:bookmarkStart w:id="1002" w:name="_Toc267251502"/>
      <w:bookmarkEnd w:id="1002"/>
      <w:bookmarkStart w:id="1003" w:name="_Toc267251510"/>
      <w:bookmarkEnd w:id="1003"/>
      <w:bookmarkStart w:id="1004" w:name="_Toc267251484"/>
      <w:bookmarkEnd w:id="1004"/>
      <w:bookmarkStart w:id="1005" w:name="_Toc267251486"/>
      <w:bookmarkEnd w:id="1005"/>
      <w:bookmarkStart w:id="1006" w:name="_Toc267251504"/>
      <w:bookmarkEnd w:id="1006"/>
      <w:bookmarkStart w:id="1007" w:name="_Toc267251497"/>
      <w:bookmarkEnd w:id="1007"/>
      <w:bookmarkStart w:id="1008" w:name="_Toc267251485"/>
      <w:bookmarkEnd w:id="1008"/>
      <w:bookmarkStart w:id="1009" w:name="_Toc267251499"/>
      <w:bookmarkEnd w:id="1009"/>
      <w:bookmarkStart w:id="1010" w:name="_Toc267251508"/>
      <w:bookmarkEnd w:id="1010"/>
      <w:bookmarkStart w:id="1011" w:name="_Toc267251489"/>
      <w:bookmarkEnd w:id="1011"/>
      <w:bookmarkStart w:id="1012" w:name="_Toc267251482"/>
      <w:bookmarkEnd w:id="1012"/>
      <w:bookmarkStart w:id="1013" w:name="_Toc267251488"/>
      <w:bookmarkEnd w:id="1013"/>
      <w:bookmarkStart w:id="1014" w:name="_Toc267251509"/>
      <w:bookmarkEnd w:id="1014"/>
      <w:bookmarkStart w:id="1015" w:name="_Toc267251495"/>
      <w:bookmarkEnd w:id="1015"/>
      <w:bookmarkStart w:id="1016" w:name="_Toc267251514"/>
      <w:bookmarkEnd w:id="1016"/>
      <w:bookmarkStart w:id="1017" w:name="_Toc267251513"/>
      <w:bookmarkEnd w:id="1017"/>
      <w:bookmarkStart w:id="1018" w:name="_Toc267251507"/>
      <w:bookmarkEnd w:id="1018"/>
      <w:bookmarkStart w:id="1019" w:name="_Toc267251503"/>
      <w:bookmarkEnd w:id="1019"/>
      <w:bookmarkStart w:id="1020" w:name="_Toc267251515"/>
      <w:bookmarkEnd w:id="1020"/>
      <w:bookmarkStart w:id="1021" w:name="_Toc267251494"/>
      <w:bookmarkEnd w:id="1021"/>
      <w:bookmarkStart w:id="1022" w:name="_Toc351203647"/>
      <w:r>
        <w:rPr>
          <w:rFonts w:hint="eastAsia" w:ascii="宋体" w:hAnsi="宋体" w:cs="Arial"/>
          <w:b/>
          <w:bCs/>
          <w:color w:val="000000"/>
          <w:kern w:val="0"/>
          <w:szCs w:val="21"/>
        </w:rPr>
        <w:t xml:space="preserve">15. </w:t>
      </w:r>
      <w:bookmarkEnd w:id="1022"/>
      <w:r>
        <w:rPr>
          <w:rFonts w:hint="eastAsia" w:ascii="宋体" w:hAnsi="宋体" w:cs="Arial"/>
          <w:b/>
          <w:bCs/>
          <w:color w:val="000000"/>
          <w:kern w:val="0"/>
          <w:szCs w:val="21"/>
        </w:rPr>
        <w:t>缺陷责任期与保修</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15.2缺陷责任期</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缺陷责任期的具体期限：</w:t>
      </w:r>
      <w:r>
        <w:rPr>
          <w:rFonts w:hint="eastAsia" w:ascii="宋体" w:hAnsi="宋体" w:cs="Arial"/>
          <w:color w:val="000000"/>
          <w:kern w:val="0"/>
          <w:szCs w:val="21"/>
          <w:u w:val="single"/>
        </w:rPr>
        <w:t>   24个月              </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15.3 质量保证金</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关于是否扣留质量保证金的约定：</w:t>
      </w:r>
      <w:r>
        <w:rPr>
          <w:rFonts w:hint="eastAsia" w:ascii="宋体" w:hAnsi="宋体" w:cs="Arial"/>
          <w:color w:val="000000"/>
          <w:kern w:val="0"/>
          <w:szCs w:val="21"/>
          <w:u w:val="single"/>
        </w:rPr>
        <w:t>                      </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15.3.1 承包人提供质量保证金的方式</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质量保证金采用以下第</w:t>
      </w:r>
      <w:r>
        <w:rPr>
          <w:rFonts w:hint="eastAsia" w:ascii="宋体" w:hAnsi="宋体" w:cs="Arial"/>
          <w:color w:val="000000"/>
          <w:kern w:val="0"/>
          <w:szCs w:val="21"/>
          <w:u w:val="single"/>
        </w:rPr>
        <w:t xml:space="preserve">     </w:t>
      </w:r>
      <w:r>
        <w:rPr>
          <w:rFonts w:hint="eastAsia" w:ascii="宋体" w:hAnsi="宋体" w:cs="Arial"/>
          <w:color w:val="000000"/>
          <w:kern w:val="0"/>
          <w:szCs w:val="21"/>
        </w:rPr>
        <w:t>种方式：</w:t>
      </w:r>
    </w:p>
    <w:p>
      <w:pPr>
        <w:widowControl/>
        <w:spacing w:line="360" w:lineRule="auto"/>
        <w:ind w:firstLine="357" w:firstLineChars="170"/>
        <w:jc w:val="left"/>
        <w:textAlignment w:val="top"/>
        <w:rPr>
          <w:rFonts w:ascii="宋体" w:hAnsi="宋体" w:cs="Arial"/>
          <w:kern w:val="0"/>
          <w:szCs w:val="21"/>
        </w:rPr>
      </w:pPr>
      <w:r>
        <w:rPr>
          <w:rFonts w:hint="eastAsia" w:ascii="宋体" w:hAnsi="宋体" w:cs="Arial"/>
          <w:kern w:val="0"/>
          <w:szCs w:val="21"/>
        </w:rPr>
        <w:t>（1）质量保证金保函，保证金额为：</w:t>
      </w:r>
      <w:r>
        <w:rPr>
          <w:rFonts w:hint="eastAsia" w:ascii="宋体" w:hAnsi="宋体" w:cs="Arial"/>
          <w:kern w:val="0"/>
          <w:szCs w:val="21"/>
          <w:u w:val="single"/>
        </w:rPr>
        <w:t>      按合同价的5%      </w:t>
      </w:r>
      <w:r>
        <w:rPr>
          <w:rFonts w:hint="eastAsia" w:ascii="宋体" w:hAnsi="宋体" w:cs="Arial"/>
          <w:kern w:val="0"/>
          <w:szCs w:val="21"/>
        </w:rPr>
        <w:t xml:space="preserve">； </w:t>
      </w:r>
    </w:p>
    <w:p>
      <w:pPr>
        <w:widowControl/>
        <w:spacing w:line="360" w:lineRule="auto"/>
        <w:ind w:firstLine="357" w:firstLineChars="170"/>
        <w:jc w:val="left"/>
        <w:textAlignment w:val="top"/>
        <w:rPr>
          <w:rFonts w:ascii="宋体" w:hAnsi="宋体" w:cs="Arial"/>
          <w:kern w:val="0"/>
          <w:szCs w:val="21"/>
        </w:rPr>
      </w:pPr>
      <w:r>
        <w:rPr>
          <w:rFonts w:hint="eastAsia" w:ascii="宋体" w:hAnsi="宋体" w:cs="Arial"/>
          <w:kern w:val="0"/>
          <w:szCs w:val="21"/>
        </w:rPr>
        <w:t>（2）</w:t>
      </w:r>
      <w:r>
        <w:rPr>
          <w:rFonts w:hint="eastAsia" w:ascii="宋体" w:hAnsi="宋体" w:cs="Arial"/>
          <w:kern w:val="0"/>
          <w:szCs w:val="21"/>
          <w:u w:val="single"/>
        </w:rPr>
        <w:t xml:space="preserve">    5 </w:t>
      </w:r>
      <w:r>
        <w:rPr>
          <w:rFonts w:hint="eastAsia" w:ascii="宋体" w:hAnsi="宋体" w:cs="Arial"/>
          <w:kern w:val="0"/>
          <w:szCs w:val="21"/>
        </w:rPr>
        <w:t>%的工程款；</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（3）其他方式:</w:t>
      </w:r>
      <w:r>
        <w:rPr>
          <w:rFonts w:hint="eastAsia" w:ascii="宋体" w:hAnsi="宋体" w:cs="Arial"/>
          <w:color w:val="000000"/>
          <w:kern w:val="0"/>
          <w:szCs w:val="21"/>
          <w:u w:val="single"/>
        </w:rPr>
        <w:t>                          </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 xml:space="preserve">15.3.2 质量保证金的扣留 </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质量保证金的扣留采取以下第</w:t>
      </w:r>
      <w:r>
        <w:rPr>
          <w:rFonts w:hint="eastAsia" w:ascii="宋体" w:hAnsi="宋体" w:cs="Arial"/>
          <w:color w:val="000000"/>
          <w:kern w:val="0"/>
          <w:szCs w:val="21"/>
          <w:u w:val="single"/>
        </w:rPr>
        <w:t xml:space="preserve">  2   </w:t>
      </w:r>
      <w:r>
        <w:rPr>
          <w:rFonts w:hint="eastAsia" w:ascii="宋体" w:hAnsi="宋体" w:cs="Arial"/>
          <w:color w:val="000000"/>
          <w:kern w:val="0"/>
          <w:szCs w:val="21"/>
        </w:rPr>
        <w:t>种方式：</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（1）在支付工程进度款时逐次扣留，在此情形下，质量保证金的计算基数不包括预付款的支付、扣回以及价格调整的金额；</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（2）工程竣工结算时一次性扣留质量保证金；</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（3）其他扣留方式:</w:t>
      </w:r>
      <w:r>
        <w:rPr>
          <w:rFonts w:hint="eastAsia" w:ascii="宋体" w:hAnsi="宋体" w:cs="Arial"/>
          <w:color w:val="000000"/>
          <w:kern w:val="0"/>
          <w:szCs w:val="21"/>
          <w:u w:val="single"/>
        </w:rPr>
        <w:t>                       </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关于质量保证金的补充约定：</w:t>
      </w:r>
      <w:r>
        <w:rPr>
          <w:rFonts w:hint="eastAsia" w:ascii="宋体" w:hAnsi="宋体" w:cs="Arial"/>
          <w:color w:val="000000"/>
          <w:kern w:val="0"/>
          <w:szCs w:val="21"/>
          <w:u w:val="single"/>
        </w:rPr>
        <w:t xml:space="preserve">                   </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15.4保修</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15.4.1 保修责任</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工程保修期为：</w:t>
      </w:r>
      <w:r>
        <w:rPr>
          <w:rFonts w:hint="eastAsia" w:ascii="宋体" w:hAnsi="宋体" w:cs="Arial"/>
          <w:color w:val="000000"/>
          <w:kern w:val="0"/>
          <w:szCs w:val="21"/>
          <w:u w:val="single"/>
        </w:rPr>
        <w:t>                         </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15.4.3 修复通知</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承包人收到保修通知并到达工程现场的合理时间：</w:t>
      </w:r>
      <w:r>
        <w:rPr>
          <w:rFonts w:hint="eastAsia" w:ascii="宋体" w:hAnsi="宋体" w:cs="Arial"/>
          <w:color w:val="000000"/>
          <w:kern w:val="0"/>
          <w:szCs w:val="21"/>
          <w:u w:val="single"/>
        </w:rPr>
        <w:t>              </w:t>
      </w:r>
      <w:r>
        <w:rPr>
          <w:rFonts w:hint="eastAsia" w:ascii="宋体" w:hAnsi="宋体" w:cs="Arial"/>
          <w:color w:val="000000"/>
          <w:kern w:val="0"/>
          <w:szCs w:val="21"/>
        </w:rPr>
        <w:t>。</w:t>
      </w:r>
    </w:p>
    <w:p>
      <w:pPr>
        <w:widowControl/>
        <w:spacing w:line="360" w:lineRule="auto"/>
        <w:ind w:firstLine="358" w:firstLineChars="170"/>
        <w:jc w:val="left"/>
        <w:textAlignment w:val="top"/>
        <w:outlineLvl w:val="3"/>
        <w:rPr>
          <w:rFonts w:ascii="宋体" w:hAnsi="宋体" w:cs="Arial"/>
          <w:b/>
          <w:bCs/>
          <w:color w:val="000000"/>
          <w:kern w:val="0"/>
          <w:szCs w:val="21"/>
        </w:rPr>
      </w:pPr>
      <w:bookmarkStart w:id="1023" w:name="_Toc280868717"/>
      <w:bookmarkEnd w:id="1023"/>
      <w:bookmarkStart w:id="1024" w:name="_Toc280868718"/>
      <w:bookmarkEnd w:id="1024"/>
      <w:bookmarkStart w:id="1025" w:name="_Toc351203648"/>
      <w:r>
        <w:rPr>
          <w:rFonts w:hint="eastAsia" w:ascii="宋体" w:hAnsi="宋体" w:cs="Arial"/>
          <w:b/>
          <w:bCs/>
          <w:color w:val="000000"/>
          <w:kern w:val="0"/>
          <w:szCs w:val="21"/>
        </w:rPr>
        <w:t xml:space="preserve">16. </w:t>
      </w:r>
      <w:bookmarkEnd w:id="1025"/>
      <w:r>
        <w:rPr>
          <w:rFonts w:hint="eastAsia" w:ascii="宋体" w:hAnsi="宋体" w:cs="Arial"/>
          <w:b/>
          <w:bCs/>
          <w:color w:val="000000"/>
          <w:kern w:val="0"/>
          <w:szCs w:val="21"/>
        </w:rPr>
        <w:t>违约</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16.1 发包人违约</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16.1.1发包人违约的情形</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发包人违约的其他情形：</w:t>
      </w:r>
      <w:r>
        <w:rPr>
          <w:rFonts w:hint="eastAsia" w:ascii="宋体" w:hAnsi="宋体" w:cs="Arial"/>
          <w:color w:val="000000"/>
          <w:kern w:val="0"/>
          <w:szCs w:val="21"/>
          <w:u w:val="single"/>
        </w:rPr>
        <w:t>                         </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    16.1.2 发包人违约的责任</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发包人违约责任的承担方式和计算方法：</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（1）因发包人原因未能在计划开工日期前7天内下达开工通知的违约责任：</w:t>
      </w:r>
      <w:r>
        <w:rPr>
          <w:rFonts w:hint="eastAsia" w:ascii="宋体" w:hAnsi="宋体" w:cs="Arial"/>
          <w:color w:val="000000"/>
          <w:kern w:val="0"/>
          <w:szCs w:val="21"/>
          <w:u w:val="single"/>
        </w:rPr>
        <w:t>     </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（2）因发包人原因未能按合同约定支付合同价款的违约责任：</w:t>
      </w:r>
      <w:r>
        <w:rPr>
          <w:rFonts w:hint="eastAsia" w:ascii="宋体" w:hAnsi="宋体" w:cs="Arial"/>
          <w:color w:val="000000"/>
          <w:kern w:val="0"/>
          <w:szCs w:val="21"/>
          <w:u w:val="single"/>
        </w:rPr>
        <w:t>          </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（3）发包人违反第10.1款〔变更的范围〕第（2）项约定，自行实施被取消的工作或转由他人实施的违约责任：</w:t>
      </w:r>
      <w:r>
        <w:rPr>
          <w:rFonts w:hint="eastAsia" w:ascii="宋体" w:hAnsi="宋体" w:cs="Arial"/>
          <w:color w:val="000000"/>
          <w:kern w:val="0"/>
          <w:szCs w:val="21"/>
          <w:u w:val="single"/>
        </w:rPr>
        <w:t>                         </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（4）发包人提供的材料、工程设备的规格、数量或质量不符合合同约定，或因发包人原因导致交货日期延误或交货地点变更等情况的违约责任：</w:t>
      </w:r>
      <w:r>
        <w:rPr>
          <w:rFonts w:hint="eastAsia" w:ascii="宋体" w:hAnsi="宋体" w:cs="Arial"/>
          <w:color w:val="000000"/>
          <w:kern w:val="0"/>
          <w:szCs w:val="21"/>
          <w:u w:val="single"/>
        </w:rPr>
        <w:t>             </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（5）因发包人违反合同约定造成暂停施工的违约责任：</w:t>
      </w:r>
      <w:r>
        <w:rPr>
          <w:rFonts w:hint="eastAsia" w:ascii="宋体" w:hAnsi="宋体" w:cs="Arial"/>
          <w:color w:val="000000"/>
          <w:kern w:val="0"/>
          <w:szCs w:val="21"/>
          <w:u w:val="single"/>
        </w:rPr>
        <w:t>             </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（6）发包人无正当理由没有在约定期限内发出复工指示，导致承包人无法复工的违约责任：</w:t>
      </w:r>
      <w:r>
        <w:rPr>
          <w:rFonts w:hint="eastAsia" w:ascii="宋体" w:hAnsi="宋体" w:cs="Arial"/>
          <w:color w:val="000000"/>
          <w:kern w:val="0"/>
          <w:szCs w:val="21"/>
          <w:u w:val="single"/>
        </w:rPr>
        <w:t>    </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（7）其他：</w:t>
      </w:r>
      <w:r>
        <w:rPr>
          <w:rFonts w:hint="eastAsia" w:ascii="宋体" w:hAnsi="宋体" w:cs="Arial"/>
          <w:color w:val="000000"/>
          <w:kern w:val="0"/>
          <w:szCs w:val="21"/>
          <w:u w:val="single"/>
        </w:rPr>
        <w:t>                                </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16.1.3 因发包人违约解除合同</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承包人按16.1.1项〔发包人违约的情形〕约定暂停施工满</w:t>
      </w:r>
      <w:r>
        <w:rPr>
          <w:rFonts w:hint="eastAsia" w:ascii="宋体" w:hAnsi="宋体" w:cs="Arial"/>
          <w:color w:val="000000"/>
          <w:kern w:val="0"/>
          <w:szCs w:val="21"/>
          <w:u w:val="single"/>
        </w:rPr>
        <w:t xml:space="preserve">    </w:t>
      </w:r>
      <w:r>
        <w:rPr>
          <w:rFonts w:hint="eastAsia" w:ascii="宋体" w:hAnsi="宋体" w:cs="Arial"/>
          <w:color w:val="000000"/>
          <w:kern w:val="0"/>
          <w:szCs w:val="21"/>
        </w:rPr>
        <w:t>天后发包人仍不纠正其违约行为并致使合同目的不能实现的，承包人有权解除合同。</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16.2 承包人违约</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16.2.1 承包人违约的情形</w:t>
      </w:r>
    </w:p>
    <w:p>
      <w:pPr>
        <w:spacing w:line="400" w:lineRule="exact"/>
        <w:ind w:firstLine="420" w:firstLineChars="200"/>
        <w:rPr>
          <w:u w:val="single"/>
        </w:rPr>
      </w:pPr>
      <w:r>
        <w:rPr>
          <w:rFonts w:hint="eastAsia" w:ascii="宋体" w:hAnsi="宋体" w:cs="Arial"/>
          <w:color w:val="000000"/>
          <w:kern w:val="0"/>
          <w:szCs w:val="21"/>
        </w:rPr>
        <w:t>承包人违约的其他情形：</w:t>
      </w:r>
      <w:r>
        <w:rPr>
          <w:rFonts w:hint="eastAsia" w:ascii="宋体" w:hAnsi="宋体" w:cs="Arial"/>
          <w:kern w:val="0"/>
          <w:szCs w:val="21"/>
          <w:u w:val="single"/>
        </w:rPr>
        <w:t>项目经理每周工作少于5个工作日、未经招标人同意变更项目经理 、工期延误 </w:t>
      </w:r>
      <w:r>
        <w:rPr>
          <w:rFonts w:hint="eastAsia" w:ascii="宋体" w:hAnsi="宋体" w:cs="Arial"/>
          <w:kern w:val="0"/>
          <w:szCs w:val="21"/>
        </w:rPr>
        <w:t>。 </w:t>
      </w:r>
    </w:p>
    <w:p>
      <w:pPr>
        <w:widowControl/>
        <w:spacing w:line="360" w:lineRule="auto"/>
        <w:ind w:firstLine="357" w:firstLineChars="170"/>
        <w:jc w:val="left"/>
        <w:textAlignment w:val="top"/>
        <w:rPr>
          <w:rFonts w:ascii="宋体" w:hAnsi="宋体" w:cs="Arial"/>
          <w:kern w:val="0"/>
          <w:szCs w:val="21"/>
        </w:rPr>
      </w:pPr>
      <w:r>
        <w:rPr>
          <w:rFonts w:hint="eastAsia" w:ascii="宋体" w:hAnsi="宋体" w:cs="Arial"/>
          <w:kern w:val="0"/>
          <w:szCs w:val="21"/>
        </w:rPr>
        <w:t>16.2.2承包人违约的责任</w:t>
      </w:r>
    </w:p>
    <w:p>
      <w:pPr>
        <w:spacing w:line="400" w:lineRule="exact"/>
        <w:ind w:firstLine="420" w:firstLineChars="200"/>
        <w:rPr>
          <w:u w:val="single"/>
        </w:rPr>
      </w:pPr>
      <w:r>
        <w:rPr>
          <w:rFonts w:hint="eastAsia" w:ascii="宋体" w:hAnsi="宋体" w:cs="Arial"/>
          <w:kern w:val="0"/>
          <w:szCs w:val="21"/>
        </w:rPr>
        <w:t>承包人违约责任的承担方式和计算方法：</w:t>
      </w:r>
      <w:r>
        <w:rPr>
          <w:rFonts w:hint="eastAsia" w:ascii="宋体" w:hAnsi="宋体" w:cs="Arial"/>
          <w:kern w:val="0"/>
          <w:szCs w:val="21"/>
          <w:u w:val="single"/>
        </w:rPr>
        <w:t> </w:t>
      </w:r>
      <w:r>
        <w:rPr>
          <w:rFonts w:hint="eastAsia"/>
          <w:u w:val="single"/>
        </w:rPr>
        <w:t>项目经理每周工作不少于5个工作日，中标单位的项目经理未经招标人同意不得更换，如有违反上述条款处5000-20000元罚款；若工程不能按合同签订的工期完成，每延期一天罚款5000元</w:t>
      </w:r>
      <w:r>
        <w:rPr>
          <w:rFonts w:hint="eastAsia"/>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16.2.3 因承包人违约解除合同</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关于承包人违约解除合同的特别约定：</w:t>
      </w:r>
      <w:r>
        <w:rPr>
          <w:rFonts w:hint="eastAsia" w:ascii="宋体" w:hAnsi="宋体" w:cs="Arial"/>
          <w:color w:val="000000"/>
          <w:kern w:val="0"/>
          <w:szCs w:val="21"/>
          <w:u w:val="single"/>
        </w:rPr>
        <w:t>                   </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发包人继续使用承包人在施工现场的材料、设备、临时工程、承包人文件和由承包人或以其名义编制的其他文件的费用承担方式：</w:t>
      </w:r>
      <w:r>
        <w:rPr>
          <w:rFonts w:hint="eastAsia" w:ascii="宋体" w:hAnsi="宋体" w:cs="Arial"/>
          <w:color w:val="000000"/>
          <w:kern w:val="0"/>
          <w:szCs w:val="21"/>
          <w:u w:val="single"/>
        </w:rPr>
        <w:t>                    </w:t>
      </w:r>
      <w:r>
        <w:rPr>
          <w:rFonts w:hint="eastAsia" w:ascii="宋体" w:hAnsi="宋体" w:cs="Arial"/>
          <w:color w:val="000000"/>
          <w:kern w:val="0"/>
          <w:szCs w:val="21"/>
        </w:rPr>
        <w:t>。</w:t>
      </w:r>
    </w:p>
    <w:p>
      <w:pPr>
        <w:widowControl/>
        <w:spacing w:line="360" w:lineRule="auto"/>
        <w:ind w:firstLine="358" w:firstLineChars="170"/>
        <w:jc w:val="left"/>
        <w:textAlignment w:val="top"/>
        <w:outlineLvl w:val="3"/>
        <w:rPr>
          <w:rFonts w:ascii="宋体" w:hAnsi="宋体" w:cs="Arial"/>
          <w:b/>
          <w:bCs/>
          <w:color w:val="000000"/>
          <w:kern w:val="0"/>
          <w:szCs w:val="21"/>
        </w:rPr>
      </w:pPr>
      <w:bookmarkStart w:id="1026" w:name="_Toc351203649"/>
      <w:r>
        <w:rPr>
          <w:rFonts w:hint="eastAsia" w:ascii="宋体" w:hAnsi="宋体" w:cs="Arial"/>
          <w:b/>
          <w:bCs/>
          <w:color w:val="000000"/>
          <w:kern w:val="0"/>
          <w:szCs w:val="21"/>
        </w:rPr>
        <w:t xml:space="preserve">17. </w:t>
      </w:r>
      <w:bookmarkEnd w:id="1026"/>
      <w:r>
        <w:rPr>
          <w:rFonts w:hint="eastAsia" w:ascii="宋体" w:hAnsi="宋体" w:cs="Arial"/>
          <w:b/>
          <w:bCs/>
          <w:color w:val="000000"/>
          <w:kern w:val="0"/>
          <w:szCs w:val="21"/>
        </w:rPr>
        <w:t xml:space="preserve">不可抗力 </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17.1 不可抗力的确认</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 xml:space="preserve">除通用合同条款约定的不可抗力事件之外，视为不可抗力的其他情形： </w:t>
      </w:r>
      <w:r>
        <w:rPr>
          <w:rFonts w:hint="eastAsia" w:ascii="宋体" w:hAnsi="宋体" w:cs="Arial"/>
          <w:color w:val="000000"/>
          <w:kern w:val="0"/>
          <w:szCs w:val="21"/>
          <w:u w:val="single"/>
        </w:rPr>
        <w:t>      </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17.4 因不可抗力解除合同</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合同解除后，发包人应在商定或确定发包人应支付款项后</w:t>
      </w:r>
      <w:r>
        <w:rPr>
          <w:rFonts w:hint="eastAsia" w:ascii="宋体" w:hAnsi="宋体" w:cs="Arial"/>
          <w:color w:val="000000"/>
          <w:kern w:val="0"/>
          <w:szCs w:val="21"/>
          <w:u w:val="single"/>
        </w:rPr>
        <w:t xml:space="preserve">    </w:t>
      </w:r>
      <w:r>
        <w:rPr>
          <w:rFonts w:hint="eastAsia" w:ascii="宋体" w:hAnsi="宋体" w:cs="Arial"/>
          <w:color w:val="000000"/>
          <w:kern w:val="0"/>
          <w:szCs w:val="21"/>
        </w:rPr>
        <w:t>天内完成款项的支付。</w:t>
      </w:r>
    </w:p>
    <w:p>
      <w:pPr>
        <w:widowControl/>
        <w:spacing w:line="360" w:lineRule="auto"/>
        <w:ind w:firstLine="358" w:firstLineChars="170"/>
        <w:jc w:val="left"/>
        <w:textAlignment w:val="top"/>
        <w:outlineLvl w:val="3"/>
        <w:rPr>
          <w:rFonts w:ascii="宋体" w:hAnsi="宋体" w:cs="Arial"/>
          <w:b/>
          <w:bCs/>
          <w:color w:val="000000"/>
          <w:kern w:val="0"/>
          <w:szCs w:val="21"/>
        </w:rPr>
      </w:pPr>
      <w:bookmarkStart w:id="1027" w:name="_Toc351203650"/>
      <w:r>
        <w:rPr>
          <w:rFonts w:hint="eastAsia" w:ascii="宋体" w:hAnsi="宋体" w:cs="Arial"/>
          <w:b/>
          <w:bCs/>
          <w:color w:val="000000"/>
          <w:kern w:val="0"/>
          <w:szCs w:val="21"/>
        </w:rPr>
        <w:t xml:space="preserve">18. </w:t>
      </w:r>
      <w:bookmarkEnd w:id="1027"/>
      <w:r>
        <w:rPr>
          <w:rFonts w:hint="eastAsia" w:ascii="宋体" w:hAnsi="宋体" w:cs="Arial"/>
          <w:b/>
          <w:bCs/>
          <w:color w:val="000000"/>
          <w:kern w:val="0"/>
          <w:szCs w:val="21"/>
        </w:rPr>
        <w:t>保险</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18.1 工程保险</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关于工程保险的特别约定：</w:t>
      </w:r>
      <w:r>
        <w:rPr>
          <w:rFonts w:hint="eastAsia" w:ascii="宋体" w:hAnsi="宋体" w:cs="Arial"/>
          <w:color w:val="000000"/>
          <w:kern w:val="0"/>
          <w:szCs w:val="21"/>
          <w:u w:val="single"/>
        </w:rPr>
        <w:t>                    </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18.3 其他保险</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关于其他保险的约定：</w:t>
      </w:r>
      <w:r>
        <w:rPr>
          <w:rFonts w:hint="eastAsia" w:ascii="宋体" w:hAnsi="宋体" w:cs="Arial"/>
          <w:color w:val="000000"/>
          <w:kern w:val="0"/>
          <w:szCs w:val="21"/>
          <w:u w:val="single"/>
        </w:rPr>
        <w:t>                        </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承包人是否应为其施工设备等办理财产保险：</w:t>
      </w:r>
      <w:r>
        <w:rPr>
          <w:rFonts w:hint="eastAsia" w:ascii="宋体" w:hAnsi="宋体" w:cs="Arial"/>
          <w:color w:val="000000"/>
          <w:kern w:val="0"/>
          <w:szCs w:val="21"/>
          <w:u w:val="single"/>
        </w:rPr>
        <w:t xml:space="preserve">                 </w:t>
      </w:r>
      <w:r>
        <w:rPr>
          <w:rFonts w:hint="eastAsia" w:ascii="宋体" w:hAnsi="宋体" w:cs="Arial"/>
          <w:color w:val="000000"/>
          <w:kern w:val="0"/>
          <w:szCs w:val="21"/>
        </w:rPr>
        <w:t>。</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18.7 通知义务</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关于变更保险合同时的通知义务的约定：</w:t>
      </w:r>
      <w:r>
        <w:rPr>
          <w:rFonts w:hint="eastAsia" w:ascii="宋体" w:hAnsi="宋体" w:cs="Arial"/>
          <w:color w:val="000000"/>
          <w:kern w:val="0"/>
          <w:szCs w:val="21"/>
          <w:u w:val="single"/>
        </w:rPr>
        <w:t>                  </w:t>
      </w:r>
      <w:r>
        <w:rPr>
          <w:rFonts w:hint="eastAsia" w:ascii="宋体" w:hAnsi="宋体" w:cs="Arial"/>
          <w:color w:val="000000"/>
          <w:kern w:val="0"/>
          <w:szCs w:val="21"/>
        </w:rPr>
        <w:t>。</w:t>
      </w:r>
    </w:p>
    <w:p>
      <w:pPr>
        <w:widowControl/>
        <w:spacing w:line="380" w:lineRule="exact"/>
        <w:ind w:firstLine="358" w:firstLineChars="170"/>
        <w:jc w:val="left"/>
        <w:textAlignment w:val="top"/>
        <w:outlineLvl w:val="3"/>
        <w:rPr>
          <w:rFonts w:ascii="宋体" w:hAnsi="宋体" w:cs="Arial"/>
          <w:b/>
          <w:bCs/>
          <w:color w:val="000000"/>
          <w:kern w:val="0"/>
          <w:szCs w:val="21"/>
        </w:rPr>
      </w:pPr>
      <w:bookmarkStart w:id="1028" w:name="_Toc351203651"/>
      <w:r>
        <w:rPr>
          <w:rFonts w:hint="eastAsia" w:ascii="宋体" w:hAnsi="宋体" w:cs="Arial"/>
          <w:b/>
          <w:bCs/>
          <w:color w:val="000000"/>
          <w:kern w:val="0"/>
          <w:szCs w:val="21"/>
        </w:rPr>
        <w:t xml:space="preserve">20. </w:t>
      </w:r>
      <w:bookmarkEnd w:id="1028"/>
      <w:r>
        <w:rPr>
          <w:rFonts w:hint="eastAsia" w:ascii="宋体" w:hAnsi="宋体" w:cs="Arial"/>
          <w:b/>
          <w:bCs/>
          <w:color w:val="000000"/>
          <w:kern w:val="0"/>
          <w:szCs w:val="21"/>
        </w:rPr>
        <w:t>争议解决</w:t>
      </w:r>
    </w:p>
    <w:p>
      <w:pPr>
        <w:widowControl/>
        <w:spacing w:line="380" w:lineRule="exact"/>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20.3 争议评审</w:t>
      </w:r>
    </w:p>
    <w:p>
      <w:pPr>
        <w:widowControl/>
        <w:spacing w:line="380" w:lineRule="exact"/>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合同当事人是否同意将工程争议提交争议评审小组决定：</w:t>
      </w:r>
      <w:r>
        <w:rPr>
          <w:rFonts w:hint="eastAsia" w:ascii="宋体" w:hAnsi="宋体" w:cs="Arial"/>
          <w:color w:val="000000"/>
          <w:kern w:val="0"/>
          <w:szCs w:val="21"/>
          <w:u w:val="single"/>
        </w:rPr>
        <w:t>           </w:t>
      </w:r>
      <w:r>
        <w:rPr>
          <w:rFonts w:hint="eastAsia" w:ascii="宋体" w:hAnsi="宋体" w:cs="Arial"/>
          <w:color w:val="000000"/>
          <w:kern w:val="0"/>
          <w:szCs w:val="21"/>
        </w:rPr>
        <w:t xml:space="preserve">。  </w:t>
      </w:r>
    </w:p>
    <w:p>
      <w:pPr>
        <w:widowControl/>
        <w:spacing w:line="380" w:lineRule="exact"/>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20.3.1 争议评审小组的确定</w:t>
      </w:r>
    </w:p>
    <w:p>
      <w:pPr>
        <w:widowControl/>
        <w:spacing w:line="380" w:lineRule="exact"/>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争议评审小组成员的确定：</w:t>
      </w:r>
      <w:r>
        <w:rPr>
          <w:rFonts w:hint="eastAsia" w:ascii="宋体" w:hAnsi="宋体" w:cs="Arial"/>
          <w:color w:val="000000"/>
          <w:kern w:val="0"/>
          <w:szCs w:val="21"/>
          <w:u w:val="single"/>
        </w:rPr>
        <w:t>                    </w:t>
      </w:r>
      <w:r>
        <w:rPr>
          <w:rFonts w:hint="eastAsia" w:ascii="宋体" w:hAnsi="宋体" w:cs="Arial"/>
          <w:color w:val="000000"/>
          <w:kern w:val="0"/>
          <w:szCs w:val="21"/>
        </w:rPr>
        <w:t>。</w:t>
      </w:r>
    </w:p>
    <w:p>
      <w:pPr>
        <w:widowControl/>
        <w:spacing w:line="380" w:lineRule="exact"/>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选定争议评审员的期限：</w:t>
      </w:r>
      <w:r>
        <w:rPr>
          <w:rFonts w:hint="eastAsia" w:ascii="宋体" w:hAnsi="宋体" w:cs="Arial"/>
          <w:color w:val="000000"/>
          <w:kern w:val="0"/>
          <w:szCs w:val="21"/>
          <w:u w:val="single"/>
        </w:rPr>
        <w:t>                     </w:t>
      </w:r>
      <w:r>
        <w:rPr>
          <w:rFonts w:hint="eastAsia" w:ascii="宋体" w:hAnsi="宋体" w:cs="Arial"/>
          <w:color w:val="000000"/>
          <w:kern w:val="0"/>
          <w:szCs w:val="21"/>
        </w:rPr>
        <w:t>。</w:t>
      </w:r>
    </w:p>
    <w:p>
      <w:pPr>
        <w:widowControl/>
        <w:spacing w:line="380" w:lineRule="exact"/>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争议评审小组成员的报酬承担方式：</w:t>
      </w:r>
      <w:r>
        <w:rPr>
          <w:rFonts w:hint="eastAsia" w:ascii="宋体" w:hAnsi="宋体" w:cs="Arial"/>
          <w:color w:val="000000"/>
          <w:kern w:val="0"/>
          <w:szCs w:val="21"/>
          <w:u w:val="single"/>
        </w:rPr>
        <w:t>                </w:t>
      </w:r>
      <w:r>
        <w:rPr>
          <w:rFonts w:hint="eastAsia" w:ascii="宋体" w:hAnsi="宋体" w:cs="Arial"/>
          <w:color w:val="000000"/>
          <w:kern w:val="0"/>
          <w:szCs w:val="21"/>
        </w:rPr>
        <w:t>。</w:t>
      </w:r>
    </w:p>
    <w:p>
      <w:pPr>
        <w:widowControl/>
        <w:spacing w:line="380" w:lineRule="exact"/>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其他事项的约定：</w:t>
      </w:r>
      <w:r>
        <w:rPr>
          <w:rFonts w:hint="eastAsia" w:ascii="宋体" w:hAnsi="宋体" w:cs="Arial"/>
          <w:color w:val="000000"/>
          <w:kern w:val="0"/>
          <w:szCs w:val="21"/>
          <w:u w:val="single"/>
        </w:rPr>
        <w:t>                        </w:t>
      </w:r>
      <w:r>
        <w:rPr>
          <w:rFonts w:hint="eastAsia" w:ascii="宋体" w:hAnsi="宋体" w:cs="Arial"/>
          <w:color w:val="000000"/>
          <w:kern w:val="0"/>
          <w:szCs w:val="21"/>
        </w:rPr>
        <w:t>。</w:t>
      </w:r>
    </w:p>
    <w:p>
      <w:pPr>
        <w:widowControl/>
        <w:spacing w:line="380" w:lineRule="exact"/>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20.3.2 争议评审小组的决定</w:t>
      </w:r>
    </w:p>
    <w:p>
      <w:pPr>
        <w:widowControl/>
        <w:spacing w:line="380" w:lineRule="exact"/>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合同当事人关于本项的约定：</w:t>
      </w:r>
      <w:r>
        <w:rPr>
          <w:rFonts w:hint="eastAsia" w:ascii="宋体" w:hAnsi="宋体" w:cs="Arial"/>
          <w:color w:val="000000"/>
          <w:kern w:val="0"/>
          <w:szCs w:val="21"/>
          <w:u w:val="single"/>
        </w:rPr>
        <w:t>                   </w:t>
      </w:r>
      <w:r>
        <w:rPr>
          <w:rFonts w:hint="eastAsia" w:ascii="宋体" w:hAnsi="宋体" w:cs="Arial"/>
          <w:color w:val="000000"/>
          <w:kern w:val="0"/>
          <w:szCs w:val="21"/>
        </w:rPr>
        <w:t>。</w:t>
      </w:r>
    </w:p>
    <w:p>
      <w:pPr>
        <w:widowControl/>
        <w:spacing w:line="380" w:lineRule="exact"/>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20.4仲裁或诉讼</w:t>
      </w:r>
    </w:p>
    <w:p>
      <w:pPr>
        <w:widowControl/>
        <w:spacing w:line="380" w:lineRule="exact"/>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因合同及合同有关事项发生的争议，按下列第</w:t>
      </w:r>
      <w:r>
        <w:rPr>
          <w:rFonts w:hint="eastAsia" w:ascii="宋体" w:hAnsi="宋体" w:cs="Arial"/>
          <w:color w:val="000000"/>
          <w:kern w:val="0"/>
          <w:szCs w:val="21"/>
          <w:u w:val="single"/>
        </w:rPr>
        <w:t xml:space="preserve">     </w:t>
      </w:r>
      <w:r>
        <w:rPr>
          <w:rFonts w:hint="eastAsia" w:ascii="宋体" w:hAnsi="宋体" w:cs="Arial"/>
          <w:color w:val="000000"/>
          <w:kern w:val="0"/>
          <w:szCs w:val="21"/>
        </w:rPr>
        <w:t>种方式解决：</w:t>
      </w:r>
    </w:p>
    <w:p>
      <w:pPr>
        <w:widowControl/>
        <w:spacing w:line="380" w:lineRule="exact"/>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（1）向</w:t>
      </w:r>
      <w:r>
        <w:rPr>
          <w:rFonts w:hint="eastAsia" w:ascii="宋体" w:hAnsi="宋体" w:cs="Arial"/>
          <w:color w:val="000000"/>
          <w:kern w:val="0"/>
          <w:szCs w:val="21"/>
          <w:u w:val="single"/>
        </w:rPr>
        <w:t xml:space="preserve">                     </w:t>
      </w:r>
      <w:r>
        <w:rPr>
          <w:rFonts w:hint="eastAsia" w:ascii="宋体" w:hAnsi="宋体" w:cs="Arial"/>
          <w:color w:val="000000"/>
          <w:kern w:val="0"/>
          <w:szCs w:val="21"/>
        </w:rPr>
        <w:t>仲裁委员会申请仲裁；</w:t>
      </w:r>
    </w:p>
    <w:p>
      <w:pPr>
        <w:widowControl/>
        <w:spacing w:line="360" w:lineRule="auto"/>
        <w:ind w:firstLine="357" w:firstLineChars="170"/>
        <w:jc w:val="left"/>
        <w:textAlignment w:val="top"/>
        <w:rPr>
          <w:rFonts w:ascii="宋体" w:hAnsi="宋体" w:cs="Arial"/>
          <w:color w:val="000000"/>
          <w:kern w:val="0"/>
          <w:szCs w:val="21"/>
        </w:rPr>
      </w:pPr>
      <w:r>
        <w:rPr>
          <w:rFonts w:hint="eastAsia" w:ascii="宋体" w:hAnsi="宋体" w:cs="Arial"/>
          <w:color w:val="000000"/>
          <w:kern w:val="0"/>
          <w:szCs w:val="21"/>
        </w:rPr>
        <w:t>（2）向</w:t>
      </w:r>
      <w:r>
        <w:rPr>
          <w:rFonts w:hint="eastAsia" w:ascii="宋体" w:hAnsi="宋体" w:cs="Arial"/>
          <w:color w:val="000000"/>
          <w:kern w:val="0"/>
          <w:szCs w:val="21"/>
          <w:u w:val="single"/>
        </w:rPr>
        <w:t xml:space="preserve">               </w:t>
      </w:r>
      <w:r>
        <w:rPr>
          <w:rFonts w:hint="eastAsia" w:ascii="宋体" w:hAnsi="宋体" w:cs="Arial"/>
          <w:color w:val="000000"/>
          <w:kern w:val="0"/>
          <w:szCs w:val="21"/>
        </w:rPr>
        <w:t>人民法院起诉。</w:t>
      </w:r>
    </w:p>
    <w:p>
      <w:pPr>
        <w:widowControl/>
        <w:spacing w:line="216" w:lineRule="atLeast"/>
        <w:jc w:val="left"/>
        <w:textAlignment w:val="top"/>
        <w:rPr>
          <w:rFonts w:ascii="宋体" w:hAnsi="宋体" w:cs="Arial"/>
          <w:b/>
          <w:bCs/>
          <w:color w:val="000000"/>
          <w:kern w:val="0"/>
          <w:szCs w:val="21"/>
        </w:rPr>
      </w:pPr>
      <w:bookmarkStart w:id="1029" w:name="_Toc351203652"/>
    </w:p>
    <w:bookmarkEnd w:id="1029"/>
    <w:p>
      <w:pPr>
        <w:spacing w:line="600" w:lineRule="exact"/>
        <w:jc w:val="center"/>
        <w:outlineLvl w:val="0"/>
        <w:rPr>
          <w:b/>
          <w:bCs/>
          <w:kern w:val="44"/>
          <w:sz w:val="44"/>
          <w:szCs w:val="44"/>
        </w:rPr>
      </w:pPr>
    </w:p>
    <w:p>
      <w:pPr>
        <w:spacing w:line="600" w:lineRule="exact"/>
        <w:jc w:val="center"/>
        <w:outlineLvl w:val="0"/>
        <w:rPr>
          <w:b/>
          <w:bCs/>
          <w:kern w:val="44"/>
          <w:sz w:val="44"/>
          <w:szCs w:val="44"/>
        </w:rPr>
      </w:pPr>
    </w:p>
    <w:p>
      <w:pPr>
        <w:spacing w:line="600" w:lineRule="exact"/>
        <w:jc w:val="center"/>
        <w:outlineLvl w:val="0"/>
        <w:rPr>
          <w:b/>
          <w:bCs/>
          <w:kern w:val="44"/>
          <w:sz w:val="44"/>
          <w:szCs w:val="44"/>
        </w:rPr>
      </w:pPr>
    </w:p>
    <w:p>
      <w:pPr>
        <w:spacing w:line="600" w:lineRule="exact"/>
        <w:jc w:val="center"/>
        <w:outlineLvl w:val="0"/>
        <w:rPr>
          <w:b/>
          <w:bCs/>
          <w:kern w:val="44"/>
          <w:sz w:val="44"/>
          <w:szCs w:val="44"/>
        </w:rPr>
      </w:pPr>
    </w:p>
    <w:p>
      <w:pPr>
        <w:spacing w:line="600" w:lineRule="exact"/>
        <w:jc w:val="center"/>
        <w:outlineLvl w:val="0"/>
        <w:rPr>
          <w:b/>
          <w:bCs/>
          <w:kern w:val="44"/>
          <w:sz w:val="44"/>
          <w:szCs w:val="44"/>
        </w:rPr>
      </w:pPr>
    </w:p>
    <w:p>
      <w:pPr>
        <w:spacing w:line="600" w:lineRule="exact"/>
        <w:jc w:val="center"/>
        <w:outlineLvl w:val="0"/>
        <w:rPr>
          <w:b/>
          <w:bCs/>
          <w:kern w:val="44"/>
          <w:sz w:val="44"/>
          <w:szCs w:val="44"/>
        </w:rPr>
      </w:pPr>
    </w:p>
    <w:p>
      <w:pPr>
        <w:spacing w:line="600" w:lineRule="exact"/>
        <w:jc w:val="center"/>
        <w:outlineLvl w:val="0"/>
        <w:rPr>
          <w:b/>
          <w:bCs/>
          <w:kern w:val="44"/>
          <w:sz w:val="44"/>
          <w:szCs w:val="44"/>
        </w:rPr>
      </w:pPr>
    </w:p>
    <w:p>
      <w:pPr>
        <w:spacing w:line="600" w:lineRule="exact"/>
        <w:jc w:val="center"/>
        <w:outlineLvl w:val="0"/>
        <w:rPr>
          <w:b/>
          <w:bCs/>
          <w:kern w:val="44"/>
          <w:sz w:val="44"/>
          <w:szCs w:val="44"/>
        </w:rPr>
      </w:pPr>
    </w:p>
    <w:p>
      <w:pPr>
        <w:spacing w:line="600" w:lineRule="exact"/>
        <w:jc w:val="center"/>
        <w:outlineLvl w:val="0"/>
        <w:rPr>
          <w:b/>
          <w:bCs/>
          <w:kern w:val="44"/>
          <w:sz w:val="44"/>
          <w:szCs w:val="44"/>
        </w:rPr>
      </w:pPr>
    </w:p>
    <w:p>
      <w:pPr>
        <w:spacing w:line="600" w:lineRule="exact"/>
        <w:jc w:val="center"/>
        <w:outlineLvl w:val="0"/>
        <w:rPr>
          <w:b/>
          <w:bCs/>
          <w:kern w:val="44"/>
          <w:sz w:val="44"/>
          <w:szCs w:val="44"/>
        </w:rPr>
      </w:pPr>
    </w:p>
    <w:p>
      <w:pPr>
        <w:spacing w:line="600" w:lineRule="exact"/>
        <w:jc w:val="center"/>
        <w:outlineLvl w:val="0"/>
        <w:rPr>
          <w:b/>
          <w:bCs/>
          <w:kern w:val="44"/>
          <w:sz w:val="44"/>
          <w:szCs w:val="44"/>
        </w:rPr>
      </w:pPr>
    </w:p>
    <w:p>
      <w:pPr>
        <w:spacing w:line="600" w:lineRule="exact"/>
        <w:jc w:val="center"/>
        <w:outlineLvl w:val="0"/>
        <w:rPr>
          <w:b/>
          <w:bCs/>
          <w:kern w:val="44"/>
          <w:sz w:val="44"/>
          <w:szCs w:val="44"/>
        </w:rPr>
      </w:pPr>
    </w:p>
    <w:p>
      <w:pPr>
        <w:spacing w:line="600" w:lineRule="exact"/>
        <w:jc w:val="center"/>
        <w:outlineLvl w:val="0"/>
        <w:rPr>
          <w:b/>
          <w:bCs/>
          <w:kern w:val="44"/>
          <w:sz w:val="44"/>
          <w:szCs w:val="44"/>
        </w:rPr>
      </w:pPr>
    </w:p>
    <w:p>
      <w:pPr>
        <w:spacing w:line="600" w:lineRule="exact"/>
        <w:jc w:val="center"/>
        <w:outlineLvl w:val="0"/>
        <w:rPr>
          <w:b/>
          <w:bCs/>
          <w:kern w:val="44"/>
          <w:sz w:val="44"/>
          <w:szCs w:val="44"/>
        </w:rPr>
      </w:pPr>
    </w:p>
    <w:p>
      <w:pPr>
        <w:spacing w:line="600" w:lineRule="exact"/>
        <w:jc w:val="center"/>
        <w:outlineLvl w:val="0"/>
        <w:rPr>
          <w:b/>
          <w:bCs/>
          <w:kern w:val="44"/>
          <w:sz w:val="44"/>
          <w:szCs w:val="44"/>
        </w:rPr>
      </w:pPr>
    </w:p>
    <w:p>
      <w:pPr>
        <w:spacing w:line="600" w:lineRule="exact"/>
        <w:jc w:val="center"/>
        <w:outlineLvl w:val="0"/>
        <w:rPr>
          <w:b/>
          <w:bCs/>
          <w:kern w:val="44"/>
          <w:sz w:val="44"/>
          <w:szCs w:val="44"/>
        </w:rPr>
      </w:pPr>
    </w:p>
    <w:p>
      <w:pPr>
        <w:spacing w:line="600" w:lineRule="exact"/>
        <w:jc w:val="center"/>
        <w:outlineLvl w:val="0"/>
        <w:rPr>
          <w:b/>
          <w:bCs/>
          <w:kern w:val="44"/>
          <w:sz w:val="44"/>
          <w:szCs w:val="44"/>
        </w:rPr>
      </w:pPr>
    </w:p>
    <w:p>
      <w:pPr>
        <w:spacing w:line="600" w:lineRule="exact"/>
        <w:outlineLvl w:val="0"/>
        <w:rPr>
          <w:b/>
          <w:bCs/>
          <w:kern w:val="44"/>
          <w:sz w:val="44"/>
          <w:szCs w:val="44"/>
        </w:rPr>
      </w:pPr>
    </w:p>
    <w:p>
      <w:pPr>
        <w:numPr>
          <w:ilvl w:val="0"/>
          <w:numId w:val="5"/>
        </w:numPr>
        <w:spacing w:line="600" w:lineRule="exact"/>
        <w:jc w:val="center"/>
        <w:outlineLvl w:val="0"/>
        <w:rPr>
          <w:b/>
          <w:bCs/>
          <w:kern w:val="44"/>
          <w:sz w:val="44"/>
          <w:szCs w:val="44"/>
        </w:rPr>
      </w:pPr>
      <w:bookmarkStart w:id="1030" w:name="_Toc24595"/>
      <w:r>
        <w:rPr>
          <w:rFonts w:hint="eastAsia"/>
          <w:b/>
          <w:bCs/>
          <w:kern w:val="44"/>
          <w:sz w:val="44"/>
          <w:szCs w:val="44"/>
        </w:rPr>
        <w:t>工程量清单</w:t>
      </w:r>
      <w:bookmarkEnd w:id="1030"/>
    </w:p>
    <w:p>
      <w:pPr>
        <w:pStyle w:val="3"/>
      </w:pPr>
      <w:bookmarkStart w:id="1031" w:name="_Toc32326"/>
      <w:bookmarkStart w:id="1032" w:name="_Toc4828"/>
      <w:bookmarkStart w:id="1033" w:name="_Toc24504"/>
      <w:bookmarkStart w:id="1034" w:name="_Toc144974835"/>
      <w:bookmarkStart w:id="1035" w:name="_Toc152042555"/>
      <w:bookmarkStart w:id="1036" w:name="_Toc152045773"/>
      <w:bookmarkStart w:id="1037" w:name="_Toc247085856"/>
      <w:bookmarkStart w:id="1038" w:name="_Toc179632790"/>
      <w:bookmarkStart w:id="1039" w:name="_Toc246996341"/>
      <w:bookmarkStart w:id="1040" w:name="_Toc246997084"/>
      <w:bookmarkStart w:id="1041" w:name="_Toc383"/>
      <w:bookmarkStart w:id="1042" w:name="_Toc17589"/>
      <w:bookmarkStart w:id="1043" w:name="_Toc8301"/>
      <w:bookmarkStart w:id="1044" w:name="_Toc30503"/>
      <w:bookmarkStart w:id="1045" w:name="_Toc15517"/>
      <w:bookmarkStart w:id="1046" w:name="_Toc23439"/>
      <w:bookmarkStart w:id="1047" w:name="_Toc28165"/>
      <w:r>
        <w:rPr>
          <w:rFonts w:hint="eastAsia"/>
        </w:rPr>
        <w:t>1. 工程量清单说明</w:t>
      </w:r>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p>
    <w:p>
      <w:pPr>
        <w:spacing w:line="400" w:lineRule="exact"/>
      </w:pPr>
      <w:r>
        <w:rPr>
          <w:rFonts w:hint="eastAsia"/>
        </w:rPr>
        <w:t>1.1 本工程量清单是根据招标文件中包括的、有合同约束力的图纸以及有关工程量清单的国家标准、行业标准、合同条款中约定的工程量计算规则编制。约定计量规则中没有的子目，其工程量按照有合同约束力的图纸所标示尺寸的理论净量计算。计量采用中华人民共和国法定计量单位。</w:t>
      </w:r>
    </w:p>
    <w:p>
      <w:pPr>
        <w:spacing w:line="400" w:lineRule="exact"/>
      </w:pPr>
      <w:r>
        <w:rPr>
          <w:rFonts w:hint="eastAsia"/>
        </w:rPr>
        <w:t>1.2 本工程量清单应与招标文件中的投标人须知、通用合同条款、专用合同条款、技术标准和要求及图纸等一起阅读和理解。</w:t>
      </w:r>
    </w:p>
    <w:p>
      <w:pPr>
        <w:spacing w:line="400" w:lineRule="exact"/>
      </w:pPr>
      <w:r>
        <w:rPr>
          <w:rFonts w:hint="eastAsia"/>
        </w:rPr>
        <w:t>1.3 本工程量清单仅是投标报价的共同基础，实际工程计量和工程价款的支付应遵循合同条款的约定和第六章“技术标准和要求”的有关规定。</w:t>
      </w:r>
    </w:p>
    <w:p>
      <w:pPr>
        <w:spacing w:line="400" w:lineRule="exact"/>
      </w:pPr>
      <w:r>
        <w:rPr>
          <w:rFonts w:hint="eastAsia"/>
        </w:rPr>
        <w:t>1.4 补充子目工程量计算规则及子目工作内容说明：。</w:t>
      </w:r>
    </w:p>
    <w:p>
      <w:pPr>
        <w:pStyle w:val="3"/>
      </w:pPr>
      <w:bookmarkStart w:id="1048" w:name="_Toc11500"/>
      <w:bookmarkStart w:id="1049" w:name="_Toc7584"/>
      <w:bookmarkStart w:id="1050" w:name="_Toc247085857"/>
      <w:bookmarkStart w:id="1051" w:name="_Toc726"/>
      <w:bookmarkStart w:id="1052" w:name="_Toc144974836"/>
      <w:bookmarkStart w:id="1053" w:name="_Toc29287"/>
      <w:bookmarkStart w:id="1054" w:name="_Toc16316"/>
      <w:bookmarkStart w:id="1055" w:name="_Toc152045774"/>
      <w:bookmarkStart w:id="1056" w:name="_Toc179632791"/>
      <w:bookmarkStart w:id="1057" w:name="_Toc152042556"/>
      <w:bookmarkStart w:id="1058" w:name="_Toc246996342"/>
      <w:bookmarkStart w:id="1059" w:name="_Toc246997085"/>
      <w:bookmarkStart w:id="1060" w:name="_Toc7301"/>
      <w:bookmarkStart w:id="1061" w:name="_Toc23069"/>
      <w:bookmarkStart w:id="1062" w:name="_Toc21340"/>
      <w:bookmarkStart w:id="1063" w:name="_Toc23417"/>
      <w:bookmarkStart w:id="1064" w:name="_Toc18539"/>
      <w:r>
        <w:rPr>
          <w:rFonts w:hint="eastAsia"/>
        </w:rPr>
        <w:t>2. 投标报价说明</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p>
    <w:p>
      <w:pPr>
        <w:spacing w:line="400" w:lineRule="exact"/>
      </w:pPr>
      <w:r>
        <w:rPr>
          <w:rFonts w:hint="eastAsia"/>
        </w:rPr>
        <w:t>2.1 工程量清单中的每一子目须填入单价或价格，且只允许有一个报价。</w:t>
      </w:r>
    </w:p>
    <w:p>
      <w:pPr>
        <w:spacing w:line="400" w:lineRule="exact"/>
      </w:pPr>
      <w:r>
        <w:rPr>
          <w:rFonts w:hint="eastAsia"/>
        </w:rPr>
        <w:t>2.2 工程量清单中标价的单价或金额，应包括所需的人工费、材料和施工机具使用费和企业管理费、利润以及一定范围内的风险费用等。</w:t>
      </w:r>
    </w:p>
    <w:p>
      <w:pPr>
        <w:spacing w:line="400" w:lineRule="exact"/>
      </w:pPr>
      <w:r>
        <w:rPr>
          <w:rFonts w:hint="eastAsia"/>
        </w:rPr>
        <w:t>2.3 工程量清单中投标人没有填入单价或价格的子目，其费用视为已分摊在工程量清单中其他相关子目的单价或价格之中。</w:t>
      </w:r>
    </w:p>
    <w:p>
      <w:pPr>
        <w:spacing w:line="400" w:lineRule="exact"/>
      </w:pPr>
      <w:r>
        <w:rPr>
          <w:rFonts w:hint="eastAsia"/>
        </w:rPr>
        <w:t>2.4 暂列金额的数量及拟用子目的说明：</w:t>
      </w:r>
    </w:p>
    <w:p>
      <w:pPr>
        <w:pStyle w:val="3"/>
        <w:numPr>
          <w:ilvl w:val="0"/>
          <w:numId w:val="6"/>
        </w:numPr>
      </w:pPr>
      <w:bookmarkStart w:id="1065" w:name="_Toc25765"/>
      <w:bookmarkStart w:id="1066" w:name="_Toc246997086"/>
      <w:bookmarkStart w:id="1067" w:name="_Toc246996343"/>
      <w:bookmarkStart w:id="1068" w:name="_Toc247085858"/>
      <w:bookmarkStart w:id="1069" w:name="_Toc19308"/>
      <w:bookmarkStart w:id="1070" w:name="_Toc7612"/>
      <w:bookmarkStart w:id="1071" w:name="_Toc22696"/>
      <w:bookmarkStart w:id="1072" w:name="_Toc179632792"/>
      <w:bookmarkStart w:id="1073" w:name="_Toc10545"/>
      <w:bookmarkStart w:id="1074" w:name="_Toc15175"/>
      <w:bookmarkStart w:id="1075" w:name="_Toc152045775"/>
      <w:bookmarkStart w:id="1076" w:name="_Toc15208"/>
      <w:bookmarkStart w:id="1077" w:name="_Toc144974837"/>
      <w:bookmarkStart w:id="1078" w:name="_Toc152042557"/>
      <w:bookmarkStart w:id="1079" w:name="_Toc16933"/>
      <w:bookmarkStart w:id="1080" w:name="_Toc11748"/>
      <w:bookmarkStart w:id="1081" w:name="_Toc19999"/>
      <w:r>
        <w:rPr>
          <w:rFonts w:hint="eastAsia"/>
        </w:rPr>
        <w:t>其他说明</w:t>
      </w:r>
      <w:bookmarkEnd w:id="1065"/>
      <w:bookmarkEnd w:id="1066"/>
      <w:bookmarkEnd w:id="1067"/>
      <w:bookmarkEnd w:id="1068"/>
      <w:bookmarkEnd w:id="1069"/>
      <w:bookmarkEnd w:id="1070"/>
      <w:bookmarkEnd w:id="1071"/>
      <w:bookmarkEnd w:id="1072"/>
      <w:bookmarkEnd w:id="1073"/>
      <w:bookmarkStart w:id="1082" w:name="_Toc246997087"/>
      <w:bookmarkStart w:id="1083" w:name="_Toc144974838"/>
      <w:bookmarkStart w:id="1084" w:name="_Toc247085859"/>
      <w:bookmarkStart w:id="1085" w:name="_Toc246996344"/>
      <w:bookmarkStart w:id="1086" w:name="_Toc152045776"/>
      <w:bookmarkStart w:id="1087" w:name="_Toc152042558"/>
      <w:bookmarkStart w:id="1088" w:name="_Toc179632793"/>
    </w:p>
    <w:p/>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p>
      <w:pPr>
        <w:spacing w:line="600" w:lineRule="exact"/>
        <w:jc w:val="center"/>
        <w:outlineLvl w:val="0"/>
        <w:rPr>
          <w:b/>
          <w:bCs/>
          <w:kern w:val="44"/>
          <w:sz w:val="44"/>
          <w:szCs w:val="44"/>
        </w:rPr>
      </w:pPr>
    </w:p>
    <w:p>
      <w:pPr>
        <w:spacing w:line="600" w:lineRule="exact"/>
        <w:jc w:val="center"/>
        <w:outlineLvl w:val="0"/>
        <w:rPr>
          <w:b/>
          <w:bCs/>
          <w:kern w:val="44"/>
          <w:sz w:val="44"/>
          <w:szCs w:val="44"/>
        </w:rPr>
      </w:pPr>
    </w:p>
    <w:p>
      <w:pPr>
        <w:spacing w:line="600" w:lineRule="exact"/>
        <w:jc w:val="center"/>
        <w:outlineLvl w:val="0"/>
        <w:rPr>
          <w:b/>
          <w:bCs/>
          <w:kern w:val="44"/>
          <w:sz w:val="44"/>
          <w:szCs w:val="44"/>
        </w:rPr>
      </w:pPr>
    </w:p>
    <w:p>
      <w:pPr>
        <w:spacing w:line="600" w:lineRule="exact"/>
        <w:jc w:val="both"/>
        <w:outlineLvl w:val="0"/>
        <w:rPr>
          <w:b/>
          <w:bCs/>
          <w:kern w:val="44"/>
          <w:sz w:val="44"/>
          <w:szCs w:val="44"/>
        </w:rPr>
      </w:pPr>
    </w:p>
    <w:p>
      <w:pPr>
        <w:spacing w:line="600" w:lineRule="exact"/>
        <w:jc w:val="center"/>
        <w:outlineLvl w:val="0"/>
        <w:rPr>
          <w:b/>
          <w:bCs/>
          <w:kern w:val="44"/>
          <w:sz w:val="44"/>
          <w:szCs w:val="44"/>
        </w:rPr>
      </w:pPr>
    </w:p>
    <w:p>
      <w:pPr>
        <w:numPr>
          <w:ilvl w:val="0"/>
          <w:numId w:val="5"/>
        </w:numPr>
        <w:spacing w:line="600" w:lineRule="exact"/>
        <w:jc w:val="center"/>
        <w:outlineLvl w:val="0"/>
        <w:rPr>
          <w:b/>
          <w:bCs/>
          <w:kern w:val="44"/>
          <w:sz w:val="44"/>
          <w:szCs w:val="44"/>
        </w:rPr>
      </w:pPr>
      <w:bookmarkStart w:id="1089" w:name="_Toc5911"/>
      <w:r>
        <w:rPr>
          <w:rFonts w:hint="eastAsia" w:ascii="方正黑体简体" w:hAnsi="宋体" w:eastAsia="方正黑体简体"/>
          <w:b/>
          <w:kern w:val="0"/>
          <w:sz w:val="40"/>
          <w:szCs w:val="40"/>
          <w:lang w:val="zh-CN"/>
        </w:rPr>
        <w:t>技术标准与要求</w:t>
      </w:r>
      <w:bookmarkEnd w:id="1089"/>
    </w:p>
    <w:p>
      <w:pPr>
        <w:pStyle w:val="3"/>
        <w:spacing w:line="400" w:lineRule="exact"/>
        <w:jc w:val="left"/>
        <w:rPr>
          <w:rFonts w:ascii="宋体" w:hAnsi="宋体"/>
          <w:color w:val="000000"/>
          <w:sz w:val="24"/>
        </w:rPr>
      </w:pPr>
      <w:bookmarkStart w:id="1090" w:name="_Toc424658308"/>
      <w:r>
        <w:rPr>
          <w:rFonts w:hint="eastAsia"/>
          <w:color w:val="000000"/>
          <w:sz w:val="24"/>
          <w:szCs w:val="24"/>
        </w:rPr>
        <w:t>一、招标范围</w:t>
      </w:r>
      <w:bookmarkEnd w:id="1090"/>
    </w:p>
    <w:p>
      <w:pPr>
        <w:pStyle w:val="3"/>
        <w:keepNext/>
        <w:keepLines/>
        <w:pageBreakBefore w:val="0"/>
        <w:widowControl w:val="0"/>
        <w:kinsoku/>
        <w:wordWrap/>
        <w:overflowPunct/>
        <w:topLinePunct w:val="0"/>
        <w:autoSpaceDE/>
        <w:autoSpaceDN/>
        <w:bidi w:val="0"/>
        <w:adjustRightInd/>
        <w:snapToGrid/>
        <w:spacing w:before="260" w:after="260" w:line="400" w:lineRule="exact"/>
        <w:ind w:left="0" w:leftChars="0" w:right="0" w:rightChars="0" w:firstLine="480" w:firstLineChars="200"/>
        <w:jc w:val="left"/>
        <w:textAlignment w:val="auto"/>
        <w:outlineLvl w:val="1"/>
        <w:rPr>
          <w:rFonts w:hint="eastAsia" w:ascii="宋体" w:hAnsi="宋体" w:eastAsia="宋体" w:cs="Times New Roman"/>
          <w:b w:val="0"/>
          <w:bCs w:val="0"/>
          <w:color w:val="000000"/>
          <w:kern w:val="2"/>
          <w:sz w:val="24"/>
          <w:szCs w:val="24"/>
          <w:lang w:val="en-US" w:eastAsia="zh-CN" w:bidi="ar-SA"/>
        </w:rPr>
      </w:pPr>
      <w:bookmarkStart w:id="1091" w:name="_Toc29501"/>
      <w:bookmarkStart w:id="1092" w:name="_Toc424658309"/>
      <w:bookmarkStart w:id="1093" w:name="_Toc15444"/>
      <w:r>
        <w:rPr>
          <w:rFonts w:hint="eastAsia" w:ascii="宋体" w:hAnsi="宋体" w:eastAsia="宋体" w:cs="Times New Roman"/>
          <w:b w:val="0"/>
          <w:bCs w:val="0"/>
          <w:color w:val="000000"/>
          <w:kern w:val="2"/>
          <w:sz w:val="24"/>
          <w:szCs w:val="24"/>
          <w:lang w:val="en-US" w:eastAsia="zh-CN" w:bidi="ar-SA"/>
        </w:rPr>
        <w:t>包括综合业务楼、门诊楼、病房楼中央空调工程施工图范围内的中央空调水系统和新风系统、机房及辅助工程内容；具体包括溴化锂直燃机（含各种所需的润滑油、制冷剂、滤芯等辅助材料）、空调水系统及末端、泵组输配系统、新风系统、冷却塔及冷却水系统、软化水系统、生活热水系统及各种辅助耗材、机房及控制系统、机房和辅助设备的电线及电缆、风机盘管与调速开关之间的多芯电缆线、管道预埋套管制安、设备运输吊装、冷却水室外管沟、设备混凝土基础、工程配合费等工作内容。本工程为招标范围内交钥匙工程（不含消防防排烟部分）。无论投标人是否核对招标文件清单，都视为投标人已完全理解本次招标范围内施工图及施工图全部内容。</w:t>
      </w:r>
    </w:p>
    <w:p>
      <w:pPr>
        <w:pStyle w:val="3"/>
        <w:spacing w:line="400" w:lineRule="exact"/>
        <w:jc w:val="left"/>
        <w:rPr>
          <w:color w:val="000000"/>
          <w:sz w:val="24"/>
          <w:szCs w:val="24"/>
        </w:rPr>
      </w:pPr>
      <w:r>
        <w:rPr>
          <w:rFonts w:hint="eastAsia"/>
          <w:color w:val="000000"/>
          <w:sz w:val="24"/>
          <w:szCs w:val="24"/>
        </w:rPr>
        <w:t>二、招标项目中央空调系统工程量清单</w:t>
      </w:r>
      <w:bookmarkEnd w:id="1091"/>
      <w:bookmarkEnd w:id="1092"/>
      <w:bookmarkEnd w:id="1093"/>
    </w:p>
    <w:p>
      <w:pPr>
        <w:spacing w:line="400" w:lineRule="exact"/>
        <w:ind w:firstLine="480" w:firstLineChars="200"/>
        <w:jc w:val="left"/>
        <w:rPr>
          <w:rFonts w:ascii="宋体" w:hAnsi="宋体"/>
          <w:color w:val="000000"/>
          <w:sz w:val="24"/>
        </w:rPr>
      </w:pPr>
      <w:r>
        <w:rPr>
          <w:rFonts w:hint="eastAsia" w:ascii="宋体" w:hAnsi="宋体"/>
          <w:color w:val="000000"/>
          <w:sz w:val="24"/>
        </w:rPr>
        <w:t>中央空调系统工程量清单详见招标人提供的《工程量清单》；</w:t>
      </w:r>
    </w:p>
    <w:p>
      <w:pPr>
        <w:spacing w:line="400" w:lineRule="exact"/>
        <w:ind w:firstLine="480" w:firstLineChars="200"/>
        <w:jc w:val="left"/>
        <w:rPr>
          <w:rFonts w:ascii="宋体" w:hAnsi="宋体"/>
          <w:color w:val="000000"/>
          <w:sz w:val="24"/>
        </w:rPr>
      </w:pPr>
      <w:r>
        <w:rPr>
          <w:rFonts w:hint="eastAsia" w:ascii="宋体" w:hAnsi="宋体"/>
          <w:color w:val="000000"/>
          <w:sz w:val="24"/>
        </w:rPr>
        <w:t>工程量清单“总说明-3.11管道穿墙套管预留预埋不在本次造价范围内。”更正为“管道穿墙套管预留预埋在本次招标范围内，投标人自行综合考虑报价。”</w:t>
      </w:r>
    </w:p>
    <w:p>
      <w:pPr>
        <w:spacing w:line="400" w:lineRule="exact"/>
        <w:ind w:firstLine="480" w:firstLineChars="200"/>
        <w:jc w:val="left"/>
        <w:rPr>
          <w:rFonts w:ascii="宋体" w:hAnsi="宋体"/>
          <w:color w:val="000000"/>
          <w:sz w:val="24"/>
        </w:rPr>
      </w:pPr>
      <w:r>
        <w:rPr>
          <w:rFonts w:hint="eastAsia" w:ascii="宋体" w:hAnsi="宋体"/>
          <w:color w:val="000000"/>
          <w:sz w:val="24"/>
        </w:rPr>
        <w:t>为减少投标误差，投标人需自行到项目安装施工现场进行踏勘，并认真分析施工设计图和招标文件要求。不管投标人是否踏勘过现场，均被认为在递交投标文件前已经对设计和招标文件要求有了充分理解，并愿意自行承担各项风险。</w:t>
      </w:r>
    </w:p>
    <w:p>
      <w:pPr>
        <w:pStyle w:val="3"/>
        <w:spacing w:line="400" w:lineRule="exact"/>
        <w:ind w:firstLine="482" w:firstLineChars="200"/>
        <w:jc w:val="left"/>
        <w:rPr>
          <w:color w:val="000000"/>
          <w:sz w:val="24"/>
          <w:szCs w:val="24"/>
        </w:rPr>
      </w:pPr>
      <w:bookmarkStart w:id="1094" w:name="_Toc424658310"/>
      <w:bookmarkStart w:id="1095" w:name="_Toc16320"/>
      <w:bookmarkStart w:id="1096" w:name="_Toc27322"/>
      <w:r>
        <w:rPr>
          <w:rFonts w:hint="eastAsia"/>
          <w:color w:val="000000"/>
          <w:sz w:val="24"/>
          <w:szCs w:val="24"/>
        </w:rPr>
        <w:t>三、招标项目直燃机房要求</w:t>
      </w:r>
      <w:bookmarkEnd w:id="1094"/>
      <w:bookmarkEnd w:id="1095"/>
      <w:bookmarkEnd w:id="1096"/>
    </w:p>
    <w:p>
      <w:pPr>
        <w:numPr>
          <w:ilvl w:val="0"/>
          <w:numId w:val="7"/>
        </w:numPr>
        <w:spacing w:line="400" w:lineRule="exact"/>
        <w:ind w:left="0" w:firstLine="480" w:firstLineChars="200"/>
        <w:jc w:val="left"/>
        <w:rPr>
          <w:rFonts w:ascii="宋体" w:hAnsi="宋体"/>
          <w:color w:val="000000"/>
          <w:sz w:val="24"/>
        </w:rPr>
      </w:pPr>
      <w:r>
        <w:rPr>
          <w:rFonts w:ascii="宋体" w:hAnsi="宋体"/>
          <w:color w:val="000000"/>
          <w:sz w:val="24"/>
        </w:rPr>
        <w:t>空调冷热源</w:t>
      </w:r>
      <w:r>
        <w:rPr>
          <w:rFonts w:hint="eastAsia" w:ascii="宋体" w:hAnsi="宋体"/>
          <w:color w:val="000000"/>
          <w:sz w:val="24"/>
        </w:rPr>
        <w:t>水系统、</w:t>
      </w:r>
      <w:r>
        <w:rPr>
          <w:rFonts w:ascii="宋体" w:hAnsi="宋体"/>
          <w:color w:val="000000"/>
          <w:sz w:val="24"/>
        </w:rPr>
        <w:t>卫生热水</w:t>
      </w:r>
      <w:r>
        <w:rPr>
          <w:rFonts w:hint="eastAsia" w:ascii="宋体" w:hAnsi="宋体"/>
          <w:color w:val="000000"/>
          <w:sz w:val="24"/>
        </w:rPr>
        <w:t>（含手术部、NICU、ＰＩＣＵ、产房等）均由直燃机提供。</w:t>
      </w:r>
    </w:p>
    <w:p>
      <w:pPr>
        <w:numPr>
          <w:ilvl w:val="0"/>
          <w:numId w:val="7"/>
        </w:numPr>
        <w:spacing w:line="400" w:lineRule="exact"/>
        <w:ind w:left="0" w:firstLine="480" w:firstLineChars="200"/>
        <w:jc w:val="left"/>
        <w:rPr>
          <w:rFonts w:ascii="宋体" w:hAnsi="宋体"/>
          <w:color w:val="000000"/>
          <w:sz w:val="24"/>
        </w:rPr>
      </w:pPr>
      <w:r>
        <w:rPr>
          <w:rFonts w:ascii="宋体" w:hAnsi="宋体"/>
          <w:color w:val="000000"/>
          <w:sz w:val="24"/>
        </w:rPr>
        <w:t>手术部</w:t>
      </w:r>
      <w:r>
        <w:rPr>
          <w:rFonts w:hint="eastAsia" w:ascii="宋体" w:hAnsi="宋体"/>
          <w:color w:val="000000"/>
          <w:sz w:val="24"/>
        </w:rPr>
        <w:t>、</w:t>
      </w:r>
      <w:r>
        <w:rPr>
          <w:rFonts w:ascii="宋体" w:hAnsi="宋体"/>
          <w:color w:val="000000"/>
          <w:sz w:val="24"/>
        </w:rPr>
        <w:t>特殊用房等需要同时</w:t>
      </w:r>
      <w:r>
        <w:rPr>
          <w:rFonts w:hint="eastAsia" w:ascii="宋体" w:hAnsi="宋体"/>
          <w:color w:val="000000"/>
          <w:sz w:val="24"/>
        </w:rPr>
        <w:t>供冷</w:t>
      </w:r>
      <w:r>
        <w:rPr>
          <w:rFonts w:ascii="宋体" w:hAnsi="宋体"/>
          <w:color w:val="000000"/>
          <w:sz w:val="24"/>
        </w:rPr>
        <w:t>供热的空调冷热源和卫生热水由</w:t>
      </w:r>
      <w:r>
        <w:rPr>
          <w:rFonts w:hint="eastAsia" w:ascii="宋体" w:hAnsi="宋体"/>
          <w:color w:val="000000"/>
          <w:sz w:val="24"/>
        </w:rPr>
        <w:t>直燃</w:t>
      </w:r>
      <w:r>
        <w:rPr>
          <w:rFonts w:ascii="宋体" w:hAnsi="宋体"/>
          <w:color w:val="000000"/>
          <w:sz w:val="24"/>
        </w:rPr>
        <w:t>机房供给</w:t>
      </w:r>
      <w:r>
        <w:rPr>
          <w:rFonts w:hint="eastAsia" w:ascii="宋体" w:hAnsi="宋体"/>
          <w:color w:val="000000"/>
          <w:sz w:val="24"/>
        </w:rPr>
        <w:t>(</w:t>
      </w:r>
      <w:r>
        <w:rPr>
          <w:rFonts w:ascii="宋体" w:hAnsi="宋体"/>
          <w:color w:val="000000"/>
          <w:sz w:val="24"/>
        </w:rPr>
        <w:t>手术部</w:t>
      </w:r>
      <w:r>
        <w:rPr>
          <w:rFonts w:hint="eastAsia" w:ascii="宋体" w:hAnsi="宋体"/>
          <w:color w:val="000000"/>
          <w:sz w:val="24"/>
        </w:rPr>
        <w:t>、</w:t>
      </w:r>
      <w:r>
        <w:rPr>
          <w:rFonts w:ascii="宋体" w:hAnsi="宋体"/>
          <w:color w:val="000000"/>
          <w:sz w:val="24"/>
        </w:rPr>
        <w:t>特殊用房等</w:t>
      </w:r>
      <w:r>
        <w:rPr>
          <w:rFonts w:hint="eastAsia" w:ascii="宋体" w:hAnsi="宋体"/>
          <w:color w:val="000000"/>
          <w:sz w:val="24"/>
        </w:rPr>
        <w:t>夏季及过渡季节需单独供热的最大热量,面积约5200平方，环境温度满足</w:t>
      </w:r>
      <w:r>
        <w:rPr>
          <w:rFonts w:ascii="宋体" w:hAnsi="宋体"/>
          <w:color w:val="000000"/>
          <w:sz w:val="24"/>
        </w:rPr>
        <w:t>手术部</w:t>
      </w:r>
      <w:r>
        <w:rPr>
          <w:rFonts w:hint="eastAsia" w:ascii="宋体" w:hAnsi="宋体"/>
          <w:color w:val="000000"/>
          <w:sz w:val="24"/>
        </w:rPr>
        <w:t>、</w:t>
      </w:r>
      <w:r>
        <w:rPr>
          <w:rFonts w:ascii="宋体" w:hAnsi="宋体"/>
          <w:color w:val="000000"/>
          <w:sz w:val="24"/>
        </w:rPr>
        <w:t>特殊用房</w:t>
      </w:r>
      <w:r>
        <w:rPr>
          <w:rFonts w:hint="eastAsia" w:ascii="宋体" w:hAnsi="宋体"/>
          <w:color w:val="000000"/>
          <w:sz w:val="24"/>
        </w:rPr>
        <w:t>国家相关要求)</w:t>
      </w:r>
    </w:p>
    <w:p>
      <w:pPr>
        <w:pStyle w:val="3"/>
        <w:spacing w:line="400" w:lineRule="exact"/>
        <w:ind w:firstLine="482" w:firstLineChars="200"/>
        <w:jc w:val="left"/>
        <w:rPr>
          <w:color w:val="000000"/>
          <w:sz w:val="24"/>
          <w:szCs w:val="24"/>
        </w:rPr>
      </w:pPr>
      <w:bookmarkStart w:id="1097" w:name="_Toc424658311"/>
      <w:bookmarkStart w:id="1098" w:name="_Toc23622"/>
      <w:bookmarkStart w:id="1099" w:name="_Toc31508"/>
      <w:r>
        <w:rPr>
          <w:color w:val="000000"/>
          <w:sz w:val="24"/>
          <w:szCs w:val="24"/>
        </w:rPr>
        <w:t>四</w:t>
      </w:r>
      <w:r>
        <w:rPr>
          <w:rFonts w:hint="eastAsia"/>
          <w:color w:val="000000"/>
          <w:sz w:val="24"/>
          <w:szCs w:val="24"/>
        </w:rPr>
        <w:t>、招标项目中央空调系统主要设备技术参数及性能要求</w:t>
      </w:r>
      <w:bookmarkEnd w:id="1097"/>
      <w:bookmarkEnd w:id="1098"/>
      <w:bookmarkEnd w:id="1099"/>
    </w:p>
    <w:p>
      <w:pPr>
        <w:spacing w:line="400" w:lineRule="exact"/>
        <w:ind w:firstLine="482" w:firstLineChars="200"/>
        <w:jc w:val="left"/>
        <w:rPr>
          <w:rFonts w:ascii="宋体" w:hAnsi="宋体"/>
          <w:b/>
          <w:color w:val="000000"/>
          <w:sz w:val="24"/>
        </w:rPr>
      </w:pPr>
      <w:r>
        <w:rPr>
          <w:rFonts w:hint="eastAsia" w:ascii="宋体" w:hAnsi="宋体"/>
          <w:b/>
          <w:color w:val="000000"/>
          <w:sz w:val="24"/>
        </w:rPr>
        <w:t>（一）中央空调系统直燃机组</w:t>
      </w:r>
    </w:p>
    <w:p>
      <w:pPr>
        <w:spacing w:line="400" w:lineRule="exact"/>
        <w:ind w:firstLine="480" w:firstLineChars="200"/>
        <w:jc w:val="left"/>
        <w:rPr>
          <w:rFonts w:ascii="宋体" w:hAnsi="宋体"/>
          <w:color w:val="000000"/>
          <w:sz w:val="24"/>
        </w:rPr>
      </w:pPr>
      <w:r>
        <w:rPr>
          <w:rFonts w:hint="eastAsia" w:ascii="宋体" w:hAnsi="宋体"/>
          <w:color w:val="000000"/>
          <w:sz w:val="24"/>
        </w:rPr>
        <w:t>1、投标直燃机必须符合国家相关技术规范及标准要求。投标直燃机最大制冷量、采暖量、卫生热水量可在制造商设备样本编列最大容量范围内定制，必须满足招标人要求。</w:t>
      </w:r>
    </w:p>
    <w:p>
      <w:pPr>
        <w:spacing w:line="400" w:lineRule="exact"/>
        <w:jc w:val="left"/>
        <w:rPr>
          <w:rFonts w:ascii="宋体" w:hAnsi="宋体"/>
          <w:color w:val="000000"/>
          <w:sz w:val="24"/>
        </w:rPr>
      </w:pPr>
      <w:r>
        <w:rPr>
          <w:rFonts w:hint="eastAsia" w:ascii="宋体" w:hAnsi="宋体"/>
          <w:color w:val="000000"/>
          <w:sz w:val="24"/>
        </w:rPr>
        <w:t>2、直燃机的技术参数及性能要求</w:t>
      </w:r>
    </w:p>
    <w:p>
      <w:pPr>
        <w:spacing w:line="400" w:lineRule="exact"/>
        <w:ind w:firstLine="480" w:firstLineChars="200"/>
        <w:jc w:val="left"/>
        <w:rPr>
          <w:rFonts w:ascii="宋体" w:hAnsi="宋体"/>
          <w:color w:val="000000"/>
          <w:sz w:val="24"/>
        </w:rPr>
      </w:pPr>
      <w:r>
        <w:rPr>
          <w:rFonts w:hint="eastAsia" w:ascii="宋体" w:hAnsi="宋体"/>
          <w:color w:val="000000"/>
          <w:sz w:val="24"/>
        </w:rPr>
        <w:t>2.1直燃机参数要求</w:t>
      </w:r>
    </w:p>
    <w:tbl>
      <w:tblPr>
        <w:tblStyle w:val="41"/>
        <w:tblW w:w="9606"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3227"/>
        <w:gridCol w:w="6379"/>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54" w:hRule="atLeast"/>
        </w:trPr>
        <w:tc>
          <w:tcPr>
            <w:tcW w:w="322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sz w:val="24"/>
              </w:rPr>
            </w:pPr>
            <w:r>
              <w:rPr>
                <w:rFonts w:hint="eastAsia" w:ascii="宋体" w:hAnsi="宋体"/>
                <w:color w:val="000000"/>
                <w:sz w:val="24"/>
              </w:rPr>
              <w:t>参数要求</w:t>
            </w:r>
          </w:p>
        </w:tc>
        <w:tc>
          <w:tcPr>
            <w:tcW w:w="637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sz w:val="24"/>
              </w:rPr>
            </w:pPr>
            <w:r>
              <w:rPr>
                <w:rFonts w:hint="eastAsia" w:ascii="宋体" w:hAnsi="宋体"/>
                <w:color w:val="000000"/>
                <w:sz w:val="24"/>
              </w:rPr>
              <w:t>内容</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296" w:hRule="atLeast"/>
        </w:trPr>
        <w:tc>
          <w:tcPr>
            <w:tcW w:w="322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sz w:val="24"/>
              </w:rPr>
            </w:pPr>
            <w:r>
              <w:rPr>
                <w:rFonts w:hint="eastAsia" w:ascii="宋体" w:hAnsi="宋体"/>
                <w:color w:val="000000"/>
                <w:sz w:val="24"/>
              </w:rPr>
              <w:t>数量（台）</w:t>
            </w:r>
          </w:p>
        </w:tc>
        <w:tc>
          <w:tcPr>
            <w:tcW w:w="637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sz w:val="24"/>
              </w:rPr>
            </w:pPr>
            <w:r>
              <w:rPr>
                <w:rFonts w:hint="eastAsia" w:ascii="宋体" w:hAnsi="宋体"/>
                <w:color w:val="000000"/>
                <w:sz w:val="24"/>
              </w:rPr>
              <w:t>1台直燃机组</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296" w:hRule="atLeast"/>
        </w:trPr>
        <w:tc>
          <w:tcPr>
            <w:tcW w:w="322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sz w:val="24"/>
              </w:rPr>
            </w:pPr>
            <w:r>
              <w:rPr>
                <w:rFonts w:hint="eastAsia" w:ascii="宋体" w:hAnsi="宋体"/>
                <w:b/>
                <w:color w:val="000000"/>
                <w:sz w:val="24"/>
              </w:rPr>
              <w:t>※</w:t>
            </w:r>
            <w:r>
              <w:rPr>
                <w:rFonts w:hint="eastAsia" w:ascii="宋体" w:hAnsi="宋体"/>
                <w:color w:val="000000"/>
                <w:sz w:val="24"/>
              </w:rPr>
              <w:t>额定功率</w:t>
            </w:r>
          </w:p>
        </w:tc>
        <w:tc>
          <w:tcPr>
            <w:tcW w:w="637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sz w:val="24"/>
              </w:rPr>
            </w:pPr>
            <w:r>
              <w:rPr>
                <w:rFonts w:hint="eastAsia" w:ascii="宋体" w:hAnsi="宋体"/>
                <w:color w:val="000000"/>
                <w:sz w:val="24"/>
              </w:rPr>
              <w:t>1、空调最大制冷量: ≥3300kW</w:t>
            </w:r>
          </w:p>
          <w:p>
            <w:pPr>
              <w:spacing w:line="400" w:lineRule="exact"/>
              <w:rPr>
                <w:rFonts w:ascii="宋体" w:hAnsi="宋体"/>
                <w:color w:val="000000"/>
                <w:sz w:val="24"/>
              </w:rPr>
            </w:pPr>
            <w:r>
              <w:rPr>
                <w:rFonts w:hint="eastAsia" w:ascii="宋体" w:hAnsi="宋体"/>
                <w:color w:val="000000"/>
                <w:sz w:val="24"/>
              </w:rPr>
              <w:t>2、空调最大采暖量: ≥2500kW</w:t>
            </w:r>
          </w:p>
          <w:p>
            <w:pPr>
              <w:spacing w:line="400" w:lineRule="exact"/>
              <w:rPr>
                <w:rFonts w:ascii="宋体" w:hAnsi="宋体"/>
                <w:color w:val="000000"/>
                <w:sz w:val="24"/>
              </w:rPr>
            </w:pPr>
            <w:r>
              <w:rPr>
                <w:rFonts w:hint="eastAsia" w:ascii="宋体" w:hAnsi="宋体"/>
                <w:color w:val="000000"/>
                <w:sz w:val="24"/>
              </w:rPr>
              <w:t>3、额定卫生热水热量：≥1100kW；流量≥40立方/小时；出水温度≥80摄氏度</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299" w:hRule="atLeast"/>
        </w:trPr>
        <w:tc>
          <w:tcPr>
            <w:tcW w:w="322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 w:val="24"/>
                <w:highlight w:val="none"/>
              </w:rPr>
            </w:pPr>
            <w:r>
              <w:rPr>
                <w:rFonts w:hint="eastAsia" w:ascii="宋体" w:hAnsi="宋体"/>
                <w:b/>
                <w:sz w:val="24"/>
                <w:highlight w:val="none"/>
              </w:rPr>
              <w:t>※</w:t>
            </w:r>
            <w:r>
              <w:rPr>
                <w:rFonts w:hint="eastAsia" w:ascii="宋体" w:hAnsi="宋体"/>
                <w:sz w:val="24"/>
                <w:highlight w:val="none"/>
              </w:rPr>
              <w:t>功能实现</w:t>
            </w:r>
          </w:p>
        </w:tc>
        <w:tc>
          <w:tcPr>
            <w:tcW w:w="637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 w:val="24"/>
                <w:highlight w:val="none"/>
              </w:rPr>
            </w:pPr>
            <w:r>
              <w:rPr>
                <w:rFonts w:hint="eastAsia" w:ascii="宋体" w:hAnsi="宋体"/>
                <w:sz w:val="24"/>
                <w:highlight w:val="none"/>
              </w:rPr>
              <w:t>制冷</w:t>
            </w:r>
            <w:r>
              <w:rPr>
                <w:rFonts w:ascii="宋体" w:hAnsi="宋体"/>
                <w:sz w:val="24"/>
                <w:highlight w:val="none"/>
              </w:rPr>
              <w:t>、采暖、卫生热水</w:t>
            </w:r>
            <w:r>
              <w:rPr>
                <w:rFonts w:hint="eastAsia" w:ascii="宋体" w:hAnsi="宋体"/>
                <w:sz w:val="24"/>
                <w:highlight w:val="none"/>
              </w:rPr>
              <w:t>、制冷及采暖、</w:t>
            </w:r>
            <w:r>
              <w:rPr>
                <w:rFonts w:ascii="宋体" w:hAnsi="宋体"/>
                <w:sz w:val="24"/>
                <w:highlight w:val="none"/>
              </w:rPr>
              <w:t>制冷及卫生热水</w:t>
            </w:r>
            <w:r>
              <w:rPr>
                <w:rFonts w:hint="eastAsia" w:ascii="宋体" w:hAnsi="宋体"/>
                <w:sz w:val="24"/>
                <w:highlight w:val="none"/>
              </w:rPr>
              <w:t>、</w:t>
            </w:r>
            <w:r>
              <w:rPr>
                <w:rFonts w:ascii="宋体" w:hAnsi="宋体"/>
                <w:sz w:val="24"/>
                <w:highlight w:val="none"/>
              </w:rPr>
              <w:t>采暖及卫生热水</w:t>
            </w:r>
            <w:r>
              <w:rPr>
                <w:rFonts w:hint="eastAsia" w:ascii="宋体" w:hAnsi="宋体"/>
                <w:sz w:val="24"/>
                <w:highlight w:val="none"/>
              </w:rPr>
              <w:t>、</w:t>
            </w:r>
            <w:r>
              <w:rPr>
                <w:rFonts w:ascii="宋体" w:hAnsi="宋体"/>
                <w:sz w:val="24"/>
                <w:highlight w:val="none"/>
              </w:rPr>
              <w:t>制冷采暖及卫生热水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289" w:hRule="atLeast"/>
        </w:trPr>
        <w:tc>
          <w:tcPr>
            <w:tcW w:w="322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 w:val="24"/>
              </w:rPr>
            </w:pPr>
            <w:r>
              <w:rPr>
                <w:rFonts w:hint="eastAsia" w:ascii="宋体" w:hAnsi="宋体"/>
                <w:sz w:val="24"/>
              </w:rPr>
              <w:t>冷冻水额定进出口温度</w:t>
            </w:r>
          </w:p>
        </w:tc>
        <w:tc>
          <w:tcPr>
            <w:tcW w:w="6379"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宋体" w:hAnsi="宋体"/>
                <w:sz w:val="24"/>
              </w:rPr>
            </w:pPr>
            <w:r>
              <w:rPr>
                <w:rFonts w:hint="eastAsia" w:ascii="宋体" w:hAnsi="宋体"/>
                <w:sz w:val="24"/>
              </w:rPr>
              <w:t>进口12-14℃，出口 7℃</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289" w:hRule="atLeast"/>
        </w:trPr>
        <w:tc>
          <w:tcPr>
            <w:tcW w:w="322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 w:val="24"/>
              </w:rPr>
            </w:pPr>
            <w:r>
              <w:rPr>
                <w:rFonts w:hint="eastAsia" w:ascii="宋体" w:hAnsi="宋体"/>
                <w:sz w:val="24"/>
              </w:rPr>
              <w:t>温水额定进出口温度</w:t>
            </w:r>
          </w:p>
        </w:tc>
        <w:tc>
          <w:tcPr>
            <w:tcW w:w="6379"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宋体" w:hAnsi="宋体"/>
                <w:sz w:val="24"/>
              </w:rPr>
            </w:pPr>
            <w:r>
              <w:rPr>
                <w:rFonts w:ascii="宋体" w:hAnsi="宋体"/>
                <w:sz w:val="24"/>
              </w:rPr>
              <w:t>进口温度50</w:t>
            </w:r>
            <w:r>
              <w:rPr>
                <w:rFonts w:hint="eastAsia" w:ascii="宋体" w:hAnsi="宋体"/>
                <w:sz w:val="24"/>
              </w:rPr>
              <w:t>-55℃，出口温度</w:t>
            </w:r>
            <w:r>
              <w:rPr>
                <w:rFonts w:ascii="宋体" w:hAnsi="宋体"/>
                <w:sz w:val="24"/>
              </w:rPr>
              <w:t>60</w:t>
            </w:r>
            <w:r>
              <w:rPr>
                <w:rFonts w:hint="eastAsia" w:ascii="宋体" w:hAnsi="宋体"/>
                <w:sz w:val="24"/>
              </w:rPr>
              <w:t>-65℃</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45" w:hRule="atLeast"/>
        </w:trPr>
        <w:tc>
          <w:tcPr>
            <w:tcW w:w="322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 w:val="24"/>
              </w:rPr>
            </w:pPr>
            <w:r>
              <w:rPr>
                <w:rFonts w:hint="eastAsia" w:ascii="宋体" w:hAnsi="宋体"/>
                <w:sz w:val="24"/>
              </w:rPr>
              <w:t>卫生热水额定进出口温度</w:t>
            </w:r>
          </w:p>
        </w:tc>
        <w:tc>
          <w:tcPr>
            <w:tcW w:w="6379"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宋体" w:hAnsi="宋体"/>
                <w:sz w:val="24"/>
              </w:rPr>
            </w:pPr>
            <w:r>
              <w:rPr>
                <w:rFonts w:hint="eastAsia" w:ascii="宋体" w:hAnsi="宋体"/>
                <w:sz w:val="24"/>
              </w:rPr>
              <w:t>进口</w:t>
            </w:r>
            <w:r>
              <w:rPr>
                <w:rFonts w:ascii="宋体" w:hAnsi="宋体"/>
                <w:sz w:val="24"/>
              </w:rPr>
              <w:t>4</w:t>
            </w:r>
            <w:r>
              <w:rPr>
                <w:rFonts w:hint="eastAsia" w:ascii="宋体" w:hAnsi="宋体"/>
                <w:sz w:val="24"/>
              </w:rPr>
              <w:t>0-</w:t>
            </w:r>
            <w:r>
              <w:rPr>
                <w:rFonts w:ascii="宋体" w:hAnsi="宋体"/>
                <w:sz w:val="24"/>
              </w:rPr>
              <w:t>60℃</w:t>
            </w:r>
            <w:r>
              <w:rPr>
                <w:rFonts w:hint="eastAsia" w:ascii="宋体" w:hAnsi="宋体"/>
                <w:sz w:val="24"/>
              </w:rPr>
              <w:t>，</w:t>
            </w:r>
            <w:r>
              <w:rPr>
                <w:rFonts w:ascii="宋体" w:hAnsi="宋体"/>
                <w:sz w:val="24"/>
              </w:rPr>
              <w:t>出口60</w:t>
            </w:r>
            <w:r>
              <w:rPr>
                <w:rFonts w:hint="eastAsia" w:ascii="宋体" w:hAnsi="宋体"/>
                <w:sz w:val="24"/>
              </w:rPr>
              <w:t>-</w:t>
            </w:r>
            <w:r>
              <w:rPr>
                <w:rFonts w:ascii="宋体" w:hAnsi="宋体"/>
                <w:sz w:val="24"/>
              </w:rPr>
              <w:t>80℃</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289" w:hRule="atLeast"/>
        </w:trPr>
        <w:tc>
          <w:tcPr>
            <w:tcW w:w="322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 w:val="24"/>
              </w:rPr>
            </w:pPr>
            <w:r>
              <w:rPr>
                <w:rFonts w:hint="eastAsia" w:ascii="宋体" w:hAnsi="宋体"/>
                <w:sz w:val="24"/>
              </w:rPr>
              <w:t>冷却水额定进出口温度</w:t>
            </w:r>
          </w:p>
        </w:tc>
        <w:tc>
          <w:tcPr>
            <w:tcW w:w="6379"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宋体" w:hAnsi="宋体"/>
                <w:sz w:val="24"/>
              </w:rPr>
            </w:pPr>
            <w:r>
              <w:rPr>
                <w:rFonts w:hint="eastAsia" w:ascii="宋体" w:hAnsi="宋体"/>
                <w:sz w:val="24"/>
              </w:rPr>
              <w:t>32/37.5℃</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289" w:hRule="atLeast"/>
        </w:trPr>
        <w:tc>
          <w:tcPr>
            <w:tcW w:w="322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 w:val="24"/>
              </w:rPr>
            </w:pPr>
            <w:r>
              <w:rPr>
                <w:rFonts w:hint="eastAsia" w:ascii="宋体" w:hAnsi="宋体"/>
                <w:sz w:val="24"/>
              </w:rPr>
              <w:t>能源</w:t>
            </w:r>
          </w:p>
        </w:tc>
        <w:tc>
          <w:tcPr>
            <w:tcW w:w="6379"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宋体" w:hAnsi="宋体"/>
                <w:sz w:val="24"/>
              </w:rPr>
            </w:pPr>
            <w:r>
              <w:rPr>
                <w:rFonts w:ascii="宋体" w:hAnsi="宋体"/>
                <w:sz w:val="24"/>
              </w:rPr>
              <w:t>为燃气型</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289" w:hRule="atLeast"/>
        </w:trPr>
        <w:tc>
          <w:tcPr>
            <w:tcW w:w="322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 w:val="24"/>
              </w:rPr>
            </w:pPr>
            <w:r>
              <w:rPr>
                <w:rFonts w:hint="eastAsia" w:ascii="宋体" w:hAnsi="宋体"/>
                <w:sz w:val="24"/>
              </w:rPr>
              <w:t>能源品种</w:t>
            </w:r>
          </w:p>
        </w:tc>
        <w:tc>
          <w:tcPr>
            <w:tcW w:w="6379"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宋体" w:hAnsi="宋体"/>
                <w:sz w:val="24"/>
              </w:rPr>
            </w:pPr>
            <w:r>
              <w:rPr>
                <w:rFonts w:hint="eastAsia" w:ascii="宋体" w:hAnsi="宋体"/>
                <w:sz w:val="24"/>
              </w:rPr>
              <w:t>天然气：热值8600kcal/Nm</w:t>
            </w:r>
            <w:r>
              <w:rPr>
                <w:rFonts w:hint="eastAsia" w:ascii="宋体" w:hAnsi="宋体"/>
                <w:sz w:val="24"/>
                <w:vertAlign w:val="superscript"/>
              </w:rPr>
              <w:t>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289" w:hRule="atLeast"/>
        </w:trPr>
        <w:tc>
          <w:tcPr>
            <w:tcW w:w="322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 w:val="24"/>
              </w:rPr>
            </w:pPr>
            <w:r>
              <w:rPr>
                <w:rFonts w:hint="eastAsia" w:ascii="宋体" w:hAnsi="宋体"/>
                <w:sz w:val="24"/>
              </w:rPr>
              <w:t>承压（Mpa）</w:t>
            </w:r>
          </w:p>
        </w:tc>
        <w:tc>
          <w:tcPr>
            <w:tcW w:w="637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 w:val="24"/>
              </w:rPr>
            </w:pPr>
            <w:r>
              <w:rPr>
                <w:rFonts w:hint="eastAsia" w:ascii="宋体" w:hAnsi="宋体"/>
                <w:sz w:val="24"/>
              </w:rPr>
              <w:t>冷却水0.8MPa，冷温</w:t>
            </w:r>
            <w:r>
              <w:rPr>
                <w:rFonts w:hint="eastAsia" w:ascii="宋体" w:hAnsi="宋体"/>
                <w:color w:val="000000"/>
                <w:sz w:val="24"/>
              </w:rPr>
              <w:t>水0.8MPa，卫生</w:t>
            </w:r>
            <w:r>
              <w:rPr>
                <w:rFonts w:hint="eastAsia" w:ascii="宋体" w:hAnsi="宋体"/>
                <w:sz w:val="24"/>
              </w:rPr>
              <w:t>热水0.8MPa。</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245" w:hRule="atLeast"/>
        </w:trPr>
        <w:tc>
          <w:tcPr>
            <w:tcW w:w="322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 w:val="24"/>
              </w:rPr>
            </w:pPr>
            <w:r>
              <w:rPr>
                <w:rFonts w:hint="eastAsia" w:ascii="宋体" w:hAnsi="宋体"/>
                <w:sz w:val="24"/>
              </w:rPr>
              <w:t>冷却水允许流量调节范围</w:t>
            </w:r>
          </w:p>
        </w:tc>
        <w:tc>
          <w:tcPr>
            <w:tcW w:w="637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 w:val="24"/>
              </w:rPr>
            </w:pPr>
            <w:r>
              <w:rPr>
                <w:rFonts w:hint="eastAsia" w:ascii="宋体" w:hAnsi="宋体"/>
                <w:sz w:val="24"/>
              </w:rPr>
              <w:t>50～120%</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245" w:hRule="atLeast"/>
        </w:trPr>
        <w:tc>
          <w:tcPr>
            <w:tcW w:w="3227" w:type="dxa"/>
            <w:tcBorders>
              <w:top w:val="single" w:color="auto" w:sz="4" w:space="0"/>
              <w:left w:val="single" w:color="auto" w:sz="4" w:space="0"/>
              <w:bottom w:val="single" w:color="auto" w:sz="4" w:space="0"/>
              <w:right w:val="single" w:color="auto" w:sz="4" w:space="0"/>
            </w:tcBorders>
            <w:vAlign w:val="center"/>
          </w:tcPr>
          <w:p>
            <w:pPr>
              <w:spacing w:line="400" w:lineRule="exact"/>
              <w:rPr>
                <w:rFonts w:hint="eastAsia" w:ascii="宋体" w:hAnsi="宋体"/>
                <w:sz w:val="24"/>
                <w:highlight w:val="none"/>
              </w:rPr>
            </w:pPr>
            <w:r>
              <w:rPr>
                <w:rFonts w:hint="eastAsia" w:ascii="宋体" w:hAnsi="宋体"/>
                <w:sz w:val="24"/>
                <w:highlight w:val="none"/>
              </w:rPr>
              <w:t>制冷能效</w:t>
            </w:r>
          </w:p>
        </w:tc>
        <w:tc>
          <w:tcPr>
            <w:tcW w:w="6379" w:type="dxa"/>
            <w:tcBorders>
              <w:top w:val="single" w:color="auto" w:sz="4" w:space="0"/>
              <w:left w:val="single" w:color="auto" w:sz="4" w:space="0"/>
              <w:bottom w:val="single" w:color="auto" w:sz="4" w:space="0"/>
              <w:right w:val="single" w:color="auto" w:sz="4" w:space="0"/>
            </w:tcBorders>
            <w:vAlign w:val="center"/>
          </w:tcPr>
          <w:p>
            <w:pPr>
              <w:spacing w:line="400" w:lineRule="exact"/>
              <w:rPr>
                <w:rFonts w:hint="eastAsia" w:ascii="宋体" w:hAnsi="宋体"/>
                <w:sz w:val="24"/>
                <w:highlight w:val="none"/>
              </w:rPr>
            </w:pPr>
            <w:r>
              <w:rPr>
                <w:rFonts w:hint="eastAsia" w:ascii="宋体" w:hAnsi="宋体"/>
                <w:color w:val="auto"/>
                <w:sz w:val="24"/>
                <w:highlight w:val="none"/>
              </w:rPr>
              <w:t>以千瓦为计算单位，详细计算每台空调直燃机含电耗的制冷能效，要求制冷能效不低于1.3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245" w:hRule="atLeast"/>
        </w:trPr>
        <w:tc>
          <w:tcPr>
            <w:tcW w:w="322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 w:val="24"/>
              </w:rPr>
            </w:pPr>
            <w:r>
              <w:rPr>
                <w:rFonts w:hint="eastAsia" w:ascii="宋体" w:hAnsi="宋体"/>
                <w:b/>
                <w:sz w:val="24"/>
              </w:rPr>
              <w:t>※</w:t>
            </w:r>
            <w:r>
              <w:rPr>
                <w:rFonts w:hint="eastAsia" w:ascii="宋体" w:hAnsi="宋体"/>
                <w:sz w:val="24"/>
              </w:rPr>
              <w:t>承诺书</w:t>
            </w:r>
          </w:p>
        </w:tc>
        <w:tc>
          <w:tcPr>
            <w:tcW w:w="637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 w:val="24"/>
              </w:rPr>
            </w:pPr>
            <w:r>
              <w:rPr>
                <w:rFonts w:hint="eastAsia" w:ascii="宋体" w:hAnsi="宋体"/>
                <w:sz w:val="24"/>
              </w:rPr>
              <w:t>保修期外直燃机维保费</w:t>
            </w:r>
            <w:r>
              <w:rPr>
                <w:rFonts w:ascii="Arial" w:hAnsi="Arial" w:cs="Arial"/>
                <w:sz w:val="24"/>
              </w:rPr>
              <w:t>≤</w:t>
            </w:r>
            <w:r>
              <w:rPr>
                <w:rFonts w:hint="eastAsia" w:ascii="宋体" w:hAnsi="宋体"/>
                <w:sz w:val="24"/>
              </w:rPr>
              <w:t>20000元/年，直燃机的所有维修及配件费用由生产厂家免费提供维保；直燃机正常工作寿命</w:t>
            </w:r>
            <w:r>
              <w:rPr>
                <w:rFonts w:ascii="Arial" w:hAnsi="Arial" w:cs="Arial"/>
                <w:sz w:val="24"/>
              </w:rPr>
              <w:t>≥</w:t>
            </w:r>
            <w:r>
              <w:rPr>
                <w:rFonts w:hint="eastAsia" w:ascii="Arial" w:hAnsi="Arial" w:cs="Arial"/>
                <w:sz w:val="24"/>
              </w:rPr>
              <w:t>15</w:t>
            </w:r>
            <w:r>
              <w:rPr>
                <w:rFonts w:hint="eastAsia" w:ascii="宋体" w:hAnsi="宋体"/>
                <w:sz w:val="24"/>
              </w:rPr>
              <w:t>年及以上；以上须直燃机生产厂家提供承诺书。</w:t>
            </w:r>
          </w:p>
        </w:tc>
      </w:tr>
    </w:tbl>
    <w:p>
      <w:pPr>
        <w:tabs>
          <w:tab w:val="left" w:pos="142"/>
          <w:tab w:val="left" w:pos="284"/>
          <w:tab w:val="left" w:pos="567"/>
        </w:tabs>
        <w:spacing w:line="400" w:lineRule="exact"/>
        <w:ind w:firstLine="425" w:firstLineChars="177"/>
        <w:rPr>
          <w:rFonts w:ascii="宋体" w:hAnsi="宋体"/>
          <w:sz w:val="24"/>
        </w:rPr>
      </w:pPr>
      <w:r>
        <w:rPr>
          <w:rFonts w:hint="eastAsia" w:ascii="宋体" w:hAnsi="宋体"/>
          <w:sz w:val="24"/>
        </w:rPr>
        <w:t>2.</w:t>
      </w:r>
      <w:r>
        <w:rPr>
          <w:rFonts w:ascii="宋体" w:hAnsi="宋体"/>
          <w:sz w:val="24"/>
        </w:rPr>
        <w:t>2直燃机</w:t>
      </w:r>
      <w:r>
        <w:rPr>
          <w:rFonts w:hint="eastAsia" w:ascii="宋体" w:hAnsi="宋体"/>
          <w:sz w:val="24"/>
        </w:rPr>
        <w:t>性能要求</w:t>
      </w:r>
    </w:p>
    <w:p>
      <w:pPr>
        <w:tabs>
          <w:tab w:val="left" w:pos="142"/>
          <w:tab w:val="left" w:pos="284"/>
          <w:tab w:val="left" w:pos="567"/>
        </w:tabs>
        <w:spacing w:line="400" w:lineRule="exact"/>
        <w:ind w:firstLine="425" w:firstLineChars="177"/>
        <w:rPr>
          <w:rFonts w:ascii="宋体" w:hAnsi="宋体"/>
          <w:color w:val="000000"/>
          <w:sz w:val="24"/>
        </w:rPr>
      </w:pPr>
      <w:r>
        <w:rPr>
          <w:rFonts w:hint="eastAsia" w:ascii="宋体" w:hAnsi="宋体"/>
          <w:sz w:val="24"/>
        </w:rPr>
        <w:t>2.2.1</w:t>
      </w:r>
      <w:r>
        <w:rPr>
          <w:rFonts w:ascii="宋体" w:hAnsi="宋体"/>
          <w:sz w:val="24"/>
        </w:rPr>
        <w:t>投标人必须</w:t>
      </w:r>
      <w:r>
        <w:rPr>
          <w:rFonts w:ascii="宋体" w:hAnsi="宋体"/>
          <w:color w:val="000000"/>
          <w:sz w:val="24"/>
        </w:rPr>
        <w:t>提供直燃机设备的下述详细图纸，包括：</w:t>
      </w:r>
    </w:p>
    <w:p>
      <w:pPr>
        <w:tabs>
          <w:tab w:val="left" w:pos="142"/>
          <w:tab w:val="left" w:pos="284"/>
          <w:tab w:val="left" w:pos="567"/>
        </w:tabs>
        <w:spacing w:line="400" w:lineRule="exact"/>
        <w:ind w:left="372" w:leftChars="177"/>
        <w:rPr>
          <w:rFonts w:ascii="宋体" w:hAnsi="宋体"/>
          <w:sz w:val="24"/>
        </w:rPr>
      </w:pPr>
      <w:r>
        <w:rPr>
          <w:rFonts w:hint="eastAsia" w:ascii="宋体" w:hAnsi="宋体"/>
          <w:color w:val="000000"/>
          <w:sz w:val="24"/>
        </w:rPr>
        <w:t xml:space="preserve"> 投标人根据招标人委托设计院提供的机房布置大样图，应提供客观符合机房尺寸的直燃机，并标清具体外形尺寸图，预留安装和检修通道；根据直燃机及其对应泵组系统（冷水、温水、冷却水、卫生热水泵）布置在机房施工图范围内，提供详细的平面和系统布置图纸，以上所有工程量也均为本次</w:t>
      </w:r>
      <w:r>
        <w:rPr>
          <w:rFonts w:hint="eastAsia" w:ascii="宋体" w:hAnsi="宋体"/>
          <w:sz w:val="24"/>
        </w:rPr>
        <w:t>招标内容。</w:t>
      </w:r>
    </w:p>
    <w:p>
      <w:pPr>
        <w:numPr>
          <w:ilvl w:val="0"/>
          <w:numId w:val="0"/>
        </w:numPr>
        <w:shd w:val="clear" w:color="auto" w:fill="FFFFFF"/>
        <w:tabs>
          <w:tab w:val="left" w:pos="142"/>
          <w:tab w:val="left" w:pos="284"/>
          <w:tab w:val="left" w:pos="567"/>
        </w:tabs>
        <w:spacing w:line="400" w:lineRule="exact"/>
        <w:ind w:leftChars="177"/>
        <w:rPr>
          <w:rFonts w:hint="eastAsia" w:ascii="宋体" w:hAnsi="宋体"/>
          <w:sz w:val="24"/>
        </w:rPr>
      </w:pPr>
      <w:r>
        <w:rPr>
          <w:rFonts w:hint="eastAsia" w:ascii="宋体" w:hAnsi="宋体"/>
          <w:sz w:val="24"/>
        </w:rPr>
        <w:t>管路仪表图。提供直燃机机体管路和主要仪表、高低温溶液换热器、变频器的综合图纸，图纸能显示直燃机机体上标注的主要传感器、控制装置、被控对象和其他阀门、开关等。并同时给出：</w:t>
      </w:r>
    </w:p>
    <w:p>
      <w:pPr>
        <w:numPr>
          <w:ilvl w:val="0"/>
          <w:numId w:val="8"/>
        </w:numPr>
        <w:shd w:val="clear" w:color="auto" w:fill="FFFFFF"/>
        <w:tabs>
          <w:tab w:val="left" w:pos="142"/>
          <w:tab w:val="left" w:pos="284"/>
          <w:tab w:val="left" w:pos="567"/>
        </w:tabs>
        <w:spacing w:line="400" w:lineRule="exact"/>
        <w:ind w:left="0" w:firstLine="425" w:firstLineChars="177"/>
        <w:rPr>
          <w:rFonts w:hint="eastAsia" w:ascii="宋体" w:hAnsi="宋体"/>
          <w:sz w:val="24"/>
        </w:rPr>
      </w:pPr>
      <w:r>
        <w:rPr>
          <w:rFonts w:hint="eastAsia" w:ascii="宋体" w:hAnsi="宋体"/>
          <w:sz w:val="24"/>
        </w:rPr>
        <w:t>直燃机空调制冷、空调采暖、卫生热水三种功能可同时或单独提供。</w:t>
      </w:r>
    </w:p>
    <w:p>
      <w:pPr>
        <w:numPr>
          <w:ilvl w:val="0"/>
          <w:numId w:val="8"/>
        </w:numPr>
        <w:shd w:val="clear" w:color="auto" w:fill="FFFFFF"/>
        <w:tabs>
          <w:tab w:val="left" w:pos="142"/>
          <w:tab w:val="left" w:pos="284"/>
          <w:tab w:val="left" w:pos="567"/>
        </w:tabs>
        <w:spacing w:line="400" w:lineRule="exact"/>
        <w:ind w:left="0" w:firstLine="425" w:firstLineChars="177"/>
        <w:rPr>
          <w:rFonts w:ascii="宋体" w:hAnsi="宋体"/>
          <w:sz w:val="24"/>
        </w:rPr>
      </w:pPr>
      <w:r>
        <w:rPr>
          <w:rFonts w:hint="eastAsia" w:ascii="宋体" w:hAnsi="宋体"/>
          <w:sz w:val="24"/>
        </w:rPr>
        <w:t>直燃机溶液泵、冷剂泵（如有）必须为变频系统。若具备，在管路仪表图上指明溶液泵变频器和冷剂泵变频器（如有），给出直燃机控制屏直观显示溶液泵、冷剂泵（如有）实时工作频率的界面图片。</w:t>
      </w:r>
    </w:p>
    <w:p>
      <w:pPr>
        <w:numPr>
          <w:ilvl w:val="0"/>
          <w:numId w:val="8"/>
        </w:numPr>
        <w:shd w:val="clear" w:color="auto" w:fill="FFFFFF"/>
        <w:tabs>
          <w:tab w:val="left" w:pos="142"/>
          <w:tab w:val="left" w:pos="284"/>
          <w:tab w:val="left" w:pos="567"/>
        </w:tabs>
        <w:spacing w:line="400" w:lineRule="exact"/>
        <w:ind w:left="0" w:firstLine="425" w:firstLineChars="177"/>
        <w:rPr>
          <w:rFonts w:ascii="宋体" w:hAnsi="宋体"/>
          <w:sz w:val="24"/>
        </w:rPr>
      </w:pPr>
      <w:r>
        <w:rPr>
          <w:rFonts w:hint="eastAsia" w:ascii="宋体" w:hAnsi="宋体"/>
          <w:sz w:val="24"/>
        </w:rPr>
        <w:t>抽</w:t>
      </w:r>
      <w:r>
        <w:rPr>
          <w:rFonts w:ascii="宋体" w:hAnsi="宋体"/>
          <w:sz w:val="24"/>
        </w:rPr>
        <w:t>气装置和排气装置的工作原理</w:t>
      </w:r>
      <w:r>
        <w:rPr>
          <w:rFonts w:hint="eastAsia" w:ascii="宋体" w:hAnsi="宋体"/>
          <w:sz w:val="24"/>
        </w:rPr>
        <w:t>。</w:t>
      </w:r>
      <w:r>
        <w:rPr>
          <w:rFonts w:ascii="宋体" w:hAnsi="宋体"/>
          <w:sz w:val="24"/>
        </w:rPr>
        <w:t>通过</w:t>
      </w:r>
      <w:r>
        <w:rPr>
          <w:rFonts w:hint="eastAsia" w:ascii="宋体" w:hAnsi="宋体"/>
          <w:sz w:val="24"/>
        </w:rPr>
        <w:t>管路仪表</w:t>
      </w:r>
      <w:r>
        <w:rPr>
          <w:rFonts w:ascii="宋体" w:hAnsi="宋体"/>
          <w:sz w:val="24"/>
        </w:rPr>
        <w:t>图详细叙述抽气装置的工作原理</w:t>
      </w:r>
      <w:r>
        <w:rPr>
          <w:rFonts w:hint="eastAsia" w:ascii="宋体" w:hAnsi="宋体"/>
          <w:sz w:val="24"/>
        </w:rPr>
        <w:t>，</w:t>
      </w:r>
      <w:r>
        <w:rPr>
          <w:rFonts w:ascii="宋体" w:hAnsi="宋体"/>
          <w:sz w:val="24"/>
        </w:rPr>
        <w:t>排气装置的工作原理</w:t>
      </w:r>
      <w:r>
        <w:rPr>
          <w:rFonts w:hint="eastAsia" w:ascii="宋体" w:hAnsi="宋体"/>
          <w:sz w:val="24"/>
        </w:rPr>
        <w:t>。</w:t>
      </w:r>
    </w:p>
    <w:p>
      <w:pPr>
        <w:numPr>
          <w:ilvl w:val="0"/>
          <w:numId w:val="8"/>
        </w:numPr>
        <w:shd w:val="clear" w:color="auto" w:fill="FFFFFF"/>
        <w:tabs>
          <w:tab w:val="left" w:pos="142"/>
          <w:tab w:val="left" w:pos="284"/>
          <w:tab w:val="left" w:pos="567"/>
        </w:tabs>
        <w:spacing w:line="400" w:lineRule="exact"/>
        <w:ind w:left="0" w:firstLine="425" w:firstLineChars="177"/>
        <w:rPr>
          <w:rFonts w:ascii="宋体" w:hAnsi="宋体"/>
          <w:sz w:val="24"/>
        </w:rPr>
      </w:pPr>
      <w:r>
        <w:rPr>
          <w:rFonts w:ascii="宋体" w:hAnsi="宋体"/>
          <w:sz w:val="24"/>
        </w:rPr>
        <w:t>自动防止溶液结晶装置工作原理</w:t>
      </w:r>
      <w:r>
        <w:rPr>
          <w:rFonts w:hint="eastAsia" w:ascii="宋体" w:hAnsi="宋体"/>
          <w:sz w:val="24"/>
        </w:rPr>
        <w:t>。</w:t>
      </w:r>
    </w:p>
    <w:p>
      <w:pPr>
        <w:tabs>
          <w:tab w:val="left" w:pos="142"/>
          <w:tab w:val="left" w:pos="284"/>
          <w:tab w:val="left" w:pos="567"/>
        </w:tabs>
        <w:spacing w:line="400" w:lineRule="exact"/>
        <w:ind w:firstLine="425" w:firstLineChars="177"/>
        <w:rPr>
          <w:rFonts w:ascii="宋体" w:hAnsi="宋体"/>
          <w:sz w:val="24"/>
        </w:rPr>
      </w:pPr>
      <w:r>
        <w:rPr>
          <w:rFonts w:hint="eastAsia" w:ascii="宋体" w:hAnsi="宋体"/>
          <w:sz w:val="24"/>
        </w:rPr>
        <w:t>2</w:t>
      </w:r>
      <w:r>
        <w:rPr>
          <w:rFonts w:ascii="宋体" w:hAnsi="宋体"/>
          <w:sz w:val="24"/>
        </w:rPr>
        <w:t>.2.2</w:t>
      </w:r>
      <w:r>
        <w:rPr>
          <w:rFonts w:hint="eastAsia" w:ascii="宋体" w:hAnsi="宋体"/>
          <w:sz w:val="24"/>
        </w:rPr>
        <w:t>投标人描述投标直燃机</w:t>
      </w:r>
      <w:r>
        <w:rPr>
          <w:rFonts w:ascii="宋体" w:hAnsi="宋体"/>
          <w:sz w:val="24"/>
        </w:rPr>
        <w:t>控制系统是否具备下述功能，具备功能的必须提供控制屏</w:t>
      </w:r>
      <w:r>
        <w:rPr>
          <w:rFonts w:hint="eastAsia" w:ascii="宋体" w:hAnsi="宋体"/>
          <w:sz w:val="24"/>
        </w:rPr>
        <w:t>实景</w:t>
      </w:r>
      <w:r>
        <w:rPr>
          <w:rFonts w:hint="eastAsia" w:ascii="宋体" w:hAnsi="宋体"/>
          <w:sz w:val="24"/>
          <w:lang w:eastAsia="zh-CN"/>
        </w:rPr>
        <w:t>图片</w:t>
      </w:r>
      <w:r>
        <w:rPr>
          <w:rFonts w:hint="eastAsia" w:ascii="宋体" w:hAnsi="宋体"/>
          <w:sz w:val="24"/>
        </w:rPr>
        <w:t>，并</w:t>
      </w:r>
      <w:r>
        <w:rPr>
          <w:rFonts w:ascii="宋体" w:hAnsi="宋体"/>
          <w:sz w:val="24"/>
        </w:rPr>
        <w:t>注明</w:t>
      </w:r>
      <w:r>
        <w:rPr>
          <w:rFonts w:hint="eastAsia" w:ascii="宋体" w:hAnsi="宋体"/>
          <w:sz w:val="24"/>
        </w:rPr>
        <w:t>拥有</w:t>
      </w:r>
      <w:r>
        <w:rPr>
          <w:rFonts w:ascii="宋体" w:hAnsi="宋体"/>
          <w:sz w:val="24"/>
        </w:rPr>
        <w:t>该功能的直燃用户名称和地址</w:t>
      </w:r>
      <w:r>
        <w:rPr>
          <w:rFonts w:hint="eastAsia" w:ascii="宋体" w:hAnsi="宋体"/>
          <w:sz w:val="24"/>
        </w:rPr>
        <w:t>、</w:t>
      </w:r>
      <w:r>
        <w:rPr>
          <w:rFonts w:ascii="宋体" w:hAnsi="宋体"/>
          <w:sz w:val="24"/>
        </w:rPr>
        <w:t>联系方式。</w:t>
      </w:r>
    </w:p>
    <w:p>
      <w:pPr>
        <w:pStyle w:val="45"/>
        <w:numPr>
          <w:ilvl w:val="0"/>
          <w:numId w:val="9"/>
        </w:numPr>
        <w:spacing w:line="280" w:lineRule="exact"/>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工况设定：能通过控制屏实现多种工况的设定，包括制冷、采暖、卫生热水、制冷及采暖、制冷及卫生热水、采暖及卫生热水、制冷采暖及卫生热水，提供同功能机型控制屏操作界面显示工况设定的直燃机用户实景界面图片。</w:t>
      </w:r>
    </w:p>
    <w:p>
      <w:pPr>
        <w:pStyle w:val="45"/>
        <w:numPr>
          <w:ilvl w:val="0"/>
          <w:numId w:val="9"/>
        </w:numPr>
        <w:spacing w:line="280" w:lineRule="exact"/>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能效显示：直燃机可于控制屏上显示实时工作能效，提供同功能机型控制屏操作界面显示能效的图片。</w:t>
      </w:r>
    </w:p>
    <w:p>
      <w:pPr>
        <w:tabs>
          <w:tab w:val="left" w:pos="142"/>
          <w:tab w:val="left" w:pos="284"/>
          <w:tab w:val="left" w:pos="567"/>
        </w:tabs>
        <w:spacing w:line="400" w:lineRule="exact"/>
        <w:ind w:firstLine="425" w:firstLineChars="177"/>
        <w:rPr>
          <w:rFonts w:ascii="宋体" w:hAnsi="宋体"/>
          <w:sz w:val="24"/>
        </w:rPr>
      </w:pPr>
      <w:r>
        <w:rPr>
          <w:rFonts w:ascii="宋体" w:hAnsi="宋体"/>
          <w:sz w:val="24"/>
        </w:rPr>
        <w:t>2.3直燃机可靠及节能性要求</w:t>
      </w:r>
    </w:p>
    <w:tbl>
      <w:tblPr>
        <w:tblStyle w:val="41"/>
        <w:tblW w:w="9747" w:type="dxa"/>
        <w:jc w:val="center"/>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384"/>
        <w:gridCol w:w="8363"/>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1384"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宋体" w:hAnsi="宋体"/>
                <w:sz w:val="24"/>
              </w:rPr>
            </w:pPr>
            <w:r>
              <w:rPr>
                <w:rFonts w:hint="eastAsia" w:ascii="宋体" w:hAnsi="宋体"/>
                <w:sz w:val="24"/>
              </w:rPr>
              <w:t>类别</w:t>
            </w:r>
          </w:p>
        </w:tc>
        <w:tc>
          <w:tcPr>
            <w:tcW w:w="8363"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宋体" w:hAnsi="宋体"/>
                <w:sz w:val="24"/>
              </w:rPr>
            </w:pPr>
            <w:r>
              <w:rPr>
                <w:rFonts w:hint="eastAsia" w:ascii="宋体" w:hAnsi="宋体"/>
                <w:sz w:val="24"/>
              </w:rPr>
              <w:t>说明</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1384"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宋体" w:hAnsi="宋体"/>
                <w:sz w:val="24"/>
              </w:rPr>
            </w:pPr>
            <w:r>
              <w:rPr>
                <w:rFonts w:hint="eastAsia" w:ascii="宋体" w:hAnsi="宋体"/>
                <w:sz w:val="24"/>
              </w:rPr>
              <w:t>燃烧机</w:t>
            </w:r>
          </w:p>
        </w:tc>
        <w:tc>
          <w:tcPr>
            <w:tcW w:w="8363"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宋体" w:hAnsi="宋体"/>
                <w:sz w:val="24"/>
              </w:rPr>
            </w:pPr>
            <w:r>
              <w:rPr>
                <w:rFonts w:hint="eastAsia" w:ascii="宋体" w:hAnsi="宋体"/>
                <w:sz w:val="24"/>
              </w:rPr>
              <w:t>采用比例阀调节，以数字形式直接在控制屏上显示燃烧机实时火力大小。提供控制屏以数字形式显示火力大小的界面图片。</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1384"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宋体" w:hAnsi="宋体"/>
                <w:sz w:val="24"/>
              </w:rPr>
            </w:pPr>
            <w:r>
              <w:rPr>
                <w:rFonts w:hint="eastAsia" w:ascii="宋体" w:hAnsi="宋体"/>
                <w:sz w:val="24"/>
              </w:rPr>
              <w:t>控制屏</w:t>
            </w:r>
          </w:p>
        </w:tc>
        <w:tc>
          <w:tcPr>
            <w:tcW w:w="8363"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宋体" w:hAnsi="宋体"/>
                <w:sz w:val="24"/>
              </w:rPr>
            </w:pPr>
            <w:r>
              <w:rPr>
                <w:rFonts w:hint="eastAsia" w:ascii="宋体" w:hAnsi="宋体"/>
                <w:sz w:val="24"/>
              </w:rPr>
              <w:t>采用工业级触摸式控制屏，控制屏简洁明了，液晶屏显示，并可在机组40m范围内自由移动。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1384" w:type="dxa"/>
            <w:tcBorders>
              <w:top w:val="single" w:color="auto" w:sz="4" w:space="0"/>
              <w:left w:val="single" w:color="auto" w:sz="4" w:space="0"/>
              <w:bottom w:val="single" w:color="auto" w:sz="4" w:space="0"/>
              <w:right w:val="single" w:color="auto" w:sz="4" w:space="0"/>
            </w:tcBorders>
            <w:textDirection w:val="lrTb"/>
            <w:vAlign w:val="top"/>
          </w:tcPr>
          <w:p>
            <w:pPr>
              <w:spacing w:line="400" w:lineRule="exact"/>
              <w:rPr>
                <w:rFonts w:ascii="宋体" w:hAnsi="宋体"/>
                <w:sz w:val="24"/>
              </w:rPr>
            </w:pPr>
            <w:r>
              <w:rPr>
                <w:rFonts w:hint="eastAsia" w:ascii="宋体" w:hAnsi="宋体"/>
                <w:sz w:val="24"/>
                <w:highlight w:val="none"/>
              </w:rPr>
              <w:t>烟垢</w:t>
            </w:r>
            <w:r>
              <w:rPr>
                <w:rFonts w:ascii="宋体" w:hAnsi="宋体"/>
                <w:sz w:val="24"/>
                <w:highlight w:val="none"/>
              </w:rPr>
              <w:t>清洁</w:t>
            </w:r>
          </w:p>
        </w:tc>
        <w:tc>
          <w:tcPr>
            <w:tcW w:w="8363" w:type="dxa"/>
            <w:tcBorders>
              <w:top w:val="single" w:color="auto" w:sz="4" w:space="0"/>
              <w:left w:val="single" w:color="auto" w:sz="4" w:space="0"/>
              <w:bottom w:val="single" w:color="auto" w:sz="4" w:space="0"/>
              <w:right w:val="single" w:color="auto" w:sz="4" w:space="0"/>
            </w:tcBorders>
            <w:textDirection w:val="lrTb"/>
            <w:vAlign w:val="top"/>
          </w:tcPr>
          <w:p>
            <w:pPr>
              <w:spacing w:line="400" w:lineRule="exact"/>
              <w:rPr>
                <w:rFonts w:ascii="宋体" w:hAnsi="宋体"/>
                <w:sz w:val="24"/>
              </w:rPr>
            </w:pPr>
            <w:r>
              <w:rPr>
                <w:rFonts w:hint="eastAsia" w:ascii="宋体" w:hAnsi="宋体"/>
                <w:sz w:val="24"/>
              </w:rPr>
              <w:t>烟垢清洁：直燃机高温发生器结构能确保烟管烟垢易清除，并详细介绍烟垢清除措施</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1384"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宋体" w:hAnsi="宋体"/>
                <w:sz w:val="24"/>
              </w:rPr>
            </w:pPr>
            <w:r>
              <w:rPr>
                <w:rFonts w:hint="eastAsia" w:ascii="宋体" w:hAnsi="宋体"/>
                <w:sz w:val="24"/>
              </w:rPr>
              <w:t>热回收</w:t>
            </w:r>
          </w:p>
        </w:tc>
        <w:tc>
          <w:tcPr>
            <w:tcW w:w="8363"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宋体" w:hAnsi="宋体"/>
                <w:sz w:val="24"/>
              </w:rPr>
            </w:pPr>
            <w:r>
              <w:rPr>
                <w:rFonts w:hint="eastAsia" w:ascii="宋体" w:hAnsi="宋体"/>
                <w:sz w:val="24"/>
              </w:rPr>
              <w:t>排烟温度直燃机</w:t>
            </w:r>
            <w:r>
              <w:rPr>
                <w:rFonts w:ascii="宋体" w:hAnsi="宋体"/>
                <w:sz w:val="24"/>
              </w:rPr>
              <w:t>排烟</w:t>
            </w:r>
            <w:r>
              <w:rPr>
                <w:rFonts w:hint="eastAsia" w:ascii="宋体" w:hAnsi="宋体"/>
                <w:sz w:val="24"/>
              </w:rPr>
              <w:t>制冷</w:t>
            </w:r>
            <w:r>
              <w:rPr>
                <w:rFonts w:ascii="宋体" w:hAnsi="宋体"/>
                <w:sz w:val="24"/>
              </w:rPr>
              <w:t>温度</w:t>
            </w:r>
            <w:r>
              <w:rPr>
                <w:rFonts w:hint="eastAsia" w:ascii="宋体" w:hAnsi="宋体"/>
                <w:sz w:val="24"/>
              </w:rPr>
              <w:t>不高于</w:t>
            </w:r>
            <w:r>
              <w:rPr>
                <w:rFonts w:ascii="宋体" w:hAnsi="宋体"/>
                <w:sz w:val="24"/>
              </w:rPr>
              <w:t>1</w:t>
            </w:r>
            <w:r>
              <w:rPr>
                <w:rFonts w:hint="eastAsia" w:ascii="宋体" w:hAnsi="宋体"/>
                <w:sz w:val="24"/>
              </w:rPr>
              <w:t>70</w:t>
            </w:r>
            <w:r>
              <w:rPr>
                <w:rFonts w:hint="eastAsia" w:ascii="宋体" w:hAnsi="宋体" w:cs="宋体"/>
                <w:sz w:val="24"/>
              </w:rPr>
              <w:t>℃</w:t>
            </w:r>
            <w:r>
              <w:rPr>
                <w:rFonts w:ascii="宋体" w:hAnsi="宋体"/>
                <w:sz w:val="24"/>
              </w:rPr>
              <w:t>，制热排烟温度不高于15</w:t>
            </w:r>
            <w:r>
              <w:rPr>
                <w:rFonts w:hint="eastAsia" w:ascii="宋体" w:hAnsi="宋体"/>
                <w:sz w:val="24"/>
              </w:rPr>
              <w:t>0</w:t>
            </w:r>
            <w:r>
              <w:rPr>
                <w:rFonts w:hint="eastAsia" w:ascii="宋体" w:hAnsi="宋体" w:cs="宋体"/>
                <w:sz w:val="24"/>
              </w:rPr>
              <w:t>℃</w:t>
            </w:r>
            <w:r>
              <w:rPr>
                <w:rFonts w:ascii="宋体" w:hAnsi="宋体"/>
                <w:sz w:val="24"/>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1384"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宋体" w:hAnsi="宋体"/>
                <w:sz w:val="24"/>
              </w:rPr>
            </w:pPr>
            <w:r>
              <w:rPr>
                <w:rFonts w:hint="eastAsia" w:ascii="宋体" w:hAnsi="宋体"/>
                <w:sz w:val="24"/>
              </w:rPr>
              <w:t>高效换热</w:t>
            </w:r>
          </w:p>
        </w:tc>
        <w:tc>
          <w:tcPr>
            <w:tcW w:w="8363"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宋体" w:hAnsi="宋体"/>
                <w:sz w:val="24"/>
              </w:rPr>
            </w:pPr>
            <w:r>
              <w:rPr>
                <w:rFonts w:hint="eastAsia" w:ascii="宋体" w:hAnsi="宋体"/>
                <w:sz w:val="24"/>
              </w:rPr>
              <w:t>高效换热：直燃机溶液热交换器采用高效热交换器（提供机组相关部分实景照片），并详细说明换热器材质和制造工艺，确保耐腐蚀。</w:t>
            </w:r>
          </w:p>
        </w:tc>
      </w:tr>
    </w:tbl>
    <w:p>
      <w:pPr>
        <w:numPr>
          <w:ilvl w:val="0"/>
          <w:numId w:val="0"/>
        </w:numPr>
        <w:tabs>
          <w:tab w:val="left" w:pos="0"/>
          <w:tab w:val="left" w:pos="142"/>
          <w:tab w:val="left" w:pos="284"/>
        </w:tabs>
        <w:spacing w:line="400" w:lineRule="exact"/>
        <w:ind w:leftChars="177"/>
        <w:rPr>
          <w:rFonts w:ascii="宋体" w:hAnsi="宋体"/>
          <w:sz w:val="24"/>
          <w:highlight w:val="none"/>
        </w:rPr>
      </w:pPr>
      <w:r>
        <w:rPr>
          <w:rFonts w:hint="eastAsia" w:ascii="宋体" w:hAnsi="宋体"/>
          <w:b/>
          <w:sz w:val="24"/>
          <w:highlight w:val="none"/>
          <w:lang w:val="en-US" w:eastAsia="zh-CN"/>
        </w:rPr>
        <w:t xml:space="preserve">2.4 </w:t>
      </w:r>
      <w:r>
        <w:rPr>
          <w:rFonts w:ascii="宋体" w:hAnsi="宋体"/>
          <w:sz w:val="24"/>
          <w:highlight w:val="none"/>
        </w:rPr>
        <w:t>外部配线图</w:t>
      </w:r>
      <w:r>
        <w:rPr>
          <w:rFonts w:hint="eastAsia" w:ascii="宋体" w:hAnsi="宋体"/>
          <w:sz w:val="24"/>
          <w:highlight w:val="none"/>
        </w:rPr>
        <w:t>。</w:t>
      </w:r>
      <w:r>
        <w:rPr>
          <w:rFonts w:ascii="宋体" w:hAnsi="宋体"/>
          <w:sz w:val="24"/>
          <w:highlight w:val="none"/>
        </w:rPr>
        <w:t>根据直燃机提供的外部配线图说明</w:t>
      </w:r>
      <w:r>
        <w:rPr>
          <w:rFonts w:hint="eastAsia" w:ascii="宋体" w:hAnsi="宋体"/>
          <w:sz w:val="24"/>
          <w:highlight w:val="none"/>
        </w:rPr>
        <w:t>直燃机控制柜是否具备如下功能：</w:t>
      </w:r>
    </w:p>
    <w:p>
      <w:pPr>
        <w:numPr>
          <w:ilvl w:val="0"/>
          <w:numId w:val="0"/>
        </w:numPr>
        <w:shd w:val="clear" w:color="auto" w:fill="FFFFFF"/>
        <w:tabs>
          <w:tab w:val="left" w:pos="142"/>
          <w:tab w:val="left" w:pos="284"/>
          <w:tab w:val="left" w:pos="567"/>
        </w:tabs>
        <w:spacing w:line="400" w:lineRule="exact"/>
        <w:ind w:leftChars="177"/>
        <w:rPr>
          <w:rFonts w:ascii="宋体" w:hAnsi="宋体"/>
          <w:sz w:val="24"/>
          <w:highlight w:val="none"/>
        </w:rPr>
      </w:pPr>
      <w:r>
        <w:rPr>
          <w:rFonts w:hint="eastAsia" w:ascii="宋体" w:hAnsi="宋体"/>
          <w:sz w:val="24"/>
          <w:highlight w:val="none"/>
          <w:lang w:eastAsia="zh-CN"/>
        </w:rPr>
        <w:t>（</w:t>
      </w:r>
      <w:r>
        <w:rPr>
          <w:rFonts w:hint="eastAsia" w:ascii="宋体" w:hAnsi="宋体"/>
          <w:sz w:val="24"/>
          <w:highlight w:val="none"/>
          <w:lang w:val="en-US" w:eastAsia="zh-CN"/>
        </w:rPr>
        <w:t>1）</w:t>
      </w:r>
      <w:r>
        <w:rPr>
          <w:rFonts w:hint="eastAsia" w:ascii="宋体" w:hAnsi="宋体"/>
          <w:sz w:val="24"/>
          <w:highlight w:val="none"/>
        </w:rPr>
        <w:t>冷却水泵、冷冻水泵、采暖水泵、卫生热水泵、冷却塔风机启停信号</w:t>
      </w:r>
    </w:p>
    <w:p>
      <w:pPr>
        <w:numPr>
          <w:ilvl w:val="0"/>
          <w:numId w:val="0"/>
        </w:numPr>
        <w:shd w:val="clear" w:color="auto" w:fill="FFFFFF"/>
        <w:tabs>
          <w:tab w:val="left" w:pos="142"/>
          <w:tab w:val="left" w:pos="284"/>
          <w:tab w:val="left" w:pos="567"/>
        </w:tabs>
        <w:spacing w:line="400" w:lineRule="exact"/>
        <w:ind w:leftChars="177"/>
        <w:rPr>
          <w:rFonts w:ascii="宋体" w:hAnsi="宋体"/>
          <w:sz w:val="24"/>
          <w:highlight w:val="none"/>
        </w:rPr>
      </w:pPr>
      <w:r>
        <w:rPr>
          <w:rFonts w:hint="eastAsia" w:ascii="宋体" w:hAnsi="宋体"/>
          <w:sz w:val="24"/>
          <w:highlight w:val="none"/>
          <w:lang w:eastAsia="zh-CN"/>
        </w:rPr>
        <w:t>（</w:t>
      </w:r>
      <w:r>
        <w:rPr>
          <w:rFonts w:hint="eastAsia" w:ascii="宋体" w:hAnsi="宋体"/>
          <w:sz w:val="24"/>
          <w:highlight w:val="none"/>
          <w:lang w:val="en-US" w:eastAsia="zh-CN"/>
        </w:rPr>
        <w:t>2）</w:t>
      </w:r>
      <w:r>
        <w:rPr>
          <w:rFonts w:hint="eastAsia" w:ascii="宋体" w:hAnsi="宋体"/>
          <w:sz w:val="24"/>
          <w:highlight w:val="none"/>
        </w:rPr>
        <w:t>冷却水泵变频信号</w:t>
      </w:r>
    </w:p>
    <w:p>
      <w:pPr>
        <w:numPr>
          <w:ilvl w:val="0"/>
          <w:numId w:val="0"/>
        </w:numPr>
        <w:shd w:val="clear" w:color="auto" w:fill="FFFFFF"/>
        <w:tabs>
          <w:tab w:val="left" w:pos="142"/>
          <w:tab w:val="left" w:pos="284"/>
          <w:tab w:val="left" w:pos="567"/>
        </w:tabs>
        <w:spacing w:line="400" w:lineRule="exact"/>
        <w:ind w:leftChars="177"/>
        <w:rPr>
          <w:rFonts w:ascii="宋体" w:hAnsi="宋体"/>
          <w:sz w:val="24"/>
          <w:highlight w:val="none"/>
        </w:rPr>
      </w:pPr>
      <w:r>
        <w:rPr>
          <w:rFonts w:hint="eastAsia" w:ascii="宋体" w:hAnsi="宋体"/>
          <w:sz w:val="24"/>
          <w:highlight w:val="none"/>
          <w:lang w:eastAsia="zh-CN"/>
        </w:rPr>
        <w:t>（</w:t>
      </w:r>
      <w:r>
        <w:rPr>
          <w:rFonts w:hint="eastAsia" w:ascii="宋体" w:hAnsi="宋体"/>
          <w:sz w:val="24"/>
          <w:highlight w:val="none"/>
          <w:lang w:val="en-US" w:eastAsia="zh-CN"/>
        </w:rPr>
        <w:t>3）</w:t>
      </w:r>
      <w:r>
        <w:rPr>
          <w:rFonts w:ascii="宋体" w:hAnsi="宋体"/>
          <w:sz w:val="24"/>
          <w:highlight w:val="none"/>
        </w:rPr>
        <w:t>自动加药装置的除垢防锈剂泵</w:t>
      </w:r>
      <w:r>
        <w:rPr>
          <w:rFonts w:hint="eastAsia" w:ascii="宋体" w:hAnsi="宋体"/>
          <w:sz w:val="24"/>
          <w:highlight w:val="none"/>
        </w:rPr>
        <w:t>、</w:t>
      </w:r>
      <w:r>
        <w:rPr>
          <w:rFonts w:ascii="宋体" w:hAnsi="宋体"/>
          <w:sz w:val="24"/>
          <w:highlight w:val="none"/>
        </w:rPr>
        <w:t>杀菌剂泵启停信号</w:t>
      </w:r>
    </w:p>
    <w:p>
      <w:pPr>
        <w:numPr>
          <w:ilvl w:val="0"/>
          <w:numId w:val="0"/>
        </w:numPr>
        <w:shd w:val="clear" w:color="auto" w:fill="FFFFFF"/>
        <w:tabs>
          <w:tab w:val="left" w:pos="142"/>
          <w:tab w:val="left" w:pos="284"/>
          <w:tab w:val="left" w:pos="567"/>
        </w:tabs>
        <w:spacing w:line="400" w:lineRule="exact"/>
        <w:ind w:leftChars="177"/>
        <w:rPr>
          <w:rFonts w:ascii="宋体" w:hAnsi="宋体"/>
          <w:sz w:val="24"/>
          <w:highlight w:val="none"/>
        </w:rPr>
      </w:pPr>
      <w:r>
        <w:rPr>
          <w:rFonts w:hint="eastAsia" w:ascii="宋体" w:hAnsi="宋体"/>
          <w:sz w:val="24"/>
          <w:highlight w:val="none"/>
          <w:lang w:eastAsia="zh-CN"/>
        </w:rPr>
        <w:t>（</w:t>
      </w:r>
      <w:r>
        <w:rPr>
          <w:rFonts w:hint="eastAsia" w:ascii="宋体" w:hAnsi="宋体"/>
          <w:sz w:val="24"/>
          <w:highlight w:val="none"/>
          <w:lang w:val="en-US" w:eastAsia="zh-CN"/>
        </w:rPr>
        <w:t>4）</w:t>
      </w:r>
      <w:r>
        <w:rPr>
          <w:rFonts w:ascii="宋体" w:hAnsi="宋体"/>
          <w:sz w:val="24"/>
          <w:highlight w:val="none"/>
        </w:rPr>
        <w:t>冷却水</w:t>
      </w:r>
      <w:r>
        <w:rPr>
          <w:rFonts w:hint="eastAsia" w:ascii="宋体" w:hAnsi="宋体"/>
          <w:sz w:val="24"/>
          <w:highlight w:val="none"/>
        </w:rPr>
        <w:t>排</w:t>
      </w:r>
      <w:r>
        <w:rPr>
          <w:rFonts w:ascii="宋体" w:hAnsi="宋体"/>
          <w:sz w:val="24"/>
          <w:highlight w:val="none"/>
        </w:rPr>
        <w:t>水阀启停信号</w:t>
      </w:r>
    </w:p>
    <w:p>
      <w:pPr>
        <w:spacing w:line="400" w:lineRule="exact"/>
        <w:ind w:firstLine="422" w:firstLineChars="175"/>
        <w:rPr>
          <w:rFonts w:ascii="宋体" w:hAnsi="宋体"/>
          <w:b/>
          <w:sz w:val="24"/>
        </w:rPr>
      </w:pPr>
      <w:r>
        <w:rPr>
          <w:rFonts w:hint="eastAsia" w:ascii="宋体" w:hAnsi="宋体"/>
          <w:b/>
          <w:sz w:val="24"/>
        </w:rPr>
        <w:t>（二）、泵组输配系统</w:t>
      </w:r>
    </w:p>
    <w:p>
      <w:pPr>
        <w:numPr>
          <w:ilvl w:val="0"/>
          <w:numId w:val="10"/>
        </w:numPr>
        <w:spacing w:line="400" w:lineRule="exact"/>
        <w:ind w:left="0" w:firstLine="420" w:firstLineChars="175"/>
        <w:rPr>
          <w:rFonts w:ascii="宋体" w:hAnsi="宋体"/>
          <w:sz w:val="24"/>
        </w:rPr>
      </w:pPr>
      <w:r>
        <w:rPr>
          <w:rFonts w:hint="eastAsia" w:ascii="宋体" w:hAnsi="宋体"/>
          <w:sz w:val="24"/>
        </w:rPr>
        <w:t>配置要求</w:t>
      </w:r>
    </w:p>
    <w:p>
      <w:pPr>
        <w:spacing w:line="400" w:lineRule="exact"/>
        <w:ind w:firstLine="420" w:firstLineChars="175"/>
        <w:rPr>
          <w:rFonts w:hint="eastAsia" w:ascii="宋体" w:hAnsi="宋体"/>
          <w:sz w:val="24"/>
        </w:rPr>
      </w:pPr>
      <w:r>
        <w:rPr>
          <w:rFonts w:hint="eastAsia" w:ascii="宋体" w:hAnsi="宋体"/>
          <w:sz w:val="24"/>
        </w:rPr>
        <w:t>1.1根据《公共建筑节能（绿色建筑）设计标准》（DBJ50-052-2013）的5.6.6条，本项目采用“机组配套提供整个水系统联动或一体化控制装置”。</w:t>
      </w:r>
    </w:p>
    <w:p>
      <w:pPr>
        <w:spacing w:line="400" w:lineRule="exact"/>
        <w:ind w:firstLine="420" w:firstLineChars="175"/>
        <w:rPr>
          <w:rFonts w:ascii="宋体" w:hAnsi="宋体"/>
          <w:sz w:val="24"/>
        </w:rPr>
      </w:pPr>
      <w:r>
        <w:rPr>
          <w:rFonts w:ascii="宋体" w:hAnsi="宋体"/>
          <w:sz w:val="24"/>
        </w:rPr>
        <w:t>1.2</w:t>
      </w:r>
      <w:r>
        <w:rPr>
          <w:rFonts w:hint="eastAsia" w:ascii="宋体" w:hAnsi="宋体"/>
          <w:sz w:val="24"/>
        </w:rPr>
        <w:t>投标人在满足</w:t>
      </w:r>
      <w:r>
        <w:rPr>
          <w:rFonts w:ascii="宋体" w:hAnsi="宋体"/>
          <w:sz w:val="24"/>
        </w:rPr>
        <w:t>施工图和</w:t>
      </w:r>
      <w:r>
        <w:rPr>
          <w:rFonts w:hint="eastAsia" w:ascii="宋体" w:hAnsi="宋体"/>
          <w:sz w:val="24"/>
        </w:rPr>
        <w:t>配置清单</w:t>
      </w:r>
      <w:r>
        <w:rPr>
          <w:rFonts w:ascii="宋体" w:hAnsi="宋体"/>
          <w:sz w:val="24"/>
        </w:rPr>
        <w:t>及功能要求</w:t>
      </w:r>
      <w:r>
        <w:rPr>
          <w:rFonts w:hint="eastAsia" w:ascii="宋体" w:hAnsi="宋体"/>
          <w:sz w:val="24"/>
        </w:rPr>
        <w:t>前提下，投标人可以“提供整个水系统一体化控制装置”和</w:t>
      </w:r>
      <w:r>
        <w:rPr>
          <w:rFonts w:ascii="宋体" w:hAnsi="宋体"/>
          <w:sz w:val="24"/>
        </w:rPr>
        <w:t>拼装</w:t>
      </w:r>
      <w:r>
        <w:rPr>
          <w:rFonts w:hint="eastAsia" w:ascii="宋体" w:hAnsi="宋体"/>
          <w:sz w:val="24"/>
        </w:rPr>
        <w:t>泵组系统投标</w:t>
      </w:r>
      <w:r>
        <w:rPr>
          <w:rFonts w:ascii="宋体" w:hAnsi="宋体"/>
          <w:sz w:val="24"/>
        </w:rPr>
        <w:t>，</w:t>
      </w:r>
      <w:r>
        <w:rPr>
          <w:rFonts w:hint="eastAsia" w:ascii="宋体" w:hAnsi="宋体"/>
          <w:sz w:val="24"/>
        </w:rPr>
        <w:t>但须</w:t>
      </w:r>
      <w:r>
        <w:rPr>
          <w:rFonts w:ascii="宋体" w:hAnsi="宋体"/>
          <w:sz w:val="24"/>
        </w:rPr>
        <w:t>提供详细供货清单</w:t>
      </w:r>
      <w:r>
        <w:rPr>
          <w:rFonts w:hint="eastAsia" w:ascii="宋体" w:hAnsi="宋体"/>
          <w:sz w:val="24"/>
        </w:rPr>
        <w:t>及资料样本</w:t>
      </w:r>
      <w:r>
        <w:rPr>
          <w:rFonts w:ascii="宋体" w:hAnsi="宋体"/>
          <w:sz w:val="24"/>
        </w:rPr>
        <w:t>，并保证能</w:t>
      </w:r>
      <w:r>
        <w:rPr>
          <w:rFonts w:hint="eastAsia" w:ascii="宋体" w:hAnsi="宋体"/>
          <w:sz w:val="24"/>
        </w:rPr>
        <w:t>实现</w:t>
      </w:r>
      <w:r>
        <w:rPr>
          <w:rFonts w:ascii="宋体" w:hAnsi="宋体"/>
          <w:sz w:val="24"/>
        </w:rPr>
        <w:t>输配系统</w:t>
      </w:r>
      <w:r>
        <w:rPr>
          <w:rFonts w:hint="eastAsia" w:ascii="宋体" w:hAnsi="宋体"/>
          <w:sz w:val="24"/>
        </w:rPr>
        <w:t>的相应</w:t>
      </w:r>
      <w:r>
        <w:rPr>
          <w:rFonts w:ascii="宋体" w:hAnsi="宋体"/>
          <w:sz w:val="24"/>
        </w:rPr>
        <w:t>功能</w:t>
      </w:r>
      <w:r>
        <w:rPr>
          <w:rFonts w:hint="eastAsia" w:ascii="宋体" w:hAnsi="宋体"/>
          <w:sz w:val="24"/>
        </w:rPr>
        <w:t>且正常工作要求</w:t>
      </w:r>
      <w:r>
        <w:rPr>
          <w:rFonts w:ascii="宋体" w:hAnsi="宋体"/>
          <w:sz w:val="24"/>
        </w:rPr>
        <w:t>。</w:t>
      </w:r>
    </w:p>
    <w:p>
      <w:pPr>
        <w:spacing w:line="400" w:lineRule="exact"/>
        <w:ind w:firstLine="420" w:firstLineChars="175"/>
        <w:rPr>
          <w:rFonts w:ascii="宋体" w:hAnsi="宋体"/>
          <w:sz w:val="24"/>
        </w:rPr>
      </w:pPr>
      <w:r>
        <w:rPr>
          <w:rFonts w:hint="eastAsia" w:ascii="宋体" w:hAnsi="宋体"/>
          <w:sz w:val="24"/>
        </w:rPr>
        <w:t>2、配置清单</w:t>
      </w:r>
    </w:p>
    <w:p>
      <w:pPr>
        <w:spacing w:line="400" w:lineRule="exact"/>
        <w:ind w:firstLine="420" w:firstLineChars="175"/>
        <w:rPr>
          <w:rFonts w:ascii="宋体" w:hAnsi="宋体"/>
          <w:sz w:val="24"/>
        </w:rPr>
      </w:pPr>
      <w:r>
        <w:rPr>
          <w:rFonts w:hint="eastAsia" w:ascii="宋体" w:hAnsi="宋体"/>
          <w:sz w:val="24"/>
        </w:rPr>
        <w:t>泵组输配系统含</w:t>
      </w:r>
      <w:r>
        <w:rPr>
          <w:rFonts w:ascii="宋体" w:hAnsi="宋体"/>
          <w:sz w:val="24"/>
        </w:rPr>
        <w:t>冷却水泵、冷</w:t>
      </w:r>
      <w:r>
        <w:rPr>
          <w:rFonts w:hint="eastAsia" w:ascii="宋体" w:hAnsi="宋体"/>
          <w:sz w:val="24"/>
        </w:rPr>
        <w:t>冻</w:t>
      </w:r>
      <w:r>
        <w:rPr>
          <w:rFonts w:ascii="宋体" w:hAnsi="宋体"/>
          <w:sz w:val="24"/>
        </w:rPr>
        <w:t>水泵、采暖水泵</w:t>
      </w:r>
      <w:r>
        <w:rPr>
          <w:rFonts w:hint="eastAsia" w:ascii="宋体" w:hAnsi="宋体"/>
          <w:sz w:val="24"/>
        </w:rPr>
        <w:t>、</w:t>
      </w:r>
      <w:r>
        <w:rPr>
          <w:rFonts w:ascii="宋体" w:hAnsi="宋体"/>
          <w:sz w:val="24"/>
        </w:rPr>
        <w:t>卫生热水泵</w:t>
      </w:r>
      <w:r>
        <w:rPr>
          <w:rFonts w:hint="eastAsia" w:ascii="宋体" w:hAnsi="宋体"/>
          <w:sz w:val="24"/>
        </w:rPr>
        <w:t>、</w:t>
      </w:r>
      <w:r>
        <w:rPr>
          <w:rFonts w:ascii="宋体" w:hAnsi="宋体"/>
          <w:sz w:val="24"/>
        </w:rPr>
        <w:t>强弱电</w:t>
      </w:r>
      <w:r>
        <w:rPr>
          <w:rFonts w:hint="eastAsia" w:ascii="宋体" w:hAnsi="宋体"/>
          <w:sz w:val="24"/>
        </w:rPr>
        <w:t>配电</w:t>
      </w:r>
      <w:r>
        <w:rPr>
          <w:rFonts w:ascii="宋体" w:hAnsi="宋体"/>
          <w:sz w:val="24"/>
        </w:rPr>
        <w:t>及控制柜、</w:t>
      </w:r>
      <w:r>
        <w:rPr>
          <w:rFonts w:hint="eastAsia" w:ascii="宋体" w:hAnsi="宋体"/>
          <w:sz w:val="24"/>
        </w:rPr>
        <w:t>自动</w:t>
      </w:r>
      <w:r>
        <w:rPr>
          <w:rFonts w:ascii="宋体" w:hAnsi="宋体"/>
          <w:sz w:val="24"/>
        </w:rPr>
        <w:t>加药装置、</w:t>
      </w:r>
      <w:r>
        <w:rPr>
          <w:rFonts w:hint="eastAsia" w:ascii="宋体" w:hAnsi="宋体"/>
          <w:sz w:val="24"/>
        </w:rPr>
        <w:t>能源</w:t>
      </w:r>
      <w:r>
        <w:rPr>
          <w:rFonts w:ascii="宋体" w:hAnsi="宋体"/>
          <w:sz w:val="24"/>
        </w:rPr>
        <w:t>计量系统、控制系统</w:t>
      </w:r>
      <w:r>
        <w:rPr>
          <w:rFonts w:hint="eastAsia" w:ascii="宋体" w:hAnsi="宋体"/>
          <w:sz w:val="24"/>
        </w:rPr>
        <w:t>等</w:t>
      </w:r>
      <w:r>
        <w:rPr>
          <w:rFonts w:ascii="宋体" w:hAnsi="宋体"/>
          <w:sz w:val="24"/>
        </w:rPr>
        <w:t>，</w:t>
      </w:r>
      <w:r>
        <w:rPr>
          <w:rFonts w:hint="eastAsia" w:ascii="宋体" w:hAnsi="宋体"/>
          <w:sz w:val="24"/>
        </w:rPr>
        <w:t>直燃机应和</w:t>
      </w:r>
      <w:r>
        <w:rPr>
          <w:rFonts w:ascii="宋体" w:hAnsi="宋体"/>
          <w:sz w:val="24"/>
        </w:rPr>
        <w:t>输配系统一一对应</w:t>
      </w:r>
      <w:r>
        <w:rPr>
          <w:rFonts w:hint="eastAsia" w:ascii="宋体" w:hAnsi="宋体"/>
          <w:sz w:val="24"/>
        </w:rPr>
        <w:t>。含</w:t>
      </w:r>
      <w:r>
        <w:rPr>
          <w:rFonts w:ascii="宋体" w:hAnsi="宋体"/>
          <w:sz w:val="24"/>
        </w:rPr>
        <w:t>直燃机控制柜</w:t>
      </w:r>
      <w:r>
        <w:rPr>
          <w:rFonts w:hint="eastAsia" w:ascii="宋体" w:hAnsi="宋体"/>
          <w:sz w:val="24"/>
        </w:rPr>
        <w:t>、</w:t>
      </w:r>
      <w:r>
        <w:rPr>
          <w:rFonts w:ascii="宋体" w:hAnsi="宋体"/>
          <w:sz w:val="24"/>
        </w:rPr>
        <w:t>泵组控制柜及控制柜</w:t>
      </w:r>
      <w:r>
        <w:rPr>
          <w:rFonts w:hint="eastAsia" w:ascii="宋体" w:hAnsi="宋体"/>
          <w:sz w:val="24"/>
        </w:rPr>
        <w:t>到</w:t>
      </w:r>
      <w:r>
        <w:rPr>
          <w:rFonts w:ascii="宋体" w:hAnsi="宋体"/>
          <w:sz w:val="24"/>
        </w:rPr>
        <w:t>直燃机、泵组的电源线缆</w:t>
      </w:r>
      <w:r>
        <w:rPr>
          <w:rFonts w:hint="eastAsia" w:ascii="宋体" w:hAnsi="宋体"/>
          <w:sz w:val="24"/>
        </w:rPr>
        <w:t>（不含机房主</w:t>
      </w:r>
      <w:r>
        <w:rPr>
          <w:rFonts w:ascii="宋体" w:hAnsi="宋体"/>
          <w:sz w:val="24"/>
        </w:rPr>
        <w:t>配电柜</w:t>
      </w:r>
      <w:r>
        <w:rPr>
          <w:rFonts w:hint="eastAsia" w:ascii="宋体" w:hAnsi="宋体"/>
          <w:sz w:val="24"/>
        </w:rPr>
        <w:t>-1AP-KT</w:t>
      </w:r>
      <w:r>
        <w:rPr>
          <w:rFonts w:ascii="宋体" w:hAnsi="宋体"/>
          <w:sz w:val="24"/>
        </w:rPr>
        <w:t>进线</w:t>
      </w:r>
      <w:r>
        <w:rPr>
          <w:rFonts w:hint="eastAsia" w:ascii="宋体" w:hAnsi="宋体"/>
          <w:sz w:val="24"/>
        </w:rPr>
        <w:t>，以电施图-1AP-KT为界限，此柜以下均为本次招标内容）</w:t>
      </w:r>
      <w:r>
        <w:rPr>
          <w:rFonts w:ascii="宋体" w:hAnsi="宋体"/>
          <w:sz w:val="24"/>
        </w:rPr>
        <w:t>，同时提供冷却塔控制接口。直燃机</w:t>
      </w:r>
      <w:r>
        <w:rPr>
          <w:rFonts w:hint="eastAsia" w:ascii="宋体" w:hAnsi="宋体"/>
          <w:sz w:val="24"/>
        </w:rPr>
        <w:t>、</w:t>
      </w:r>
      <w:r>
        <w:rPr>
          <w:rFonts w:ascii="宋体" w:hAnsi="宋体"/>
          <w:sz w:val="24"/>
        </w:rPr>
        <w:t>泵组</w:t>
      </w:r>
      <w:r>
        <w:rPr>
          <w:rFonts w:hint="eastAsia" w:ascii="宋体" w:hAnsi="宋体"/>
          <w:sz w:val="24"/>
        </w:rPr>
        <w:t>、</w:t>
      </w:r>
      <w:r>
        <w:rPr>
          <w:rFonts w:ascii="宋体" w:hAnsi="宋体"/>
          <w:sz w:val="24"/>
        </w:rPr>
        <w:t>冷却塔</w:t>
      </w:r>
      <w:r>
        <w:rPr>
          <w:rFonts w:hint="eastAsia" w:ascii="宋体" w:hAnsi="宋体"/>
          <w:sz w:val="24"/>
        </w:rPr>
        <w:t>和冷却水管沟</w:t>
      </w:r>
      <w:r>
        <w:rPr>
          <w:rFonts w:ascii="宋体" w:hAnsi="宋体"/>
          <w:sz w:val="24"/>
        </w:rPr>
        <w:t>的土建基础施工由</w:t>
      </w:r>
      <w:r>
        <w:rPr>
          <w:rFonts w:hint="eastAsia" w:ascii="宋体" w:hAnsi="宋体"/>
          <w:sz w:val="24"/>
        </w:rPr>
        <w:t>本次投</w:t>
      </w:r>
      <w:r>
        <w:rPr>
          <w:rFonts w:ascii="宋体" w:hAnsi="宋体"/>
          <w:sz w:val="24"/>
        </w:rPr>
        <w:t>标人负责</w:t>
      </w:r>
      <w:r>
        <w:rPr>
          <w:rFonts w:hint="eastAsia" w:ascii="宋体" w:hAnsi="宋体"/>
          <w:sz w:val="24"/>
        </w:rPr>
        <w:t>（费用自理）</w:t>
      </w:r>
      <w:r>
        <w:rPr>
          <w:rFonts w:ascii="宋体" w:hAnsi="宋体"/>
          <w:sz w:val="24"/>
        </w:rPr>
        <w:t>，</w:t>
      </w:r>
      <w:r>
        <w:rPr>
          <w:rFonts w:hint="eastAsia" w:ascii="宋体" w:hAnsi="宋体"/>
          <w:sz w:val="24"/>
        </w:rPr>
        <w:t>投标人应提供</w:t>
      </w:r>
      <w:r>
        <w:rPr>
          <w:rFonts w:ascii="宋体" w:hAnsi="宋体"/>
          <w:sz w:val="24"/>
        </w:rPr>
        <w:t>相应设备的</w:t>
      </w:r>
      <w:r>
        <w:rPr>
          <w:rFonts w:hint="eastAsia" w:ascii="宋体" w:hAnsi="宋体"/>
          <w:sz w:val="24"/>
        </w:rPr>
        <w:t>配套</w:t>
      </w:r>
      <w:r>
        <w:rPr>
          <w:rFonts w:ascii="宋体" w:hAnsi="宋体"/>
          <w:sz w:val="24"/>
        </w:rPr>
        <w:t>基础图。</w:t>
      </w:r>
    </w:p>
    <w:p>
      <w:pPr>
        <w:spacing w:line="400" w:lineRule="exact"/>
        <w:ind w:firstLine="420" w:firstLineChars="175"/>
        <w:rPr>
          <w:rFonts w:ascii="宋体" w:hAnsi="宋体"/>
          <w:sz w:val="24"/>
        </w:rPr>
      </w:pPr>
      <w:r>
        <w:rPr>
          <w:rFonts w:hint="eastAsia" w:ascii="宋体" w:hAnsi="宋体"/>
          <w:sz w:val="24"/>
        </w:rPr>
        <w:t>2.1直燃机和泵组输配系统等配置清单</w:t>
      </w:r>
    </w:p>
    <w:tbl>
      <w:tblPr>
        <w:tblStyle w:val="41"/>
        <w:tblW w:w="9498" w:type="dxa"/>
        <w:jc w:val="center"/>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985"/>
        <w:gridCol w:w="6095"/>
        <w:gridCol w:w="708"/>
        <w:gridCol w:w="71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1985" w:type="dxa"/>
            <w:vAlign w:val="center"/>
          </w:tcPr>
          <w:p>
            <w:pPr>
              <w:spacing w:line="400" w:lineRule="exact"/>
              <w:jc w:val="center"/>
              <w:rPr>
                <w:rFonts w:ascii="宋体" w:hAnsi="宋体"/>
                <w:color w:val="000000"/>
                <w:sz w:val="24"/>
              </w:rPr>
            </w:pPr>
            <w:r>
              <w:rPr>
                <w:rFonts w:ascii="宋体" w:hAnsi="宋体"/>
                <w:color w:val="000000"/>
                <w:sz w:val="24"/>
              </w:rPr>
              <w:t>名称</w:t>
            </w:r>
          </w:p>
        </w:tc>
        <w:tc>
          <w:tcPr>
            <w:tcW w:w="6095" w:type="dxa"/>
            <w:vAlign w:val="center"/>
          </w:tcPr>
          <w:p>
            <w:pPr>
              <w:spacing w:line="400" w:lineRule="exact"/>
              <w:rPr>
                <w:rFonts w:ascii="宋体" w:hAnsi="宋体"/>
                <w:color w:val="000000"/>
                <w:sz w:val="24"/>
              </w:rPr>
            </w:pPr>
            <w:r>
              <w:rPr>
                <w:rFonts w:hint="eastAsia" w:ascii="宋体" w:hAnsi="宋体"/>
                <w:color w:val="000000"/>
                <w:sz w:val="24"/>
              </w:rPr>
              <w:t>规格型号</w:t>
            </w:r>
          </w:p>
        </w:tc>
        <w:tc>
          <w:tcPr>
            <w:tcW w:w="708" w:type="dxa"/>
            <w:vAlign w:val="center"/>
          </w:tcPr>
          <w:p>
            <w:pPr>
              <w:spacing w:line="400" w:lineRule="exact"/>
              <w:jc w:val="center"/>
              <w:rPr>
                <w:rFonts w:ascii="宋体" w:hAnsi="宋体"/>
                <w:color w:val="000000"/>
                <w:sz w:val="24"/>
              </w:rPr>
            </w:pPr>
            <w:r>
              <w:rPr>
                <w:rFonts w:ascii="宋体" w:hAnsi="宋体"/>
                <w:color w:val="000000"/>
                <w:sz w:val="24"/>
              </w:rPr>
              <w:t>单位</w:t>
            </w:r>
          </w:p>
        </w:tc>
        <w:tc>
          <w:tcPr>
            <w:tcW w:w="710" w:type="dxa"/>
            <w:vAlign w:val="center"/>
          </w:tcPr>
          <w:p>
            <w:pPr>
              <w:spacing w:line="400" w:lineRule="exact"/>
              <w:jc w:val="center"/>
              <w:rPr>
                <w:rFonts w:ascii="宋体" w:hAnsi="宋体"/>
                <w:color w:val="000000"/>
                <w:sz w:val="24"/>
              </w:rPr>
            </w:pPr>
            <w:r>
              <w:rPr>
                <w:rFonts w:ascii="宋体" w:hAnsi="宋体"/>
                <w:color w:val="000000"/>
                <w:sz w:val="24"/>
              </w:rPr>
              <w:t>数量</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1985" w:type="dxa"/>
            <w:shd w:val="clear" w:color="auto" w:fill="auto"/>
            <w:vAlign w:val="center"/>
          </w:tcPr>
          <w:p>
            <w:pPr>
              <w:spacing w:line="400" w:lineRule="exact"/>
              <w:rPr>
                <w:rFonts w:ascii="宋体" w:hAnsi="宋体"/>
                <w:color w:val="000000"/>
                <w:sz w:val="24"/>
              </w:rPr>
            </w:pPr>
            <w:r>
              <w:rPr>
                <w:rFonts w:hint="eastAsia" w:ascii="宋体" w:hAnsi="宋体"/>
                <w:b/>
                <w:sz w:val="24"/>
              </w:rPr>
              <w:t>※</w:t>
            </w:r>
            <w:r>
              <w:rPr>
                <w:rFonts w:ascii="宋体" w:hAnsi="宋体"/>
                <w:color w:val="000000"/>
                <w:sz w:val="24"/>
              </w:rPr>
              <w:t>冷</w:t>
            </w:r>
            <w:r>
              <w:rPr>
                <w:rFonts w:hint="eastAsia" w:ascii="宋体" w:hAnsi="宋体"/>
                <w:color w:val="000000"/>
                <w:sz w:val="24"/>
              </w:rPr>
              <w:t>冻</w:t>
            </w:r>
            <w:r>
              <w:rPr>
                <w:rFonts w:ascii="宋体" w:hAnsi="宋体"/>
                <w:color w:val="000000"/>
                <w:sz w:val="24"/>
              </w:rPr>
              <w:t>水泵</w:t>
            </w:r>
          </w:p>
        </w:tc>
        <w:tc>
          <w:tcPr>
            <w:tcW w:w="6095" w:type="dxa"/>
            <w:shd w:val="clear" w:color="auto" w:fill="auto"/>
            <w:vAlign w:val="center"/>
          </w:tcPr>
          <w:p>
            <w:pPr>
              <w:spacing w:line="400" w:lineRule="exact"/>
              <w:rPr>
                <w:rFonts w:ascii="宋体" w:hAnsi="宋体"/>
                <w:color w:val="000000"/>
                <w:sz w:val="24"/>
              </w:rPr>
            </w:pPr>
            <w:r>
              <w:rPr>
                <w:rFonts w:hint="eastAsia" w:ascii="宋体" w:hAnsi="宋体"/>
                <w:color w:val="000000"/>
                <w:sz w:val="24"/>
              </w:rPr>
              <w:t>变频水泵，根据实际条件自动控制调速；流量≥185m3/h；扬程≥28mH2O；功率≥20kw且</w:t>
            </w:r>
            <w:r>
              <w:rPr>
                <w:rFonts w:ascii="宋体" w:hAnsi="宋体"/>
                <w:color w:val="000000"/>
                <w:sz w:val="24"/>
              </w:rPr>
              <w:t>≤</w:t>
            </w:r>
            <w:r>
              <w:rPr>
                <w:rFonts w:hint="eastAsia" w:ascii="宋体" w:hAnsi="宋体"/>
                <w:color w:val="000000"/>
                <w:sz w:val="24"/>
              </w:rPr>
              <w:t>65kw；效率≥81%；水泵电机防护等级为IP55，绝缘等级F级；水泵的叶轮、泵轴为不锈钢材质；水泵电机轴承采用进口轴承等知名品牌。且完全能够满足正常工作。</w:t>
            </w:r>
          </w:p>
        </w:tc>
        <w:tc>
          <w:tcPr>
            <w:tcW w:w="708" w:type="dxa"/>
            <w:shd w:val="clear" w:color="000000" w:fill="FFFFFF"/>
            <w:vAlign w:val="center"/>
          </w:tcPr>
          <w:p>
            <w:pPr>
              <w:spacing w:line="400" w:lineRule="exact"/>
              <w:rPr>
                <w:rFonts w:ascii="宋体" w:hAnsi="宋体"/>
                <w:color w:val="000000"/>
                <w:sz w:val="24"/>
              </w:rPr>
            </w:pPr>
            <w:r>
              <w:rPr>
                <w:rFonts w:ascii="宋体" w:hAnsi="宋体"/>
                <w:color w:val="000000"/>
                <w:sz w:val="24"/>
              </w:rPr>
              <w:t>台</w:t>
            </w:r>
          </w:p>
        </w:tc>
        <w:tc>
          <w:tcPr>
            <w:tcW w:w="710" w:type="dxa"/>
            <w:shd w:val="clear" w:color="000000" w:fill="FFFFFF"/>
            <w:vAlign w:val="center"/>
          </w:tcPr>
          <w:p>
            <w:pPr>
              <w:spacing w:line="400" w:lineRule="exact"/>
              <w:rPr>
                <w:rFonts w:ascii="宋体" w:hAnsi="宋体"/>
                <w:color w:val="000000"/>
                <w:sz w:val="24"/>
              </w:rPr>
            </w:pPr>
            <w:r>
              <w:rPr>
                <w:rFonts w:ascii="宋体" w:hAnsi="宋体"/>
                <w:color w:val="000000"/>
                <w:sz w:val="24"/>
              </w:rPr>
              <w:t>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1985" w:type="dxa"/>
            <w:shd w:val="clear" w:color="auto" w:fill="auto"/>
            <w:vAlign w:val="center"/>
          </w:tcPr>
          <w:p>
            <w:pPr>
              <w:spacing w:line="400" w:lineRule="exact"/>
              <w:rPr>
                <w:rFonts w:ascii="宋体" w:hAnsi="宋体"/>
                <w:color w:val="000000"/>
                <w:sz w:val="24"/>
              </w:rPr>
            </w:pPr>
            <w:r>
              <w:rPr>
                <w:rFonts w:hint="eastAsia" w:ascii="宋体" w:hAnsi="宋体"/>
                <w:b/>
                <w:sz w:val="24"/>
              </w:rPr>
              <w:t>※</w:t>
            </w:r>
            <w:r>
              <w:rPr>
                <w:rFonts w:ascii="宋体" w:hAnsi="宋体"/>
                <w:color w:val="000000"/>
                <w:sz w:val="24"/>
              </w:rPr>
              <w:t>冷却水泵</w:t>
            </w:r>
          </w:p>
        </w:tc>
        <w:tc>
          <w:tcPr>
            <w:tcW w:w="6095" w:type="dxa"/>
            <w:shd w:val="clear" w:color="auto" w:fill="auto"/>
            <w:vAlign w:val="center"/>
          </w:tcPr>
          <w:p>
            <w:pPr>
              <w:spacing w:line="400" w:lineRule="exact"/>
              <w:rPr>
                <w:rFonts w:ascii="宋体" w:hAnsi="宋体"/>
                <w:color w:val="000000"/>
                <w:sz w:val="24"/>
              </w:rPr>
            </w:pPr>
            <w:r>
              <w:rPr>
                <w:rFonts w:hint="eastAsia" w:ascii="宋体" w:hAnsi="宋体"/>
                <w:color w:val="000000"/>
                <w:sz w:val="24"/>
              </w:rPr>
              <w:t>变频水泵，根据实际条件自动控制调速，流量≥315m3/h；扬程≥16mH2O；功率≥20kw且</w:t>
            </w:r>
            <w:r>
              <w:rPr>
                <w:rFonts w:ascii="宋体" w:hAnsi="宋体"/>
                <w:color w:val="000000"/>
                <w:sz w:val="24"/>
              </w:rPr>
              <w:t>≤</w:t>
            </w:r>
            <w:r>
              <w:rPr>
                <w:rFonts w:hint="eastAsia" w:ascii="宋体" w:hAnsi="宋体"/>
                <w:color w:val="000000"/>
                <w:sz w:val="24"/>
              </w:rPr>
              <w:t>65kw；效率≥71%；水泵电机防护等级为IP55，绝缘等级F级；水泵的叶轮、泵轴为不锈钢材质；水泵电机轴承采用进口轴承等知名品牌。且完全能够满足正常工作</w:t>
            </w:r>
          </w:p>
        </w:tc>
        <w:tc>
          <w:tcPr>
            <w:tcW w:w="708" w:type="dxa"/>
            <w:shd w:val="clear" w:color="000000" w:fill="FFFFFF"/>
            <w:vAlign w:val="center"/>
          </w:tcPr>
          <w:p>
            <w:pPr>
              <w:spacing w:line="400" w:lineRule="exact"/>
              <w:rPr>
                <w:rFonts w:ascii="宋体" w:hAnsi="宋体"/>
                <w:color w:val="000000"/>
                <w:sz w:val="24"/>
              </w:rPr>
            </w:pPr>
            <w:r>
              <w:rPr>
                <w:rFonts w:ascii="宋体" w:hAnsi="宋体"/>
                <w:color w:val="000000"/>
                <w:sz w:val="24"/>
              </w:rPr>
              <w:t>台</w:t>
            </w:r>
          </w:p>
        </w:tc>
        <w:tc>
          <w:tcPr>
            <w:tcW w:w="710" w:type="dxa"/>
            <w:shd w:val="clear" w:color="000000" w:fill="FFFFFF"/>
            <w:vAlign w:val="center"/>
          </w:tcPr>
          <w:p>
            <w:pPr>
              <w:spacing w:line="400" w:lineRule="exact"/>
              <w:rPr>
                <w:rFonts w:ascii="宋体" w:hAnsi="宋体"/>
                <w:color w:val="000000"/>
                <w:sz w:val="24"/>
              </w:rPr>
            </w:pPr>
            <w:r>
              <w:rPr>
                <w:rFonts w:ascii="宋体" w:hAnsi="宋体"/>
                <w:color w:val="000000"/>
                <w:sz w:val="24"/>
              </w:rPr>
              <w:t>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1985" w:type="dxa"/>
            <w:shd w:val="clear" w:color="auto" w:fill="auto"/>
            <w:vAlign w:val="center"/>
          </w:tcPr>
          <w:p>
            <w:pPr>
              <w:spacing w:line="400" w:lineRule="exact"/>
              <w:rPr>
                <w:rFonts w:ascii="宋体" w:hAnsi="宋体"/>
                <w:color w:val="000000"/>
                <w:sz w:val="24"/>
              </w:rPr>
            </w:pPr>
            <w:r>
              <w:rPr>
                <w:rFonts w:hint="eastAsia" w:ascii="宋体" w:hAnsi="宋体"/>
                <w:b/>
                <w:sz w:val="24"/>
              </w:rPr>
              <w:t>※</w:t>
            </w:r>
            <w:r>
              <w:rPr>
                <w:rFonts w:ascii="宋体" w:hAnsi="宋体"/>
                <w:color w:val="000000"/>
                <w:sz w:val="24"/>
              </w:rPr>
              <w:t>卫生热水泵</w:t>
            </w:r>
          </w:p>
        </w:tc>
        <w:tc>
          <w:tcPr>
            <w:tcW w:w="6095" w:type="dxa"/>
            <w:shd w:val="clear" w:color="auto" w:fill="auto"/>
            <w:vAlign w:val="center"/>
          </w:tcPr>
          <w:p>
            <w:pPr>
              <w:spacing w:line="400" w:lineRule="exact"/>
              <w:rPr>
                <w:rFonts w:ascii="宋体" w:hAnsi="宋体"/>
                <w:color w:val="000000"/>
                <w:sz w:val="24"/>
              </w:rPr>
            </w:pPr>
            <w:r>
              <w:rPr>
                <w:rFonts w:hint="eastAsia" w:ascii="宋体" w:hAnsi="宋体"/>
                <w:color w:val="000000"/>
                <w:sz w:val="24"/>
              </w:rPr>
              <w:t>变频水泵，根据实际条件自动控制调速，流量≥21.5m3/h；扬程≥15mH2O；功率≥2.2kw且</w:t>
            </w:r>
            <w:r>
              <w:rPr>
                <w:rFonts w:ascii="宋体" w:hAnsi="宋体"/>
                <w:color w:val="000000"/>
                <w:sz w:val="24"/>
              </w:rPr>
              <w:t>≤</w:t>
            </w:r>
            <w:r>
              <w:rPr>
                <w:rFonts w:hint="eastAsia" w:ascii="宋体" w:hAnsi="宋体"/>
                <w:color w:val="000000"/>
                <w:sz w:val="24"/>
              </w:rPr>
              <w:t>65kw；效率≥70%；水泵电机防护等级为IP55，绝缘等级F级；水泵的叶轮、泵轴为不锈钢材质；水泵电机轴承采用进口轴承等知名品牌。且完全能够满足正常工作</w:t>
            </w:r>
          </w:p>
        </w:tc>
        <w:tc>
          <w:tcPr>
            <w:tcW w:w="708" w:type="dxa"/>
            <w:shd w:val="clear" w:color="000000" w:fill="FFFFFF"/>
            <w:vAlign w:val="center"/>
          </w:tcPr>
          <w:p>
            <w:pPr>
              <w:spacing w:line="400" w:lineRule="exact"/>
              <w:rPr>
                <w:rFonts w:ascii="宋体" w:hAnsi="宋体"/>
                <w:color w:val="000000"/>
                <w:sz w:val="24"/>
              </w:rPr>
            </w:pPr>
            <w:r>
              <w:rPr>
                <w:rFonts w:ascii="宋体" w:hAnsi="宋体"/>
                <w:color w:val="000000"/>
                <w:sz w:val="24"/>
              </w:rPr>
              <w:t>台</w:t>
            </w:r>
          </w:p>
        </w:tc>
        <w:tc>
          <w:tcPr>
            <w:tcW w:w="710" w:type="dxa"/>
            <w:shd w:val="clear" w:color="000000" w:fill="FFFFFF"/>
            <w:vAlign w:val="center"/>
          </w:tcPr>
          <w:p>
            <w:pPr>
              <w:spacing w:line="400" w:lineRule="exact"/>
              <w:rPr>
                <w:rFonts w:ascii="宋体" w:hAnsi="宋体"/>
                <w:color w:val="000000"/>
                <w:sz w:val="24"/>
              </w:rPr>
            </w:pPr>
            <w:r>
              <w:rPr>
                <w:rFonts w:ascii="宋体" w:hAnsi="宋体"/>
                <w:color w:val="000000"/>
                <w:sz w:val="24"/>
              </w:rPr>
              <w:t>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1985" w:type="dxa"/>
            <w:shd w:val="clear" w:color="auto" w:fill="auto"/>
            <w:vAlign w:val="center"/>
          </w:tcPr>
          <w:p>
            <w:pPr>
              <w:spacing w:line="400" w:lineRule="exact"/>
              <w:rPr>
                <w:rFonts w:ascii="宋体" w:hAnsi="宋体"/>
                <w:color w:val="000000"/>
                <w:sz w:val="24"/>
              </w:rPr>
            </w:pPr>
            <w:r>
              <w:rPr>
                <w:rFonts w:ascii="宋体" w:hAnsi="宋体"/>
                <w:color w:val="000000"/>
                <w:sz w:val="24"/>
              </w:rPr>
              <w:t>阻尼减震器</w:t>
            </w:r>
          </w:p>
        </w:tc>
        <w:tc>
          <w:tcPr>
            <w:tcW w:w="6095" w:type="dxa"/>
            <w:shd w:val="clear" w:color="auto" w:fill="auto"/>
            <w:vAlign w:val="center"/>
          </w:tcPr>
          <w:p>
            <w:pPr>
              <w:spacing w:line="400" w:lineRule="exact"/>
              <w:rPr>
                <w:rFonts w:ascii="宋体" w:hAnsi="宋体"/>
                <w:color w:val="000000"/>
                <w:sz w:val="24"/>
              </w:rPr>
            </w:pPr>
            <w:r>
              <w:rPr>
                <w:rFonts w:ascii="宋体" w:hAnsi="宋体"/>
                <w:color w:val="000000"/>
                <w:sz w:val="24"/>
              </w:rPr>
              <w:t>冷却水、冷</w:t>
            </w:r>
            <w:r>
              <w:rPr>
                <w:rFonts w:hint="eastAsia" w:ascii="宋体" w:hAnsi="宋体"/>
                <w:color w:val="000000"/>
                <w:sz w:val="24"/>
              </w:rPr>
              <w:t>冻</w:t>
            </w:r>
            <w:r>
              <w:rPr>
                <w:rFonts w:ascii="宋体" w:hAnsi="宋体"/>
                <w:color w:val="000000"/>
                <w:sz w:val="24"/>
              </w:rPr>
              <w:t>水、卫生热水泵配置，每台泵4个</w:t>
            </w:r>
          </w:p>
        </w:tc>
        <w:tc>
          <w:tcPr>
            <w:tcW w:w="708" w:type="dxa"/>
            <w:shd w:val="clear" w:color="000000" w:fill="FFFFFF"/>
            <w:vAlign w:val="center"/>
          </w:tcPr>
          <w:p>
            <w:pPr>
              <w:spacing w:line="400" w:lineRule="exact"/>
              <w:rPr>
                <w:rFonts w:ascii="宋体" w:hAnsi="宋体"/>
                <w:color w:val="000000"/>
                <w:sz w:val="24"/>
              </w:rPr>
            </w:pPr>
            <w:r>
              <w:rPr>
                <w:rFonts w:ascii="宋体" w:hAnsi="宋体"/>
                <w:color w:val="000000"/>
                <w:sz w:val="24"/>
              </w:rPr>
              <w:t>个</w:t>
            </w:r>
          </w:p>
        </w:tc>
        <w:tc>
          <w:tcPr>
            <w:tcW w:w="710" w:type="dxa"/>
            <w:shd w:val="clear" w:color="000000" w:fill="FFFFFF"/>
            <w:vAlign w:val="center"/>
          </w:tcPr>
          <w:p>
            <w:pPr>
              <w:spacing w:line="400" w:lineRule="exact"/>
              <w:rPr>
                <w:rFonts w:ascii="宋体" w:hAnsi="宋体"/>
                <w:color w:val="000000"/>
                <w:sz w:val="24"/>
              </w:rPr>
            </w:pPr>
            <w:r>
              <w:rPr>
                <w:rFonts w:hint="eastAsia" w:ascii="宋体" w:hAnsi="宋体"/>
                <w:color w:val="000000"/>
                <w:sz w:val="24"/>
              </w:rPr>
              <w:t>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1985" w:type="dxa"/>
            <w:shd w:val="clear" w:color="auto" w:fill="auto"/>
            <w:vAlign w:val="center"/>
          </w:tcPr>
          <w:p>
            <w:pPr>
              <w:spacing w:line="400" w:lineRule="exact"/>
              <w:rPr>
                <w:rFonts w:ascii="宋体" w:hAnsi="宋体"/>
                <w:color w:val="000000"/>
                <w:sz w:val="24"/>
              </w:rPr>
            </w:pPr>
            <w:r>
              <w:rPr>
                <w:rFonts w:ascii="宋体" w:hAnsi="宋体"/>
                <w:color w:val="000000"/>
                <w:sz w:val="24"/>
              </w:rPr>
              <w:t>低阻力过滤集箱</w:t>
            </w:r>
          </w:p>
        </w:tc>
        <w:tc>
          <w:tcPr>
            <w:tcW w:w="6095" w:type="dxa"/>
            <w:shd w:val="clear" w:color="auto" w:fill="auto"/>
            <w:vAlign w:val="center"/>
          </w:tcPr>
          <w:p>
            <w:pPr>
              <w:spacing w:line="400" w:lineRule="exact"/>
              <w:rPr>
                <w:rFonts w:ascii="宋体" w:hAnsi="宋体"/>
                <w:color w:val="000000"/>
                <w:sz w:val="24"/>
              </w:rPr>
            </w:pPr>
            <w:r>
              <w:rPr>
                <w:rFonts w:ascii="宋体" w:hAnsi="宋体"/>
                <w:color w:val="000000"/>
                <w:sz w:val="24"/>
              </w:rPr>
              <w:t>冷却水低阻力过滤集箱DN400，压力损失≤</w:t>
            </w:r>
            <w:r>
              <w:rPr>
                <w:rFonts w:hint="eastAsia" w:ascii="宋体" w:hAnsi="宋体"/>
                <w:color w:val="000000"/>
                <w:sz w:val="24"/>
              </w:rPr>
              <w:t>3</w:t>
            </w:r>
            <w:r>
              <w:rPr>
                <w:rFonts w:ascii="宋体" w:hAnsi="宋体"/>
                <w:color w:val="000000"/>
                <w:sz w:val="24"/>
              </w:rPr>
              <w:t>kPa</w:t>
            </w:r>
          </w:p>
        </w:tc>
        <w:tc>
          <w:tcPr>
            <w:tcW w:w="708" w:type="dxa"/>
            <w:shd w:val="clear" w:color="000000" w:fill="FFFFFF"/>
            <w:vAlign w:val="center"/>
          </w:tcPr>
          <w:p>
            <w:pPr>
              <w:spacing w:line="400" w:lineRule="exact"/>
              <w:rPr>
                <w:rFonts w:ascii="宋体" w:hAnsi="宋体"/>
                <w:color w:val="000000"/>
                <w:sz w:val="24"/>
              </w:rPr>
            </w:pPr>
            <w:r>
              <w:rPr>
                <w:rFonts w:ascii="宋体" w:hAnsi="宋体"/>
                <w:color w:val="000000"/>
                <w:sz w:val="24"/>
              </w:rPr>
              <w:t>台</w:t>
            </w:r>
          </w:p>
        </w:tc>
        <w:tc>
          <w:tcPr>
            <w:tcW w:w="710" w:type="dxa"/>
            <w:shd w:val="clear" w:color="000000" w:fill="FFFFFF"/>
            <w:vAlign w:val="center"/>
          </w:tcPr>
          <w:p>
            <w:pPr>
              <w:spacing w:line="400" w:lineRule="exact"/>
              <w:rPr>
                <w:rFonts w:ascii="宋体" w:hAnsi="宋体"/>
                <w:color w:val="000000"/>
                <w:sz w:val="24"/>
              </w:rPr>
            </w:pPr>
            <w:r>
              <w:rPr>
                <w:rFonts w:ascii="宋体" w:hAnsi="宋体"/>
                <w:color w:val="000000"/>
                <w:sz w:val="24"/>
              </w:rPr>
              <w:t>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1985" w:type="dxa"/>
            <w:shd w:val="clear" w:color="auto" w:fill="auto"/>
            <w:vAlign w:val="center"/>
          </w:tcPr>
          <w:p>
            <w:pPr>
              <w:spacing w:line="400" w:lineRule="exact"/>
              <w:rPr>
                <w:rFonts w:ascii="宋体" w:hAnsi="宋体"/>
                <w:color w:val="000000"/>
                <w:sz w:val="24"/>
              </w:rPr>
            </w:pPr>
            <w:r>
              <w:rPr>
                <w:rFonts w:ascii="宋体" w:hAnsi="宋体"/>
                <w:color w:val="000000"/>
                <w:sz w:val="24"/>
              </w:rPr>
              <w:t>低阻力过滤集箱</w:t>
            </w:r>
          </w:p>
        </w:tc>
        <w:tc>
          <w:tcPr>
            <w:tcW w:w="6095" w:type="dxa"/>
            <w:shd w:val="clear" w:color="auto" w:fill="auto"/>
            <w:vAlign w:val="center"/>
          </w:tcPr>
          <w:p>
            <w:pPr>
              <w:spacing w:line="400" w:lineRule="exact"/>
              <w:rPr>
                <w:rFonts w:ascii="宋体" w:hAnsi="宋体"/>
                <w:color w:val="000000"/>
                <w:sz w:val="24"/>
              </w:rPr>
            </w:pPr>
            <w:r>
              <w:rPr>
                <w:rFonts w:ascii="宋体" w:hAnsi="宋体"/>
                <w:color w:val="000000"/>
                <w:sz w:val="24"/>
              </w:rPr>
              <w:t>冷</w:t>
            </w:r>
            <w:r>
              <w:rPr>
                <w:rFonts w:hint="eastAsia" w:ascii="宋体" w:hAnsi="宋体"/>
                <w:color w:val="000000"/>
                <w:sz w:val="24"/>
              </w:rPr>
              <w:t>冻</w:t>
            </w:r>
            <w:r>
              <w:rPr>
                <w:rFonts w:ascii="宋体" w:hAnsi="宋体"/>
                <w:color w:val="000000"/>
                <w:sz w:val="24"/>
              </w:rPr>
              <w:t>水低阻力过滤集箱DN300，压力损失≤</w:t>
            </w:r>
            <w:r>
              <w:rPr>
                <w:rFonts w:hint="eastAsia" w:ascii="宋体" w:hAnsi="宋体"/>
                <w:color w:val="000000"/>
                <w:sz w:val="24"/>
              </w:rPr>
              <w:t>3</w:t>
            </w:r>
            <w:r>
              <w:rPr>
                <w:rFonts w:ascii="宋体" w:hAnsi="宋体"/>
                <w:color w:val="000000"/>
                <w:sz w:val="24"/>
              </w:rPr>
              <w:t>kPa</w:t>
            </w:r>
          </w:p>
        </w:tc>
        <w:tc>
          <w:tcPr>
            <w:tcW w:w="708" w:type="dxa"/>
            <w:shd w:val="clear" w:color="000000" w:fill="FFFFFF"/>
            <w:vAlign w:val="center"/>
          </w:tcPr>
          <w:p>
            <w:pPr>
              <w:spacing w:line="400" w:lineRule="exact"/>
              <w:rPr>
                <w:rFonts w:ascii="宋体" w:hAnsi="宋体"/>
                <w:color w:val="000000"/>
                <w:sz w:val="24"/>
              </w:rPr>
            </w:pPr>
            <w:r>
              <w:rPr>
                <w:rFonts w:ascii="宋体" w:hAnsi="宋体"/>
                <w:color w:val="000000"/>
                <w:sz w:val="24"/>
              </w:rPr>
              <w:t>台</w:t>
            </w:r>
          </w:p>
        </w:tc>
        <w:tc>
          <w:tcPr>
            <w:tcW w:w="710" w:type="dxa"/>
            <w:shd w:val="clear" w:color="000000" w:fill="FFFFFF"/>
            <w:vAlign w:val="center"/>
          </w:tcPr>
          <w:p>
            <w:pPr>
              <w:spacing w:line="400" w:lineRule="exact"/>
              <w:rPr>
                <w:rFonts w:ascii="宋体" w:hAnsi="宋体"/>
                <w:color w:val="000000"/>
                <w:sz w:val="24"/>
              </w:rPr>
            </w:pPr>
            <w:r>
              <w:rPr>
                <w:rFonts w:ascii="宋体" w:hAnsi="宋体"/>
                <w:color w:val="000000"/>
                <w:sz w:val="24"/>
              </w:rPr>
              <w:t>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1985" w:type="dxa"/>
            <w:shd w:val="clear" w:color="auto" w:fill="auto"/>
            <w:vAlign w:val="center"/>
          </w:tcPr>
          <w:p>
            <w:pPr>
              <w:spacing w:line="400" w:lineRule="exact"/>
              <w:rPr>
                <w:rFonts w:ascii="宋体" w:hAnsi="宋体"/>
                <w:color w:val="000000"/>
                <w:sz w:val="24"/>
              </w:rPr>
            </w:pPr>
            <w:r>
              <w:rPr>
                <w:rFonts w:ascii="宋体" w:hAnsi="宋体"/>
                <w:color w:val="000000"/>
                <w:sz w:val="24"/>
              </w:rPr>
              <w:t>低阻力过滤集箱</w:t>
            </w:r>
          </w:p>
        </w:tc>
        <w:tc>
          <w:tcPr>
            <w:tcW w:w="6095" w:type="dxa"/>
            <w:shd w:val="clear" w:color="auto" w:fill="auto"/>
            <w:vAlign w:val="center"/>
          </w:tcPr>
          <w:p>
            <w:pPr>
              <w:spacing w:line="400" w:lineRule="exact"/>
              <w:rPr>
                <w:rFonts w:ascii="宋体" w:hAnsi="宋体"/>
                <w:color w:val="000000"/>
                <w:sz w:val="24"/>
              </w:rPr>
            </w:pPr>
            <w:r>
              <w:rPr>
                <w:rFonts w:ascii="宋体" w:hAnsi="宋体"/>
                <w:color w:val="000000"/>
                <w:sz w:val="24"/>
              </w:rPr>
              <w:t>卫生热水低阻力过滤集箱DN150，压力损失≤</w:t>
            </w:r>
            <w:r>
              <w:rPr>
                <w:rFonts w:hint="eastAsia" w:ascii="宋体" w:hAnsi="宋体"/>
                <w:color w:val="000000"/>
                <w:sz w:val="24"/>
              </w:rPr>
              <w:t>3</w:t>
            </w:r>
            <w:r>
              <w:rPr>
                <w:rFonts w:ascii="宋体" w:hAnsi="宋体"/>
                <w:color w:val="000000"/>
                <w:sz w:val="24"/>
              </w:rPr>
              <w:t>kPa</w:t>
            </w:r>
          </w:p>
        </w:tc>
        <w:tc>
          <w:tcPr>
            <w:tcW w:w="708" w:type="dxa"/>
            <w:shd w:val="clear" w:color="000000" w:fill="FFFFFF"/>
            <w:vAlign w:val="center"/>
          </w:tcPr>
          <w:p>
            <w:pPr>
              <w:spacing w:line="400" w:lineRule="exact"/>
              <w:rPr>
                <w:rFonts w:ascii="宋体" w:hAnsi="宋体"/>
                <w:color w:val="000000"/>
                <w:sz w:val="24"/>
              </w:rPr>
            </w:pPr>
            <w:r>
              <w:rPr>
                <w:rFonts w:ascii="宋体" w:hAnsi="宋体"/>
                <w:color w:val="000000"/>
                <w:sz w:val="24"/>
              </w:rPr>
              <w:t>台</w:t>
            </w:r>
          </w:p>
        </w:tc>
        <w:tc>
          <w:tcPr>
            <w:tcW w:w="710" w:type="dxa"/>
            <w:shd w:val="clear" w:color="000000" w:fill="FFFFFF"/>
            <w:vAlign w:val="center"/>
          </w:tcPr>
          <w:p>
            <w:pPr>
              <w:spacing w:line="400" w:lineRule="exact"/>
              <w:rPr>
                <w:rFonts w:ascii="宋体" w:hAnsi="宋体"/>
                <w:color w:val="000000"/>
                <w:sz w:val="24"/>
              </w:rPr>
            </w:pPr>
            <w:r>
              <w:rPr>
                <w:rFonts w:ascii="宋体" w:hAnsi="宋体"/>
                <w:color w:val="000000"/>
                <w:sz w:val="24"/>
              </w:rPr>
              <w:t>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1985" w:type="dxa"/>
            <w:shd w:val="clear" w:color="auto" w:fill="auto"/>
            <w:vAlign w:val="center"/>
          </w:tcPr>
          <w:p>
            <w:pPr>
              <w:spacing w:line="400" w:lineRule="exact"/>
              <w:rPr>
                <w:rFonts w:ascii="宋体" w:hAnsi="宋体"/>
                <w:color w:val="000000"/>
                <w:sz w:val="24"/>
              </w:rPr>
            </w:pPr>
            <w:r>
              <w:rPr>
                <w:rFonts w:ascii="宋体" w:hAnsi="宋体"/>
                <w:color w:val="000000"/>
                <w:sz w:val="24"/>
              </w:rPr>
              <w:t>低阻力止回阀</w:t>
            </w:r>
          </w:p>
        </w:tc>
        <w:tc>
          <w:tcPr>
            <w:tcW w:w="6095" w:type="dxa"/>
            <w:shd w:val="clear" w:color="auto" w:fill="auto"/>
            <w:vAlign w:val="center"/>
          </w:tcPr>
          <w:p>
            <w:pPr>
              <w:spacing w:line="400" w:lineRule="exact"/>
              <w:rPr>
                <w:rFonts w:ascii="宋体" w:hAnsi="宋体"/>
                <w:color w:val="000000"/>
                <w:sz w:val="24"/>
              </w:rPr>
            </w:pPr>
            <w:r>
              <w:rPr>
                <w:rFonts w:ascii="宋体" w:hAnsi="宋体"/>
                <w:color w:val="000000"/>
                <w:sz w:val="24"/>
              </w:rPr>
              <w:t>冷却水低阻力止回阀DN400，压力损失≤</w:t>
            </w:r>
            <w:r>
              <w:rPr>
                <w:rFonts w:hint="eastAsia" w:ascii="宋体" w:hAnsi="宋体"/>
                <w:color w:val="000000"/>
                <w:sz w:val="24"/>
              </w:rPr>
              <w:t>3</w:t>
            </w:r>
            <w:r>
              <w:rPr>
                <w:rFonts w:ascii="宋体" w:hAnsi="宋体"/>
                <w:color w:val="000000"/>
                <w:sz w:val="24"/>
              </w:rPr>
              <w:t>kPa</w:t>
            </w:r>
          </w:p>
        </w:tc>
        <w:tc>
          <w:tcPr>
            <w:tcW w:w="708" w:type="dxa"/>
            <w:shd w:val="clear" w:color="000000" w:fill="FFFFFF"/>
            <w:vAlign w:val="center"/>
          </w:tcPr>
          <w:p>
            <w:pPr>
              <w:spacing w:line="400" w:lineRule="exact"/>
              <w:rPr>
                <w:rFonts w:ascii="宋体" w:hAnsi="宋体"/>
                <w:color w:val="000000"/>
                <w:sz w:val="24"/>
              </w:rPr>
            </w:pPr>
            <w:r>
              <w:rPr>
                <w:rFonts w:ascii="宋体" w:hAnsi="宋体"/>
                <w:color w:val="000000"/>
                <w:sz w:val="24"/>
              </w:rPr>
              <w:t>台</w:t>
            </w:r>
          </w:p>
        </w:tc>
        <w:tc>
          <w:tcPr>
            <w:tcW w:w="710" w:type="dxa"/>
            <w:shd w:val="clear" w:color="000000" w:fill="FFFFFF"/>
            <w:vAlign w:val="center"/>
          </w:tcPr>
          <w:p>
            <w:pPr>
              <w:spacing w:line="400" w:lineRule="exact"/>
              <w:rPr>
                <w:rFonts w:ascii="宋体" w:hAnsi="宋体"/>
                <w:color w:val="000000"/>
                <w:sz w:val="24"/>
              </w:rPr>
            </w:pPr>
            <w:r>
              <w:rPr>
                <w:rFonts w:ascii="宋体" w:hAnsi="宋体"/>
                <w:color w:val="000000"/>
                <w:sz w:val="24"/>
              </w:rPr>
              <w:t>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1985" w:type="dxa"/>
            <w:shd w:val="clear" w:color="auto" w:fill="auto"/>
            <w:vAlign w:val="center"/>
          </w:tcPr>
          <w:p>
            <w:pPr>
              <w:spacing w:line="400" w:lineRule="exact"/>
              <w:rPr>
                <w:rFonts w:ascii="宋体" w:hAnsi="宋体"/>
                <w:color w:val="000000"/>
                <w:sz w:val="24"/>
              </w:rPr>
            </w:pPr>
            <w:r>
              <w:rPr>
                <w:rFonts w:ascii="宋体" w:hAnsi="宋体"/>
                <w:color w:val="000000"/>
                <w:sz w:val="24"/>
              </w:rPr>
              <w:t>低阻力止回阀</w:t>
            </w:r>
          </w:p>
        </w:tc>
        <w:tc>
          <w:tcPr>
            <w:tcW w:w="6095" w:type="dxa"/>
            <w:shd w:val="clear" w:color="auto" w:fill="auto"/>
            <w:vAlign w:val="center"/>
          </w:tcPr>
          <w:p>
            <w:pPr>
              <w:spacing w:line="400" w:lineRule="exact"/>
              <w:rPr>
                <w:rFonts w:ascii="宋体" w:hAnsi="宋体"/>
                <w:color w:val="000000"/>
                <w:sz w:val="24"/>
              </w:rPr>
            </w:pPr>
            <w:r>
              <w:rPr>
                <w:rFonts w:ascii="宋体" w:hAnsi="宋体"/>
                <w:color w:val="000000"/>
                <w:sz w:val="24"/>
              </w:rPr>
              <w:t>冷</w:t>
            </w:r>
            <w:r>
              <w:rPr>
                <w:rFonts w:hint="eastAsia" w:ascii="宋体" w:hAnsi="宋体"/>
                <w:color w:val="000000"/>
                <w:sz w:val="24"/>
              </w:rPr>
              <w:t>冻</w:t>
            </w:r>
            <w:r>
              <w:rPr>
                <w:rFonts w:ascii="宋体" w:hAnsi="宋体"/>
                <w:color w:val="000000"/>
                <w:sz w:val="24"/>
              </w:rPr>
              <w:t>水低阻力止回阀DN300，压力损失≤</w:t>
            </w:r>
            <w:r>
              <w:rPr>
                <w:rFonts w:hint="eastAsia" w:ascii="宋体" w:hAnsi="宋体"/>
                <w:color w:val="000000"/>
                <w:sz w:val="24"/>
              </w:rPr>
              <w:t>3</w:t>
            </w:r>
            <w:r>
              <w:rPr>
                <w:rFonts w:ascii="宋体" w:hAnsi="宋体"/>
                <w:color w:val="000000"/>
                <w:sz w:val="24"/>
              </w:rPr>
              <w:t>kPa</w:t>
            </w:r>
          </w:p>
        </w:tc>
        <w:tc>
          <w:tcPr>
            <w:tcW w:w="708" w:type="dxa"/>
            <w:shd w:val="clear" w:color="000000" w:fill="FFFFFF"/>
            <w:vAlign w:val="center"/>
          </w:tcPr>
          <w:p>
            <w:pPr>
              <w:spacing w:line="400" w:lineRule="exact"/>
              <w:rPr>
                <w:rFonts w:ascii="宋体" w:hAnsi="宋体"/>
                <w:color w:val="000000"/>
                <w:sz w:val="24"/>
              </w:rPr>
            </w:pPr>
            <w:r>
              <w:rPr>
                <w:rFonts w:ascii="宋体" w:hAnsi="宋体"/>
                <w:color w:val="000000"/>
                <w:sz w:val="24"/>
              </w:rPr>
              <w:t>台</w:t>
            </w:r>
          </w:p>
        </w:tc>
        <w:tc>
          <w:tcPr>
            <w:tcW w:w="710" w:type="dxa"/>
            <w:shd w:val="clear" w:color="000000" w:fill="FFFFFF"/>
            <w:vAlign w:val="center"/>
          </w:tcPr>
          <w:p>
            <w:pPr>
              <w:spacing w:line="400" w:lineRule="exact"/>
              <w:rPr>
                <w:rFonts w:ascii="宋体" w:hAnsi="宋体"/>
                <w:color w:val="000000"/>
                <w:sz w:val="24"/>
              </w:rPr>
            </w:pPr>
            <w:r>
              <w:rPr>
                <w:rFonts w:ascii="宋体" w:hAnsi="宋体"/>
                <w:color w:val="000000"/>
                <w:sz w:val="24"/>
              </w:rPr>
              <w:t>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1985" w:type="dxa"/>
            <w:shd w:val="clear" w:color="auto" w:fill="auto"/>
            <w:vAlign w:val="center"/>
          </w:tcPr>
          <w:p>
            <w:pPr>
              <w:spacing w:line="400" w:lineRule="exact"/>
              <w:rPr>
                <w:rFonts w:ascii="宋体" w:hAnsi="宋体"/>
                <w:color w:val="000000"/>
                <w:sz w:val="24"/>
              </w:rPr>
            </w:pPr>
            <w:r>
              <w:rPr>
                <w:rFonts w:ascii="宋体" w:hAnsi="宋体"/>
                <w:color w:val="000000"/>
                <w:sz w:val="24"/>
              </w:rPr>
              <w:t>低阻力止回阀</w:t>
            </w:r>
          </w:p>
        </w:tc>
        <w:tc>
          <w:tcPr>
            <w:tcW w:w="6095" w:type="dxa"/>
            <w:shd w:val="clear" w:color="auto" w:fill="auto"/>
            <w:vAlign w:val="center"/>
          </w:tcPr>
          <w:p>
            <w:pPr>
              <w:spacing w:line="400" w:lineRule="exact"/>
              <w:rPr>
                <w:rFonts w:ascii="宋体" w:hAnsi="宋体"/>
                <w:color w:val="000000"/>
                <w:sz w:val="24"/>
              </w:rPr>
            </w:pPr>
            <w:r>
              <w:rPr>
                <w:rFonts w:ascii="宋体" w:hAnsi="宋体"/>
                <w:color w:val="000000"/>
                <w:sz w:val="24"/>
              </w:rPr>
              <w:t>卫生热水低阻力止回阀DN150，压力损失≤</w:t>
            </w:r>
            <w:r>
              <w:rPr>
                <w:rFonts w:hint="eastAsia" w:ascii="宋体" w:hAnsi="宋体"/>
                <w:color w:val="000000"/>
                <w:sz w:val="24"/>
              </w:rPr>
              <w:t>3</w:t>
            </w:r>
            <w:r>
              <w:rPr>
                <w:rFonts w:ascii="宋体" w:hAnsi="宋体"/>
                <w:color w:val="000000"/>
                <w:sz w:val="24"/>
              </w:rPr>
              <w:t>kPa</w:t>
            </w:r>
          </w:p>
        </w:tc>
        <w:tc>
          <w:tcPr>
            <w:tcW w:w="708" w:type="dxa"/>
            <w:shd w:val="clear" w:color="000000" w:fill="FFFFFF"/>
            <w:vAlign w:val="center"/>
          </w:tcPr>
          <w:p>
            <w:pPr>
              <w:spacing w:line="400" w:lineRule="exact"/>
              <w:rPr>
                <w:rFonts w:ascii="宋体" w:hAnsi="宋体"/>
                <w:color w:val="000000"/>
                <w:sz w:val="24"/>
              </w:rPr>
            </w:pPr>
            <w:r>
              <w:rPr>
                <w:rFonts w:ascii="宋体" w:hAnsi="宋体"/>
                <w:color w:val="000000"/>
                <w:sz w:val="24"/>
              </w:rPr>
              <w:t>台</w:t>
            </w:r>
          </w:p>
        </w:tc>
        <w:tc>
          <w:tcPr>
            <w:tcW w:w="710" w:type="dxa"/>
            <w:shd w:val="clear" w:color="000000" w:fill="FFFFFF"/>
            <w:vAlign w:val="center"/>
          </w:tcPr>
          <w:p>
            <w:pPr>
              <w:spacing w:line="400" w:lineRule="exact"/>
              <w:rPr>
                <w:rFonts w:ascii="宋体" w:hAnsi="宋体"/>
                <w:color w:val="000000"/>
                <w:sz w:val="24"/>
              </w:rPr>
            </w:pPr>
            <w:r>
              <w:rPr>
                <w:rFonts w:ascii="宋体" w:hAnsi="宋体"/>
                <w:color w:val="000000"/>
                <w:sz w:val="24"/>
              </w:rPr>
              <w:t>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1985" w:type="dxa"/>
            <w:shd w:val="clear" w:color="auto" w:fill="auto"/>
            <w:vAlign w:val="center"/>
          </w:tcPr>
          <w:p>
            <w:pPr>
              <w:spacing w:line="400" w:lineRule="exact"/>
              <w:rPr>
                <w:rFonts w:ascii="宋体" w:hAnsi="宋体"/>
                <w:color w:val="000000"/>
                <w:sz w:val="24"/>
              </w:rPr>
            </w:pPr>
            <w:r>
              <w:rPr>
                <w:rFonts w:ascii="宋体" w:hAnsi="宋体"/>
                <w:color w:val="000000"/>
                <w:sz w:val="24"/>
              </w:rPr>
              <w:t>电动阀</w:t>
            </w:r>
          </w:p>
        </w:tc>
        <w:tc>
          <w:tcPr>
            <w:tcW w:w="6095" w:type="dxa"/>
            <w:shd w:val="clear" w:color="auto" w:fill="auto"/>
            <w:vAlign w:val="center"/>
          </w:tcPr>
          <w:p>
            <w:pPr>
              <w:spacing w:line="400" w:lineRule="exact"/>
              <w:rPr>
                <w:rFonts w:ascii="宋体" w:hAnsi="宋体"/>
                <w:color w:val="000000"/>
                <w:sz w:val="24"/>
              </w:rPr>
            </w:pPr>
            <w:r>
              <w:rPr>
                <w:rFonts w:ascii="宋体" w:hAnsi="宋体"/>
                <w:color w:val="000000"/>
                <w:sz w:val="24"/>
              </w:rPr>
              <w:t>冷却水排水电动阀DN50，水质劣化时自动排放冷却水。</w:t>
            </w:r>
          </w:p>
        </w:tc>
        <w:tc>
          <w:tcPr>
            <w:tcW w:w="708" w:type="dxa"/>
            <w:shd w:val="clear" w:color="000000" w:fill="FFFFFF"/>
            <w:vAlign w:val="center"/>
          </w:tcPr>
          <w:p>
            <w:pPr>
              <w:spacing w:line="400" w:lineRule="exact"/>
              <w:rPr>
                <w:rFonts w:ascii="宋体" w:hAnsi="宋体"/>
                <w:color w:val="000000"/>
                <w:sz w:val="24"/>
              </w:rPr>
            </w:pPr>
            <w:r>
              <w:rPr>
                <w:rFonts w:ascii="宋体" w:hAnsi="宋体"/>
                <w:color w:val="000000"/>
                <w:sz w:val="24"/>
              </w:rPr>
              <w:t>个</w:t>
            </w:r>
          </w:p>
        </w:tc>
        <w:tc>
          <w:tcPr>
            <w:tcW w:w="710" w:type="dxa"/>
            <w:shd w:val="clear" w:color="000000" w:fill="FFFFFF"/>
            <w:vAlign w:val="center"/>
          </w:tcPr>
          <w:p>
            <w:pPr>
              <w:spacing w:line="400" w:lineRule="exact"/>
              <w:rPr>
                <w:rFonts w:ascii="宋体" w:hAnsi="宋体"/>
                <w:color w:val="000000"/>
                <w:sz w:val="24"/>
              </w:rPr>
            </w:pPr>
            <w:r>
              <w:rPr>
                <w:rFonts w:hint="eastAsia" w:ascii="宋体" w:hAnsi="宋体"/>
                <w:color w:val="000000"/>
                <w:sz w:val="24"/>
              </w:rPr>
              <w:t>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1985" w:type="dxa"/>
            <w:shd w:val="clear" w:color="auto" w:fill="auto"/>
            <w:vAlign w:val="center"/>
          </w:tcPr>
          <w:p>
            <w:pPr>
              <w:spacing w:line="400" w:lineRule="exact"/>
              <w:rPr>
                <w:rFonts w:ascii="宋体" w:hAnsi="宋体"/>
                <w:color w:val="000000"/>
                <w:sz w:val="24"/>
              </w:rPr>
            </w:pPr>
            <w:r>
              <w:rPr>
                <w:rFonts w:ascii="宋体" w:hAnsi="宋体"/>
                <w:color w:val="000000"/>
                <w:sz w:val="24"/>
              </w:rPr>
              <w:t>电控柜</w:t>
            </w:r>
          </w:p>
        </w:tc>
        <w:tc>
          <w:tcPr>
            <w:tcW w:w="6095" w:type="dxa"/>
            <w:shd w:val="clear" w:color="auto" w:fill="auto"/>
            <w:vAlign w:val="center"/>
          </w:tcPr>
          <w:p>
            <w:pPr>
              <w:spacing w:line="400" w:lineRule="exact"/>
              <w:rPr>
                <w:rFonts w:ascii="宋体" w:hAnsi="宋体"/>
                <w:color w:val="000000"/>
                <w:sz w:val="24"/>
              </w:rPr>
            </w:pPr>
            <w:r>
              <w:rPr>
                <w:rFonts w:ascii="宋体" w:hAnsi="宋体"/>
                <w:color w:val="000000"/>
                <w:sz w:val="24"/>
              </w:rPr>
              <w:t>冷</w:t>
            </w:r>
            <w:r>
              <w:rPr>
                <w:rFonts w:hint="eastAsia" w:ascii="宋体" w:hAnsi="宋体"/>
                <w:color w:val="000000"/>
                <w:sz w:val="24"/>
              </w:rPr>
              <w:t>冻</w:t>
            </w:r>
            <w:r>
              <w:rPr>
                <w:rFonts w:ascii="宋体" w:hAnsi="宋体"/>
                <w:color w:val="000000"/>
                <w:sz w:val="24"/>
              </w:rPr>
              <w:t>水泵采</w:t>
            </w:r>
            <w:r>
              <w:rPr>
                <w:rFonts w:hint="eastAsia" w:ascii="宋体" w:hAnsi="宋体"/>
                <w:color w:val="000000"/>
                <w:sz w:val="24"/>
              </w:rPr>
              <w:t>、</w:t>
            </w:r>
            <w:r>
              <w:rPr>
                <w:rFonts w:ascii="宋体" w:hAnsi="宋体"/>
                <w:color w:val="000000"/>
                <w:sz w:val="24"/>
              </w:rPr>
              <w:t>冷却水</w:t>
            </w:r>
            <w:r>
              <w:rPr>
                <w:rFonts w:hint="eastAsia" w:ascii="宋体" w:hAnsi="宋体"/>
                <w:color w:val="000000"/>
                <w:sz w:val="24"/>
              </w:rPr>
              <w:t>泵、</w:t>
            </w:r>
            <w:r>
              <w:rPr>
                <w:rFonts w:ascii="宋体" w:hAnsi="宋体"/>
                <w:color w:val="000000"/>
                <w:sz w:val="24"/>
              </w:rPr>
              <w:t>卫生热水泵用软启动器软启动。包括电控柜（含电控柜）至直燃机、泵组、冷却塔的用电装置和电缆</w:t>
            </w:r>
            <w:r>
              <w:rPr>
                <w:rFonts w:hint="eastAsia" w:ascii="宋体" w:hAnsi="宋体"/>
                <w:color w:val="000000"/>
                <w:sz w:val="24"/>
              </w:rPr>
              <w:t>均在本次招标范围</w:t>
            </w:r>
            <w:r>
              <w:rPr>
                <w:rFonts w:ascii="宋体" w:hAnsi="宋体"/>
                <w:color w:val="000000"/>
                <w:sz w:val="24"/>
              </w:rPr>
              <w:t>。</w:t>
            </w:r>
          </w:p>
        </w:tc>
        <w:tc>
          <w:tcPr>
            <w:tcW w:w="708" w:type="dxa"/>
            <w:shd w:val="clear" w:color="000000" w:fill="FFFFFF"/>
            <w:vAlign w:val="center"/>
          </w:tcPr>
          <w:p>
            <w:pPr>
              <w:spacing w:line="400" w:lineRule="exact"/>
              <w:rPr>
                <w:rFonts w:ascii="宋体" w:hAnsi="宋体"/>
                <w:color w:val="000000"/>
                <w:sz w:val="24"/>
              </w:rPr>
            </w:pPr>
            <w:r>
              <w:rPr>
                <w:rFonts w:ascii="宋体" w:hAnsi="宋体"/>
                <w:color w:val="000000"/>
                <w:sz w:val="24"/>
              </w:rPr>
              <w:t>个</w:t>
            </w:r>
          </w:p>
        </w:tc>
        <w:tc>
          <w:tcPr>
            <w:tcW w:w="710" w:type="dxa"/>
            <w:shd w:val="clear" w:color="000000" w:fill="FFFFFF"/>
            <w:vAlign w:val="center"/>
          </w:tcPr>
          <w:p>
            <w:pPr>
              <w:spacing w:line="400" w:lineRule="exact"/>
              <w:rPr>
                <w:rFonts w:ascii="宋体" w:hAnsi="宋体"/>
                <w:color w:val="000000"/>
                <w:sz w:val="24"/>
              </w:rPr>
            </w:pPr>
            <w:r>
              <w:rPr>
                <w:rFonts w:ascii="宋体" w:hAnsi="宋体"/>
                <w:color w:val="000000"/>
                <w:sz w:val="24"/>
              </w:rPr>
              <w:t>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1985" w:type="dxa"/>
            <w:shd w:val="clear" w:color="auto" w:fill="auto"/>
            <w:vAlign w:val="center"/>
          </w:tcPr>
          <w:p>
            <w:pPr>
              <w:spacing w:line="400" w:lineRule="exact"/>
              <w:rPr>
                <w:rFonts w:ascii="宋体" w:hAnsi="宋体"/>
                <w:color w:val="000000"/>
                <w:sz w:val="24"/>
              </w:rPr>
            </w:pPr>
            <w:r>
              <w:rPr>
                <w:rFonts w:ascii="宋体" w:hAnsi="宋体"/>
                <w:color w:val="000000"/>
                <w:sz w:val="24"/>
              </w:rPr>
              <w:t>自动加药装置</w:t>
            </w:r>
          </w:p>
        </w:tc>
        <w:tc>
          <w:tcPr>
            <w:tcW w:w="6095" w:type="dxa"/>
            <w:shd w:val="clear" w:color="auto" w:fill="auto"/>
            <w:vAlign w:val="center"/>
          </w:tcPr>
          <w:p>
            <w:pPr>
              <w:spacing w:line="400" w:lineRule="exact"/>
              <w:rPr>
                <w:rFonts w:ascii="宋体" w:hAnsi="宋体"/>
                <w:color w:val="000000"/>
                <w:sz w:val="24"/>
              </w:rPr>
            </w:pPr>
            <w:r>
              <w:rPr>
                <w:rFonts w:ascii="宋体" w:hAnsi="宋体"/>
                <w:color w:val="000000"/>
                <w:sz w:val="24"/>
              </w:rPr>
              <w:t>含一个计量泵和一个加药泵。冷却水除垢、杀菌、除锈、灭藻，根据电导率传感器进行控制，接受直燃机PLC指令，自动加药。</w:t>
            </w:r>
          </w:p>
        </w:tc>
        <w:tc>
          <w:tcPr>
            <w:tcW w:w="708" w:type="dxa"/>
            <w:shd w:val="clear" w:color="000000" w:fill="FFFFFF"/>
            <w:vAlign w:val="center"/>
          </w:tcPr>
          <w:p>
            <w:pPr>
              <w:spacing w:line="400" w:lineRule="exact"/>
              <w:rPr>
                <w:rFonts w:ascii="宋体" w:hAnsi="宋体"/>
                <w:color w:val="000000"/>
                <w:sz w:val="24"/>
              </w:rPr>
            </w:pPr>
            <w:r>
              <w:rPr>
                <w:rFonts w:ascii="宋体" w:hAnsi="宋体"/>
                <w:color w:val="000000"/>
                <w:sz w:val="24"/>
              </w:rPr>
              <w:t>个</w:t>
            </w:r>
          </w:p>
        </w:tc>
        <w:tc>
          <w:tcPr>
            <w:tcW w:w="710" w:type="dxa"/>
            <w:shd w:val="clear" w:color="000000" w:fill="FFFFFF"/>
            <w:vAlign w:val="center"/>
          </w:tcPr>
          <w:p>
            <w:pPr>
              <w:spacing w:line="400" w:lineRule="exact"/>
              <w:rPr>
                <w:rFonts w:ascii="宋体" w:hAnsi="宋体"/>
                <w:color w:val="000000"/>
                <w:sz w:val="24"/>
              </w:rPr>
            </w:pPr>
            <w:r>
              <w:rPr>
                <w:rFonts w:ascii="宋体" w:hAnsi="宋体"/>
                <w:color w:val="000000"/>
                <w:sz w:val="24"/>
              </w:rPr>
              <w:t>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1985" w:type="dxa"/>
            <w:shd w:val="clear" w:color="auto" w:fill="auto"/>
            <w:vAlign w:val="center"/>
          </w:tcPr>
          <w:p>
            <w:pPr>
              <w:spacing w:line="400" w:lineRule="exact"/>
              <w:rPr>
                <w:rFonts w:ascii="宋体" w:hAnsi="宋体"/>
                <w:color w:val="000000"/>
                <w:sz w:val="24"/>
              </w:rPr>
            </w:pPr>
            <w:r>
              <w:rPr>
                <w:rFonts w:ascii="宋体" w:hAnsi="宋体"/>
                <w:color w:val="000000"/>
                <w:sz w:val="24"/>
              </w:rPr>
              <w:t>燃气流量计</w:t>
            </w:r>
          </w:p>
        </w:tc>
        <w:tc>
          <w:tcPr>
            <w:tcW w:w="6095" w:type="dxa"/>
            <w:shd w:val="clear" w:color="auto" w:fill="auto"/>
            <w:vAlign w:val="center"/>
          </w:tcPr>
          <w:p>
            <w:pPr>
              <w:spacing w:line="400" w:lineRule="exact"/>
              <w:rPr>
                <w:rFonts w:ascii="宋体" w:hAnsi="宋体"/>
                <w:color w:val="000000"/>
                <w:sz w:val="24"/>
              </w:rPr>
            </w:pPr>
            <w:r>
              <w:rPr>
                <w:rFonts w:ascii="宋体" w:hAnsi="宋体"/>
                <w:color w:val="000000"/>
                <w:sz w:val="24"/>
              </w:rPr>
              <w:t>燃气涡街流量计：DN</w:t>
            </w:r>
            <w:r>
              <w:rPr>
                <w:rFonts w:hint="eastAsia" w:ascii="宋体" w:hAnsi="宋体"/>
                <w:color w:val="000000"/>
                <w:sz w:val="24"/>
              </w:rPr>
              <w:t>65</w:t>
            </w:r>
            <w:r>
              <w:rPr>
                <w:rFonts w:ascii="宋体" w:hAnsi="宋体"/>
                <w:color w:val="000000"/>
                <w:sz w:val="24"/>
              </w:rPr>
              <w:t>，自带4~20mA模拟量输出功能及数字显示功能，可显示瞬时流量及累计流量；防护等级IP67。</w:t>
            </w:r>
          </w:p>
        </w:tc>
        <w:tc>
          <w:tcPr>
            <w:tcW w:w="708" w:type="dxa"/>
            <w:shd w:val="clear" w:color="000000" w:fill="FFFFFF"/>
            <w:vAlign w:val="center"/>
          </w:tcPr>
          <w:p>
            <w:pPr>
              <w:spacing w:line="400" w:lineRule="exact"/>
              <w:rPr>
                <w:rFonts w:ascii="宋体" w:hAnsi="宋体"/>
                <w:color w:val="000000"/>
                <w:sz w:val="24"/>
              </w:rPr>
            </w:pPr>
            <w:r>
              <w:rPr>
                <w:rFonts w:ascii="宋体" w:hAnsi="宋体"/>
                <w:color w:val="000000"/>
                <w:sz w:val="24"/>
              </w:rPr>
              <w:t>支</w:t>
            </w:r>
          </w:p>
        </w:tc>
        <w:tc>
          <w:tcPr>
            <w:tcW w:w="710" w:type="dxa"/>
            <w:shd w:val="clear" w:color="000000" w:fill="FFFFFF"/>
            <w:vAlign w:val="center"/>
          </w:tcPr>
          <w:p>
            <w:pPr>
              <w:spacing w:line="400" w:lineRule="exact"/>
              <w:rPr>
                <w:rFonts w:ascii="宋体" w:hAnsi="宋体"/>
                <w:color w:val="000000"/>
                <w:sz w:val="24"/>
              </w:rPr>
            </w:pPr>
            <w:r>
              <w:rPr>
                <w:rFonts w:ascii="宋体" w:hAnsi="宋体"/>
                <w:color w:val="000000"/>
                <w:sz w:val="24"/>
              </w:rPr>
              <w:t>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1985" w:type="dxa"/>
            <w:shd w:val="clear" w:color="auto" w:fill="auto"/>
            <w:vAlign w:val="center"/>
          </w:tcPr>
          <w:p>
            <w:pPr>
              <w:spacing w:line="400" w:lineRule="exact"/>
              <w:rPr>
                <w:rFonts w:ascii="宋体" w:hAnsi="宋体"/>
                <w:color w:val="000000"/>
                <w:sz w:val="24"/>
              </w:rPr>
            </w:pPr>
            <w:r>
              <w:rPr>
                <w:rFonts w:ascii="宋体" w:hAnsi="宋体"/>
                <w:color w:val="000000"/>
                <w:sz w:val="24"/>
              </w:rPr>
              <w:t>电量测量仪</w:t>
            </w:r>
          </w:p>
        </w:tc>
        <w:tc>
          <w:tcPr>
            <w:tcW w:w="6095" w:type="dxa"/>
            <w:shd w:val="clear" w:color="auto" w:fill="auto"/>
            <w:vAlign w:val="center"/>
          </w:tcPr>
          <w:p>
            <w:pPr>
              <w:spacing w:line="400" w:lineRule="exact"/>
              <w:rPr>
                <w:rFonts w:ascii="宋体" w:hAnsi="宋体"/>
                <w:color w:val="000000"/>
                <w:sz w:val="24"/>
              </w:rPr>
            </w:pPr>
            <w:r>
              <w:rPr>
                <w:rFonts w:ascii="宋体" w:hAnsi="宋体"/>
                <w:color w:val="000000"/>
                <w:sz w:val="24"/>
              </w:rPr>
              <w:t>根据</w:t>
            </w:r>
            <w:r>
              <w:rPr>
                <w:rFonts w:hint="eastAsia" w:ascii="宋体" w:hAnsi="宋体"/>
                <w:color w:val="000000"/>
                <w:sz w:val="24"/>
              </w:rPr>
              <w:t>成套</w:t>
            </w:r>
            <w:r>
              <w:rPr>
                <w:rFonts w:ascii="宋体" w:hAnsi="宋体"/>
                <w:color w:val="000000"/>
                <w:sz w:val="24"/>
              </w:rPr>
              <w:t>机组的总用电负荷进行统计实时和累计耗电量</w:t>
            </w:r>
          </w:p>
        </w:tc>
        <w:tc>
          <w:tcPr>
            <w:tcW w:w="708" w:type="dxa"/>
            <w:shd w:val="clear" w:color="000000" w:fill="FFFFFF"/>
            <w:vAlign w:val="center"/>
          </w:tcPr>
          <w:p>
            <w:pPr>
              <w:spacing w:line="400" w:lineRule="exact"/>
              <w:rPr>
                <w:rFonts w:ascii="宋体" w:hAnsi="宋体"/>
                <w:color w:val="000000"/>
                <w:sz w:val="24"/>
              </w:rPr>
            </w:pPr>
            <w:r>
              <w:rPr>
                <w:rFonts w:ascii="宋体" w:hAnsi="宋体"/>
                <w:color w:val="000000"/>
                <w:sz w:val="24"/>
              </w:rPr>
              <w:t>支</w:t>
            </w:r>
          </w:p>
        </w:tc>
        <w:tc>
          <w:tcPr>
            <w:tcW w:w="710" w:type="dxa"/>
            <w:shd w:val="clear" w:color="000000" w:fill="FFFFFF"/>
            <w:vAlign w:val="center"/>
          </w:tcPr>
          <w:p>
            <w:pPr>
              <w:spacing w:line="400" w:lineRule="exact"/>
              <w:rPr>
                <w:rFonts w:ascii="宋体" w:hAnsi="宋体"/>
                <w:color w:val="000000"/>
                <w:sz w:val="24"/>
              </w:rPr>
            </w:pPr>
            <w:r>
              <w:rPr>
                <w:rFonts w:ascii="宋体" w:hAnsi="宋体"/>
                <w:color w:val="000000"/>
                <w:sz w:val="24"/>
              </w:rPr>
              <w:t>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1985" w:type="dxa"/>
            <w:shd w:val="clear" w:color="auto" w:fill="auto"/>
            <w:vAlign w:val="center"/>
          </w:tcPr>
          <w:p>
            <w:pPr>
              <w:spacing w:line="400" w:lineRule="exact"/>
              <w:rPr>
                <w:rFonts w:ascii="宋体" w:hAnsi="宋体"/>
                <w:color w:val="000000"/>
                <w:sz w:val="24"/>
              </w:rPr>
            </w:pPr>
            <w:r>
              <w:rPr>
                <w:rFonts w:ascii="宋体" w:hAnsi="宋体"/>
                <w:color w:val="000000"/>
                <w:sz w:val="24"/>
              </w:rPr>
              <w:t>水表</w:t>
            </w:r>
          </w:p>
        </w:tc>
        <w:tc>
          <w:tcPr>
            <w:tcW w:w="6095" w:type="dxa"/>
            <w:shd w:val="clear" w:color="auto" w:fill="auto"/>
            <w:vAlign w:val="center"/>
          </w:tcPr>
          <w:p>
            <w:pPr>
              <w:spacing w:line="400" w:lineRule="exact"/>
              <w:rPr>
                <w:rFonts w:ascii="宋体" w:hAnsi="宋体"/>
                <w:color w:val="000000"/>
                <w:sz w:val="24"/>
              </w:rPr>
            </w:pPr>
            <w:r>
              <w:rPr>
                <w:rFonts w:ascii="宋体" w:hAnsi="宋体"/>
                <w:color w:val="000000"/>
                <w:sz w:val="24"/>
              </w:rPr>
              <w:t>计量机房补水水量</w:t>
            </w:r>
            <w:r>
              <w:rPr>
                <w:rFonts w:hint="eastAsia" w:ascii="宋体" w:hAnsi="宋体"/>
                <w:color w:val="000000"/>
                <w:sz w:val="24"/>
              </w:rPr>
              <w:t>（</w:t>
            </w:r>
            <w:r>
              <w:rPr>
                <w:rFonts w:ascii="宋体" w:hAnsi="宋体"/>
                <w:color w:val="000000"/>
                <w:sz w:val="24"/>
              </w:rPr>
              <w:t>冷冻水</w:t>
            </w:r>
            <w:r>
              <w:rPr>
                <w:rFonts w:hint="eastAsia" w:ascii="宋体" w:hAnsi="宋体"/>
                <w:color w:val="000000"/>
                <w:sz w:val="24"/>
              </w:rPr>
              <w:t>）</w:t>
            </w:r>
          </w:p>
        </w:tc>
        <w:tc>
          <w:tcPr>
            <w:tcW w:w="708" w:type="dxa"/>
            <w:shd w:val="clear" w:color="000000" w:fill="FFFFFF"/>
            <w:vAlign w:val="center"/>
          </w:tcPr>
          <w:p>
            <w:pPr>
              <w:spacing w:line="400" w:lineRule="exact"/>
              <w:rPr>
                <w:rFonts w:ascii="宋体" w:hAnsi="宋体"/>
                <w:color w:val="000000"/>
                <w:sz w:val="24"/>
              </w:rPr>
            </w:pPr>
            <w:r>
              <w:rPr>
                <w:rFonts w:ascii="宋体" w:hAnsi="宋体"/>
                <w:color w:val="000000"/>
                <w:sz w:val="24"/>
              </w:rPr>
              <w:t>支</w:t>
            </w:r>
          </w:p>
        </w:tc>
        <w:tc>
          <w:tcPr>
            <w:tcW w:w="710" w:type="dxa"/>
            <w:shd w:val="clear" w:color="000000" w:fill="FFFFFF"/>
            <w:vAlign w:val="center"/>
          </w:tcPr>
          <w:p>
            <w:pPr>
              <w:spacing w:line="400" w:lineRule="exact"/>
              <w:rPr>
                <w:rFonts w:ascii="宋体" w:hAnsi="宋体"/>
                <w:color w:val="000000"/>
                <w:sz w:val="24"/>
              </w:rPr>
            </w:pPr>
            <w:r>
              <w:rPr>
                <w:rFonts w:ascii="宋体" w:hAnsi="宋体"/>
                <w:color w:val="000000"/>
                <w:sz w:val="24"/>
              </w:rPr>
              <w:t>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1985" w:type="dxa"/>
            <w:shd w:val="clear" w:color="auto" w:fill="auto"/>
            <w:vAlign w:val="center"/>
          </w:tcPr>
          <w:p>
            <w:pPr>
              <w:spacing w:line="400" w:lineRule="exact"/>
              <w:rPr>
                <w:rFonts w:ascii="宋体" w:hAnsi="宋体"/>
                <w:color w:val="000000"/>
                <w:sz w:val="24"/>
              </w:rPr>
            </w:pPr>
            <w:r>
              <w:rPr>
                <w:rFonts w:ascii="宋体" w:hAnsi="宋体"/>
                <w:color w:val="000000"/>
                <w:sz w:val="24"/>
              </w:rPr>
              <w:t>控制和能源管理系统</w:t>
            </w:r>
          </w:p>
        </w:tc>
        <w:tc>
          <w:tcPr>
            <w:tcW w:w="6095" w:type="dxa"/>
            <w:shd w:val="clear" w:color="auto" w:fill="auto"/>
            <w:vAlign w:val="center"/>
          </w:tcPr>
          <w:p>
            <w:pPr>
              <w:spacing w:line="400" w:lineRule="exact"/>
              <w:rPr>
                <w:rFonts w:ascii="宋体" w:hAnsi="宋体"/>
                <w:color w:val="000000"/>
                <w:sz w:val="24"/>
              </w:rPr>
            </w:pPr>
            <w:r>
              <w:rPr>
                <w:rFonts w:ascii="宋体" w:hAnsi="宋体"/>
                <w:color w:val="000000"/>
                <w:sz w:val="24"/>
              </w:rPr>
              <w:t>含</w:t>
            </w:r>
            <w:r>
              <w:rPr>
                <w:rFonts w:hint="eastAsia" w:ascii="宋体" w:hAnsi="宋体"/>
                <w:color w:val="000000"/>
                <w:sz w:val="24"/>
              </w:rPr>
              <w:t>直燃机、</w:t>
            </w:r>
            <w:r>
              <w:rPr>
                <w:rFonts w:ascii="宋体" w:hAnsi="宋体"/>
                <w:color w:val="000000"/>
                <w:sz w:val="24"/>
              </w:rPr>
              <w:t>泵组</w:t>
            </w:r>
            <w:r>
              <w:rPr>
                <w:rFonts w:hint="eastAsia" w:ascii="宋体" w:hAnsi="宋体"/>
                <w:color w:val="000000"/>
                <w:sz w:val="24"/>
              </w:rPr>
              <w:t>、</w:t>
            </w:r>
            <w:r>
              <w:rPr>
                <w:rFonts w:ascii="宋体" w:hAnsi="宋体"/>
                <w:color w:val="000000"/>
                <w:sz w:val="24"/>
              </w:rPr>
              <w:t>冷却塔一一对应的联动</w:t>
            </w:r>
            <w:r>
              <w:rPr>
                <w:rFonts w:hint="eastAsia" w:ascii="宋体" w:hAnsi="宋体"/>
                <w:color w:val="000000"/>
                <w:sz w:val="24"/>
              </w:rPr>
              <w:t>、PLC控制柜、远程监控、数据监视等模块，包含监控所需要的全部软件和后台服务器。</w:t>
            </w:r>
          </w:p>
        </w:tc>
        <w:tc>
          <w:tcPr>
            <w:tcW w:w="708" w:type="dxa"/>
            <w:shd w:val="clear" w:color="000000" w:fill="FFFFFF"/>
            <w:vAlign w:val="center"/>
          </w:tcPr>
          <w:p>
            <w:pPr>
              <w:spacing w:line="400" w:lineRule="exact"/>
              <w:rPr>
                <w:rFonts w:ascii="宋体" w:hAnsi="宋体"/>
                <w:color w:val="000000"/>
                <w:sz w:val="24"/>
              </w:rPr>
            </w:pPr>
            <w:r>
              <w:rPr>
                <w:rFonts w:ascii="宋体" w:hAnsi="宋体"/>
                <w:color w:val="000000"/>
                <w:sz w:val="24"/>
              </w:rPr>
              <w:t>套</w:t>
            </w:r>
          </w:p>
        </w:tc>
        <w:tc>
          <w:tcPr>
            <w:tcW w:w="710" w:type="dxa"/>
            <w:shd w:val="clear" w:color="000000" w:fill="FFFFFF"/>
            <w:vAlign w:val="center"/>
          </w:tcPr>
          <w:p>
            <w:pPr>
              <w:spacing w:line="400" w:lineRule="exact"/>
              <w:rPr>
                <w:rFonts w:ascii="宋体" w:hAnsi="宋体"/>
                <w:color w:val="000000"/>
                <w:sz w:val="24"/>
              </w:rPr>
            </w:pPr>
            <w:r>
              <w:rPr>
                <w:rFonts w:ascii="宋体" w:hAnsi="宋体"/>
                <w:color w:val="000000"/>
                <w:sz w:val="24"/>
              </w:rPr>
              <w:t>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1985" w:type="dxa"/>
            <w:shd w:val="clear" w:color="auto" w:fill="auto"/>
            <w:vAlign w:val="center"/>
          </w:tcPr>
          <w:p>
            <w:pPr>
              <w:spacing w:line="400" w:lineRule="exact"/>
              <w:rPr>
                <w:rFonts w:ascii="宋体" w:hAnsi="宋体"/>
                <w:color w:val="000000"/>
                <w:sz w:val="24"/>
              </w:rPr>
            </w:pPr>
            <w:r>
              <w:rPr>
                <w:rFonts w:ascii="宋体" w:hAnsi="宋体"/>
                <w:color w:val="000000"/>
                <w:sz w:val="24"/>
              </w:rPr>
              <w:t>附件</w:t>
            </w:r>
          </w:p>
        </w:tc>
        <w:tc>
          <w:tcPr>
            <w:tcW w:w="6095" w:type="dxa"/>
            <w:shd w:val="clear" w:color="auto" w:fill="auto"/>
            <w:vAlign w:val="center"/>
          </w:tcPr>
          <w:p>
            <w:pPr>
              <w:spacing w:line="400" w:lineRule="exact"/>
              <w:rPr>
                <w:rFonts w:ascii="宋体" w:hAnsi="宋体"/>
                <w:color w:val="000000"/>
                <w:sz w:val="24"/>
              </w:rPr>
            </w:pPr>
            <w:r>
              <w:rPr>
                <w:rFonts w:ascii="宋体" w:hAnsi="宋体"/>
                <w:color w:val="000000"/>
                <w:sz w:val="24"/>
              </w:rPr>
              <w:t>含直燃机</w:t>
            </w:r>
            <w:r>
              <w:rPr>
                <w:rFonts w:hint="eastAsia" w:ascii="宋体" w:hAnsi="宋体"/>
                <w:color w:val="000000"/>
                <w:sz w:val="24"/>
              </w:rPr>
              <w:t>、</w:t>
            </w:r>
            <w:r>
              <w:rPr>
                <w:rFonts w:ascii="宋体" w:hAnsi="宋体"/>
                <w:color w:val="000000"/>
                <w:sz w:val="24"/>
              </w:rPr>
              <w:t>泵组</w:t>
            </w:r>
            <w:r>
              <w:rPr>
                <w:rFonts w:hint="eastAsia" w:ascii="宋体" w:hAnsi="宋体"/>
                <w:color w:val="000000"/>
                <w:sz w:val="24"/>
              </w:rPr>
              <w:t>之间的</w:t>
            </w:r>
            <w:r>
              <w:rPr>
                <w:rFonts w:ascii="宋体" w:hAnsi="宋体"/>
                <w:color w:val="000000"/>
                <w:sz w:val="24"/>
              </w:rPr>
              <w:t>管路</w:t>
            </w:r>
            <w:r>
              <w:rPr>
                <w:rFonts w:hint="eastAsia" w:ascii="宋体" w:hAnsi="宋体"/>
                <w:color w:val="000000"/>
                <w:sz w:val="24"/>
              </w:rPr>
              <w:t>、</w:t>
            </w:r>
            <w:r>
              <w:rPr>
                <w:rFonts w:ascii="宋体" w:hAnsi="宋体"/>
                <w:color w:val="000000"/>
                <w:sz w:val="24"/>
              </w:rPr>
              <w:t>阀门</w:t>
            </w:r>
            <w:r>
              <w:rPr>
                <w:rFonts w:hint="eastAsia" w:ascii="宋体" w:hAnsi="宋体"/>
                <w:color w:val="000000"/>
                <w:sz w:val="24"/>
              </w:rPr>
              <w:t>、法兰、</w:t>
            </w:r>
            <w:r>
              <w:rPr>
                <w:rFonts w:ascii="宋体" w:hAnsi="宋体"/>
                <w:color w:val="000000"/>
                <w:sz w:val="24"/>
              </w:rPr>
              <w:t>软接等</w:t>
            </w:r>
          </w:p>
        </w:tc>
        <w:tc>
          <w:tcPr>
            <w:tcW w:w="708" w:type="dxa"/>
            <w:shd w:val="clear" w:color="000000" w:fill="FFFFFF"/>
            <w:vAlign w:val="center"/>
          </w:tcPr>
          <w:p>
            <w:pPr>
              <w:spacing w:line="400" w:lineRule="exact"/>
              <w:rPr>
                <w:rFonts w:ascii="宋体" w:hAnsi="宋体"/>
                <w:color w:val="000000"/>
                <w:sz w:val="24"/>
              </w:rPr>
            </w:pPr>
            <w:r>
              <w:rPr>
                <w:rFonts w:ascii="宋体" w:hAnsi="宋体"/>
                <w:color w:val="000000"/>
                <w:sz w:val="24"/>
              </w:rPr>
              <w:t>套</w:t>
            </w:r>
          </w:p>
        </w:tc>
        <w:tc>
          <w:tcPr>
            <w:tcW w:w="710" w:type="dxa"/>
            <w:shd w:val="clear" w:color="000000" w:fill="FFFFFF"/>
            <w:vAlign w:val="center"/>
          </w:tcPr>
          <w:p>
            <w:pPr>
              <w:spacing w:line="400" w:lineRule="exact"/>
              <w:rPr>
                <w:rFonts w:ascii="宋体" w:hAnsi="宋体"/>
                <w:color w:val="000000"/>
                <w:sz w:val="24"/>
              </w:rPr>
            </w:pPr>
            <w:r>
              <w:rPr>
                <w:rFonts w:ascii="宋体" w:hAnsi="宋体"/>
                <w:color w:val="000000"/>
                <w:sz w:val="24"/>
              </w:rPr>
              <w:t>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1985" w:type="dxa"/>
            <w:shd w:val="clear" w:color="auto" w:fill="auto"/>
            <w:vAlign w:val="center"/>
          </w:tcPr>
          <w:p>
            <w:pPr>
              <w:spacing w:line="400" w:lineRule="exact"/>
              <w:rPr>
                <w:rFonts w:ascii="宋体" w:hAnsi="宋体"/>
                <w:color w:val="000000"/>
                <w:sz w:val="24"/>
              </w:rPr>
            </w:pPr>
            <w:r>
              <w:rPr>
                <w:rFonts w:hint="eastAsia" w:ascii="宋体" w:hAnsi="宋体"/>
                <w:color w:val="000000"/>
                <w:sz w:val="24"/>
              </w:rPr>
              <w:t>集水器和分水器</w:t>
            </w:r>
          </w:p>
        </w:tc>
        <w:tc>
          <w:tcPr>
            <w:tcW w:w="6095" w:type="dxa"/>
            <w:shd w:val="clear" w:color="auto" w:fill="auto"/>
            <w:vAlign w:val="center"/>
          </w:tcPr>
          <w:p>
            <w:pPr>
              <w:spacing w:line="400" w:lineRule="exact"/>
              <w:rPr>
                <w:rFonts w:ascii="宋体" w:hAnsi="宋体"/>
                <w:color w:val="000000"/>
                <w:sz w:val="24"/>
              </w:rPr>
            </w:pPr>
            <w:r>
              <w:rPr>
                <w:rFonts w:hint="eastAsia" w:ascii="宋体" w:hAnsi="宋体"/>
                <w:color w:val="000000"/>
                <w:sz w:val="24"/>
              </w:rPr>
              <w:t>满足综合业务楼、门诊楼、病房楼分路基础上再预留3-5路备用、满足日后发展空间。</w:t>
            </w:r>
          </w:p>
        </w:tc>
        <w:tc>
          <w:tcPr>
            <w:tcW w:w="708" w:type="dxa"/>
            <w:shd w:val="clear" w:color="000000" w:fill="FFFFFF"/>
            <w:vAlign w:val="center"/>
          </w:tcPr>
          <w:p>
            <w:pPr>
              <w:spacing w:line="400" w:lineRule="exact"/>
              <w:rPr>
                <w:rFonts w:ascii="宋体" w:hAnsi="宋体"/>
                <w:color w:val="000000"/>
                <w:sz w:val="24"/>
              </w:rPr>
            </w:pPr>
            <w:r>
              <w:rPr>
                <w:rFonts w:hint="eastAsia" w:ascii="宋体" w:hAnsi="宋体"/>
                <w:color w:val="000000"/>
                <w:sz w:val="24"/>
              </w:rPr>
              <w:t>套</w:t>
            </w:r>
          </w:p>
        </w:tc>
        <w:tc>
          <w:tcPr>
            <w:tcW w:w="710" w:type="dxa"/>
            <w:shd w:val="clear" w:color="000000" w:fill="FFFFFF"/>
            <w:vAlign w:val="center"/>
          </w:tcPr>
          <w:p>
            <w:pPr>
              <w:spacing w:line="400" w:lineRule="exact"/>
              <w:rPr>
                <w:rFonts w:ascii="宋体" w:hAnsi="宋体"/>
                <w:color w:val="000000"/>
                <w:sz w:val="24"/>
              </w:rPr>
            </w:pPr>
          </w:p>
        </w:tc>
      </w:tr>
    </w:tbl>
    <w:p>
      <w:pPr>
        <w:spacing w:line="400" w:lineRule="exact"/>
        <w:rPr>
          <w:rFonts w:ascii="宋体" w:hAnsi="宋体"/>
          <w:sz w:val="24"/>
        </w:rPr>
      </w:pPr>
      <w:r>
        <w:rPr>
          <w:rFonts w:hint="eastAsia" w:ascii="宋体" w:hAnsi="宋体"/>
          <w:sz w:val="24"/>
        </w:rPr>
        <w:t>3、控制系统功能要求</w:t>
      </w:r>
    </w:p>
    <w:tbl>
      <w:tblPr>
        <w:tblStyle w:val="41"/>
        <w:tblW w:w="946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1275"/>
        <w:gridCol w:w="72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59" w:type="dxa"/>
            <w:vAlign w:val="top"/>
          </w:tcPr>
          <w:p>
            <w:pPr>
              <w:spacing w:line="400" w:lineRule="exact"/>
              <w:rPr>
                <w:rFonts w:ascii="宋体" w:hAnsi="宋体"/>
                <w:sz w:val="24"/>
              </w:rPr>
            </w:pPr>
            <w:r>
              <w:rPr>
                <w:rFonts w:hint="eastAsia" w:ascii="宋体" w:hAnsi="宋体"/>
                <w:sz w:val="24"/>
              </w:rPr>
              <w:t>序号</w:t>
            </w:r>
          </w:p>
        </w:tc>
        <w:tc>
          <w:tcPr>
            <w:tcW w:w="1275" w:type="dxa"/>
            <w:vAlign w:val="top"/>
          </w:tcPr>
          <w:p>
            <w:pPr>
              <w:spacing w:line="400" w:lineRule="exact"/>
              <w:rPr>
                <w:rFonts w:ascii="宋体" w:hAnsi="宋体"/>
                <w:sz w:val="24"/>
              </w:rPr>
            </w:pPr>
            <w:r>
              <w:rPr>
                <w:rFonts w:hint="eastAsia" w:ascii="宋体" w:hAnsi="宋体"/>
                <w:sz w:val="24"/>
              </w:rPr>
              <w:t>类别</w:t>
            </w:r>
          </w:p>
        </w:tc>
        <w:tc>
          <w:tcPr>
            <w:tcW w:w="7230" w:type="dxa"/>
            <w:vAlign w:val="top"/>
          </w:tcPr>
          <w:p>
            <w:pPr>
              <w:spacing w:line="400" w:lineRule="exact"/>
              <w:rPr>
                <w:rFonts w:ascii="宋体" w:hAnsi="宋体"/>
                <w:sz w:val="24"/>
              </w:rPr>
            </w:pPr>
            <w:r>
              <w:rPr>
                <w:rFonts w:hint="eastAsia" w:ascii="宋体" w:hAnsi="宋体"/>
                <w:sz w:val="24"/>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59" w:type="dxa"/>
            <w:vAlign w:val="top"/>
          </w:tcPr>
          <w:p>
            <w:pPr>
              <w:spacing w:line="400" w:lineRule="exact"/>
              <w:rPr>
                <w:rFonts w:ascii="宋体" w:hAnsi="宋体"/>
                <w:sz w:val="24"/>
              </w:rPr>
            </w:pPr>
            <w:r>
              <w:rPr>
                <w:rFonts w:hint="eastAsia" w:ascii="宋体" w:hAnsi="宋体"/>
                <w:sz w:val="24"/>
              </w:rPr>
              <w:t>1</w:t>
            </w:r>
          </w:p>
        </w:tc>
        <w:tc>
          <w:tcPr>
            <w:tcW w:w="1275" w:type="dxa"/>
            <w:vAlign w:val="top"/>
          </w:tcPr>
          <w:p>
            <w:pPr>
              <w:spacing w:line="400" w:lineRule="exact"/>
              <w:rPr>
                <w:rFonts w:ascii="宋体" w:hAnsi="宋体"/>
                <w:sz w:val="24"/>
              </w:rPr>
            </w:pPr>
            <w:r>
              <w:rPr>
                <w:rFonts w:ascii="宋体" w:hAnsi="宋体"/>
                <w:sz w:val="24"/>
              </w:rPr>
              <w:t>设备联动</w:t>
            </w:r>
          </w:p>
        </w:tc>
        <w:tc>
          <w:tcPr>
            <w:tcW w:w="7230" w:type="dxa"/>
            <w:vAlign w:val="top"/>
          </w:tcPr>
          <w:p>
            <w:pPr>
              <w:spacing w:line="400" w:lineRule="exact"/>
              <w:rPr>
                <w:rFonts w:ascii="宋体" w:hAnsi="宋体"/>
                <w:sz w:val="24"/>
              </w:rPr>
            </w:pPr>
            <w:r>
              <w:rPr>
                <w:rFonts w:ascii="宋体" w:hAnsi="宋体"/>
                <w:sz w:val="24"/>
              </w:rPr>
              <w:t>含直燃机、泵组、冷却塔一键开关机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59" w:type="dxa"/>
            <w:vAlign w:val="top"/>
          </w:tcPr>
          <w:p>
            <w:pPr>
              <w:spacing w:line="400" w:lineRule="exact"/>
              <w:rPr>
                <w:rFonts w:ascii="宋体" w:hAnsi="宋体"/>
                <w:sz w:val="24"/>
              </w:rPr>
            </w:pPr>
            <w:r>
              <w:rPr>
                <w:rFonts w:hint="eastAsia" w:ascii="宋体" w:hAnsi="宋体"/>
                <w:sz w:val="24"/>
              </w:rPr>
              <w:t>2</w:t>
            </w:r>
          </w:p>
        </w:tc>
        <w:tc>
          <w:tcPr>
            <w:tcW w:w="1275" w:type="dxa"/>
            <w:vAlign w:val="top"/>
          </w:tcPr>
          <w:p>
            <w:pPr>
              <w:spacing w:line="400" w:lineRule="exact"/>
              <w:rPr>
                <w:rFonts w:ascii="宋体" w:hAnsi="宋体"/>
                <w:sz w:val="24"/>
              </w:rPr>
            </w:pPr>
            <w:r>
              <w:rPr>
                <w:rFonts w:ascii="宋体" w:hAnsi="宋体"/>
                <w:sz w:val="24"/>
              </w:rPr>
              <w:t>PLC控制柜</w:t>
            </w:r>
          </w:p>
        </w:tc>
        <w:tc>
          <w:tcPr>
            <w:tcW w:w="7230" w:type="dxa"/>
            <w:vAlign w:val="top"/>
          </w:tcPr>
          <w:p>
            <w:pPr>
              <w:spacing w:line="400" w:lineRule="exact"/>
              <w:rPr>
                <w:rFonts w:ascii="宋体" w:hAnsi="宋体"/>
                <w:sz w:val="24"/>
              </w:rPr>
            </w:pPr>
            <w:r>
              <w:rPr>
                <w:rFonts w:ascii="宋体" w:hAnsi="宋体"/>
                <w:sz w:val="24"/>
              </w:rPr>
              <w:t>对泵组和冷却塔给出启停或变频信号，对冷却水排水阀、自动加药装置阻垢剂泵、杀菌剂泵自动控制。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59" w:type="dxa"/>
            <w:vAlign w:val="top"/>
          </w:tcPr>
          <w:p>
            <w:pPr>
              <w:spacing w:line="400" w:lineRule="exact"/>
              <w:rPr>
                <w:rFonts w:ascii="宋体" w:hAnsi="宋体"/>
                <w:sz w:val="24"/>
              </w:rPr>
            </w:pPr>
            <w:r>
              <w:rPr>
                <w:rFonts w:hint="eastAsia" w:ascii="宋体" w:hAnsi="宋体"/>
                <w:sz w:val="24"/>
              </w:rPr>
              <w:t>3</w:t>
            </w:r>
          </w:p>
        </w:tc>
        <w:tc>
          <w:tcPr>
            <w:tcW w:w="1275" w:type="dxa"/>
            <w:vAlign w:val="top"/>
          </w:tcPr>
          <w:p>
            <w:pPr>
              <w:spacing w:line="400" w:lineRule="exact"/>
              <w:rPr>
                <w:rFonts w:ascii="宋体" w:hAnsi="宋体"/>
                <w:sz w:val="24"/>
              </w:rPr>
            </w:pPr>
            <w:r>
              <w:rPr>
                <w:rFonts w:ascii="宋体" w:hAnsi="宋体"/>
                <w:sz w:val="24"/>
              </w:rPr>
              <w:t>能源计量</w:t>
            </w:r>
          </w:p>
        </w:tc>
        <w:tc>
          <w:tcPr>
            <w:tcW w:w="7230" w:type="dxa"/>
            <w:vAlign w:val="top"/>
          </w:tcPr>
          <w:p>
            <w:pPr>
              <w:spacing w:line="400" w:lineRule="exact"/>
              <w:rPr>
                <w:rFonts w:ascii="宋体" w:hAnsi="宋体"/>
                <w:sz w:val="24"/>
              </w:rPr>
            </w:pPr>
            <w:r>
              <w:rPr>
                <w:rFonts w:ascii="宋体" w:hAnsi="宋体"/>
                <w:sz w:val="24"/>
              </w:rPr>
              <w:t>计量实时能源消耗（水电气）和实时冷热量，实时能源效率，显示于控制系统操作界面。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59" w:type="dxa"/>
            <w:vAlign w:val="top"/>
          </w:tcPr>
          <w:p>
            <w:pPr>
              <w:spacing w:line="400" w:lineRule="exact"/>
              <w:rPr>
                <w:rFonts w:ascii="宋体" w:hAnsi="宋体"/>
                <w:sz w:val="24"/>
              </w:rPr>
            </w:pPr>
            <w:r>
              <w:rPr>
                <w:rFonts w:hint="eastAsia" w:ascii="宋体" w:hAnsi="宋体"/>
                <w:sz w:val="24"/>
              </w:rPr>
              <w:t>4</w:t>
            </w:r>
          </w:p>
        </w:tc>
        <w:tc>
          <w:tcPr>
            <w:tcW w:w="1275" w:type="dxa"/>
            <w:vAlign w:val="top"/>
          </w:tcPr>
          <w:p>
            <w:pPr>
              <w:spacing w:line="400" w:lineRule="exact"/>
              <w:rPr>
                <w:rFonts w:ascii="宋体" w:hAnsi="宋体"/>
                <w:sz w:val="24"/>
              </w:rPr>
            </w:pPr>
            <w:r>
              <w:rPr>
                <w:rFonts w:hint="eastAsia" w:ascii="宋体" w:hAnsi="宋体"/>
                <w:b/>
                <w:sz w:val="24"/>
              </w:rPr>
              <w:t>※</w:t>
            </w:r>
            <w:r>
              <w:rPr>
                <w:rFonts w:ascii="宋体" w:hAnsi="宋体"/>
                <w:sz w:val="24"/>
              </w:rPr>
              <w:t>远程监控模块</w:t>
            </w:r>
          </w:p>
        </w:tc>
        <w:tc>
          <w:tcPr>
            <w:tcW w:w="7230" w:type="dxa"/>
            <w:vAlign w:val="top"/>
          </w:tcPr>
          <w:p>
            <w:pPr>
              <w:spacing w:line="400" w:lineRule="exact"/>
              <w:rPr>
                <w:rFonts w:ascii="宋体" w:hAnsi="宋体"/>
                <w:sz w:val="24"/>
              </w:rPr>
            </w:pPr>
            <w:r>
              <w:rPr>
                <w:rFonts w:hint="eastAsia" w:ascii="宋体" w:hAnsi="宋体"/>
                <w:sz w:val="24"/>
              </w:rPr>
              <w:t>对</w:t>
            </w:r>
            <w:r>
              <w:rPr>
                <w:rFonts w:ascii="宋体" w:hAnsi="宋体"/>
                <w:sz w:val="24"/>
              </w:rPr>
              <w:t>空调直燃机和泵组提供终生免费的</w:t>
            </w:r>
            <w:r>
              <w:rPr>
                <w:rFonts w:hint="eastAsia" w:ascii="宋体" w:hAnsi="宋体"/>
                <w:sz w:val="24"/>
              </w:rPr>
              <w:t>因特</w:t>
            </w:r>
            <w:r>
              <w:rPr>
                <w:rFonts w:ascii="宋体" w:hAnsi="宋体"/>
                <w:sz w:val="24"/>
              </w:rPr>
              <w:t>网远程监控</w:t>
            </w:r>
            <w:r>
              <w:rPr>
                <w:rFonts w:hint="eastAsia" w:ascii="宋体" w:hAnsi="宋体"/>
                <w:sz w:val="24"/>
              </w:rPr>
              <w:t>（</w:t>
            </w:r>
            <w:r>
              <w:rPr>
                <w:rFonts w:ascii="宋体" w:hAnsi="宋体"/>
                <w:sz w:val="24"/>
              </w:rPr>
              <w:t>含远程监控软件</w:t>
            </w:r>
            <w:r>
              <w:rPr>
                <w:rFonts w:hint="eastAsia" w:ascii="宋体" w:hAnsi="宋体"/>
                <w:sz w:val="24"/>
              </w:rPr>
              <w:t>和</w:t>
            </w:r>
            <w:r>
              <w:rPr>
                <w:rFonts w:ascii="宋体" w:hAnsi="宋体"/>
                <w:sz w:val="24"/>
              </w:rPr>
              <w:t>后台服务器</w:t>
            </w:r>
            <w:r>
              <w:rPr>
                <w:rFonts w:hint="eastAsia" w:ascii="宋体" w:hAnsi="宋体"/>
                <w:sz w:val="24"/>
              </w:rPr>
              <w:t>），实现预防式服务。直燃机故障除就地显示外，可通过控制系统自动反馈至直燃机制造商服务工程师移动终端设备</w:t>
            </w:r>
            <w:r>
              <w:rPr>
                <w:rFonts w:hint="eastAsia" w:ascii="宋体" w:hAnsi="宋体"/>
                <w:color w:val="000000"/>
                <w:sz w:val="24"/>
              </w:rPr>
              <w:t>；</w:t>
            </w:r>
            <w:r>
              <w:rPr>
                <w:rFonts w:ascii="宋体" w:hAnsi="宋体"/>
                <w:color w:val="000000"/>
                <w:sz w:val="24"/>
              </w:rPr>
              <w:t>提供免费</w:t>
            </w:r>
            <w:r>
              <w:rPr>
                <w:rFonts w:hint="eastAsia" w:ascii="宋体" w:hAnsi="宋体"/>
                <w:color w:val="000000"/>
                <w:sz w:val="24"/>
              </w:rPr>
              <w:t>实现与招标人手机或平板APP远程对接控制和显示工作状态。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59" w:type="dxa"/>
            <w:vAlign w:val="top"/>
          </w:tcPr>
          <w:p>
            <w:pPr>
              <w:spacing w:line="400" w:lineRule="exact"/>
              <w:rPr>
                <w:rFonts w:ascii="宋体" w:hAnsi="宋体"/>
                <w:sz w:val="24"/>
              </w:rPr>
            </w:pPr>
            <w:r>
              <w:rPr>
                <w:rFonts w:hint="eastAsia" w:ascii="宋体" w:hAnsi="宋体"/>
                <w:sz w:val="24"/>
              </w:rPr>
              <w:t>5</w:t>
            </w:r>
          </w:p>
        </w:tc>
        <w:tc>
          <w:tcPr>
            <w:tcW w:w="1275" w:type="dxa"/>
            <w:vAlign w:val="top"/>
          </w:tcPr>
          <w:p>
            <w:pPr>
              <w:spacing w:line="400" w:lineRule="exact"/>
              <w:rPr>
                <w:rFonts w:ascii="宋体" w:hAnsi="宋体"/>
                <w:sz w:val="24"/>
              </w:rPr>
            </w:pPr>
            <w:r>
              <w:rPr>
                <w:rFonts w:hint="eastAsia" w:ascii="宋体" w:hAnsi="宋体"/>
                <w:sz w:val="24"/>
              </w:rPr>
              <w:t>数据显示</w:t>
            </w:r>
          </w:p>
        </w:tc>
        <w:tc>
          <w:tcPr>
            <w:tcW w:w="7230" w:type="dxa"/>
            <w:vAlign w:val="top"/>
          </w:tcPr>
          <w:p>
            <w:pPr>
              <w:spacing w:line="400" w:lineRule="exact"/>
              <w:rPr>
                <w:rFonts w:ascii="宋体" w:hAnsi="宋体"/>
                <w:sz w:val="24"/>
              </w:rPr>
            </w:pPr>
            <w:r>
              <w:rPr>
                <w:rFonts w:ascii="宋体" w:hAnsi="宋体"/>
                <w:sz w:val="24"/>
              </w:rPr>
              <w:t>在控制</w:t>
            </w:r>
            <w:r>
              <w:rPr>
                <w:rFonts w:hint="eastAsia" w:ascii="宋体" w:hAnsi="宋体"/>
                <w:sz w:val="24"/>
              </w:rPr>
              <w:t>界面或直燃机控制屏</w:t>
            </w:r>
            <w:r>
              <w:rPr>
                <w:rFonts w:ascii="宋体" w:hAnsi="宋体"/>
                <w:sz w:val="24"/>
              </w:rPr>
              <w:t>显示：燃烧机实时火力精确数值，瞬时和日均能源效率，冷剂泵和发生泵工作频率，冷温水、冷却水、卫生热水实时流量以及燃气耗量，冷却水的实时变频频率，冷温水、冷却水、卫生热水的进出口温度设定值和实际达到值等。</w:t>
            </w:r>
          </w:p>
          <w:p>
            <w:pPr>
              <w:spacing w:line="400" w:lineRule="exact"/>
              <w:rPr>
                <w:rFonts w:ascii="宋体" w:hAnsi="宋体"/>
                <w:sz w:val="24"/>
              </w:rPr>
            </w:pPr>
            <w:r>
              <w:rPr>
                <w:rFonts w:ascii="宋体" w:hAnsi="宋体"/>
                <w:sz w:val="24"/>
              </w:rPr>
              <w:t>具备自动化控制功能，具备全自动运行和手动模式，实现空调机房的无人化管理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59" w:type="dxa"/>
            <w:vAlign w:val="top"/>
          </w:tcPr>
          <w:p>
            <w:pPr>
              <w:spacing w:line="400" w:lineRule="exact"/>
              <w:rPr>
                <w:rFonts w:ascii="宋体" w:hAnsi="宋体"/>
                <w:sz w:val="24"/>
              </w:rPr>
            </w:pPr>
            <w:r>
              <w:rPr>
                <w:rFonts w:hint="eastAsia" w:ascii="宋体" w:hAnsi="宋体"/>
                <w:sz w:val="24"/>
              </w:rPr>
              <w:t>6</w:t>
            </w:r>
          </w:p>
        </w:tc>
        <w:tc>
          <w:tcPr>
            <w:tcW w:w="1275" w:type="dxa"/>
            <w:vAlign w:val="top"/>
          </w:tcPr>
          <w:p>
            <w:pPr>
              <w:spacing w:line="400" w:lineRule="exact"/>
              <w:rPr>
                <w:rFonts w:ascii="宋体" w:hAnsi="宋体"/>
                <w:sz w:val="24"/>
              </w:rPr>
            </w:pPr>
            <w:r>
              <w:rPr>
                <w:rFonts w:hint="eastAsia" w:ascii="宋体" w:hAnsi="宋体"/>
                <w:sz w:val="24"/>
              </w:rPr>
              <w:t>水质保持</w:t>
            </w:r>
          </w:p>
        </w:tc>
        <w:tc>
          <w:tcPr>
            <w:tcW w:w="7230" w:type="dxa"/>
            <w:vAlign w:val="top"/>
          </w:tcPr>
          <w:p>
            <w:pPr>
              <w:spacing w:line="400" w:lineRule="exact"/>
              <w:rPr>
                <w:rFonts w:ascii="宋体" w:hAnsi="宋体"/>
                <w:sz w:val="24"/>
              </w:rPr>
            </w:pPr>
            <w:r>
              <w:rPr>
                <w:rFonts w:hint="eastAsia" w:ascii="宋体" w:hAnsi="宋体"/>
                <w:sz w:val="24"/>
              </w:rPr>
              <w:t>自动检测水质情况，并能自动加药实现软水、灭菌、除藻等功能；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59" w:type="dxa"/>
            <w:vAlign w:val="top"/>
          </w:tcPr>
          <w:p>
            <w:pPr>
              <w:spacing w:line="400" w:lineRule="exact"/>
              <w:rPr>
                <w:rFonts w:ascii="宋体" w:hAnsi="宋体"/>
                <w:sz w:val="24"/>
              </w:rPr>
            </w:pPr>
            <w:r>
              <w:rPr>
                <w:rFonts w:hint="eastAsia" w:ascii="宋体" w:hAnsi="宋体"/>
                <w:sz w:val="24"/>
              </w:rPr>
              <w:t>7</w:t>
            </w:r>
          </w:p>
        </w:tc>
        <w:tc>
          <w:tcPr>
            <w:tcW w:w="1275" w:type="dxa"/>
            <w:vAlign w:val="top"/>
          </w:tcPr>
          <w:p>
            <w:pPr>
              <w:spacing w:line="400" w:lineRule="exact"/>
              <w:rPr>
                <w:rFonts w:ascii="宋体" w:hAnsi="宋体"/>
                <w:sz w:val="24"/>
              </w:rPr>
            </w:pPr>
            <w:r>
              <w:rPr>
                <w:rFonts w:hint="eastAsia" w:ascii="宋体" w:hAnsi="宋体"/>
                <w:sz w:val="24"/>
              </w:rPr>
              <w:t>分时段分区供应</w:t>
            </w:r>
          </w:p>
        </w:tc>
        <w:tc>
          <w:tcPr>
            <w:tcW w:w="7230" w:type="dxa"/>
            <w:vAlign w:val="top"/>
          </w:tcPr>
          <w:p>
            <w:pPr>
              <w:spacing w:line="400" w:lineRule="exact"/>
              <w:rPr>
                <w:rFonts w:ascii="宋体" w:hAnsi="宋体"/>
                <w:sz w:val="24"/>
              </w:rPr>
            </w:pPr>
            <w:r>
              <w:rPr>
                <w:rFonts w:hint="eastAsia" w:ascii="宋体" w:hAnsi="宋体"/>
                <w:color w:val="000000"/>
                <w:sz w:val="24"/>
              </w:rPr>
              <w:t>因综合业务楼、门诊楼和病房楼部分区域工作时间不同，能实现自动定时开关冷冻水系统。</w:t>
            </w:r>
          </w:p>
        </w:tc>
      </w:tr>
    </w:tbl>
    <w:p>
      <w:pPr>
        <w:spacing w:line="400" w:lineRule="exact"/>
        <w:rPr>
          <w:rFonts w:ascii="宋体" w:hAnsi="宋体"/>
          <w:b/>
          <w:sz w:val="24"/>
        </w:rPr>
      </w:pPr>
      <w:r>
        <w:rPr>
          <w:rFonts w:hint="eastAsia" w:ascii="宋体" w:hAnsi="宋体"/>
          <w:b/>
          <w:sz w:val="24"/>
        </w:rPr>
        <w:t>（三）、冷却塔</w:t>
      </w:r>
    </w:p>
    <w:p>
      <w:pPr>
        <w:spacing w:line="400" w:lineRule="exact"/>
        <w:rPr>
          <w:rFonts w:ascii="宋体" w:hAnsi="宋体"/>
          <w:sz w:val="24"/>
        </w:rPr>
      </w:pPr>
      <w:r>
        <w:rPr>
          <w:rFonts w:hint="eastAsia" w:ascii="宋体" w:hAnsi="宋体"/>
          <w:sz w:val="24"/>
        </w:rPr>
        <w:t>1、冷却塔需求参数表</w:t>
      </w:r>
    </w:p>
    <w:tbl>
      <w:tblPr>
        <w:tblStyle w:val="41"/>
        <w:tblW w:w="946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6"/>
        <w:gridCol w:w="1337"/>
        <w:gridCol w:w="1984"/>
        <w:gridCol w:w="2268"/>
        <w:gridCol w:w="1418"/>
        <w:gridCol w:w="1134"/>
        <w:gridCol w:w="5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56" w:type="dxa"/>
            <w:vAlign w:val="center"/>
          </w:tcPr>
          <w:p>
            <w:pPr>
              <w:spacing w:line="400" w:lineRule="exact"/>
              <w:rPr>
                <w:rFonts w:ascii="宋体" w:hAnsi="宋体"/>
                <w:sz w:val="24"/>
              </w:rPr>
            </w:pPr>
            <w:r>
              <w:rPr>
                <w:rFonts w:hint="eastAsia" w:ascii="宋体" w:hAnsi="宋体"/>
                <w:sz w:val="24"/>
              </w:rPr>
              <w:t>序号</w:t>
            </w:r>
          </w:p>
        </w:tc>
        <w:tc>
          <w:tcPr>
            <w:tcW w:w="1337" w:type="dxa"/>
            <w:vAlign w:val="center"/>
          </w:tcPr>
          <w:p>
            <w:pPr>
              <w:spacing w:line="400" w:lineRule="exact"/>
              <w:rPr>
                <w:rFonts w:ascii="宋体" w:hAnsi="宋体"/>
                <w:color w:val="000000"/>
                <w:sz w:val="24"/>
              </w:rPr>
            </w:pPr>
            <w:r>
              <w:rPr>
                <w:rFonts w:hint="eastAsia" w:ascii="宋体" w:hAnsi="宋体"/>
                <w:color w:val="000000"/>
                <w:sz w:val="24"/>
              </w:rPr>
              <w:t>设备名称</w:t>
            </w:r>
          </w:p>
        </w:tc>
        <w:tc>
          <w:tcPr>
            <w:tcW w:w="1984" w:type="dxa"/>
            <w:vAlign w:val="center"/>
          </w:tcPr>
          <w:p>
            <w:pPr>
              <w:spacing w:line="400" w:lineRule="exact"/>
              <w:rPr>
                <w:rFonts w:ascii="宋体" w:hAnsi="宋体"/>
                <w:color w:val="000000"/>
                <w:sz w:val="24"/>
              </w:rPr>
            </w:pPr>
            <w:r>
              <w:rPr>
                <w:rFonts w:hint="eastAsia" w:ascii="宋体" w:hAnsi="宋体"/>
                <w:color w:val="000000"/>
                <w:sz w:val="24"/>
              </w:rPr>
              <w:t>循环水量</w:t>
            </w:r>
          </w:p>
        </w:tc>
        <w:tc>
          <w:tcPr>
            <w:tcW w:w="2268" w:type="dxa"/>
            <w:vAlign w:val="center"/>
          </w:tcPr>
          <w:p>
            <w:pPr>
              <w:spacing w:line="400" w:lineRule="exact"/>
              <w:rPr>
                <w:rFonts w:ascii="宋体" w:hAnsi="宋体"/>
                <w:color w:val="000000"/>
                <w:sz w:val="24"/>
              </w:rPr>
            </w:pPr>
            <w:r>
              <w:rPr>
                <w:rFonts w:hint="eastAsia" w:ascii="宋体" w:hAnsi="宋体"/>
                <w:color w:val="000000"/>
                <w:sz w:val="24"/>
              </w:rPr>
              <w:t>设计工况：进/出水/湿球温度</w:t>
            </w:r>
          </w:p>
        </w:tc>
        <w:tc>
          <w:tcPr>
            <w:tcW w:w="1418" w:type="dxa"/>
            <w:vAlign w:val="center"/>
          </w:tcPr>
          <w:p>
            <w:pPr>
              <w:spacing w:line="400" w:lineRule="exact"/>
              <w:rPr>
                <w:rFonts w:ascii="宋体" w:hAnsi="宋体"/>
                <w:color w:val="000000"/>
                <w:sz w:val="24"/>
              </w:rPr>
            </w:pPr>
            <w:r>
              <w:rPr>
                <w:rFonts w:hint="eastAsia" w:ascii="宋体" w:hAnsi="宋体"/>
                <w:color w:val="000000"/>
                <w:sz w:val="24"/>
              </w:rPr>
              <w:t>标准点处噪声要求</w:t>
            </w:r>
          </w:p>
        </w:tc>
        <w:tc>
          <w:tcPr>
            <w:tcW w:w="1134" w:type="dxa"/>
            <w:vAlign w:val="center"/>
          </w:tcPr>
          <w:p>
            <w:pPr>
              <w:spacing w:line="400" w:lineRule="exact"/>
              <w:rPr>
                <w:rFonts w:ascii="宋体" w:hAnsi="宋体"/>
                <w:color w:val="000000"/>
                <w:sz w:val="24"/>
              </w:rPr>
            </w:pPr>
            <w:r>
              <w:rPr>
                <w:rFonts w:hint="eastAsia" w:ascii="宋体" w:hAnsi="宋体"/>
                <w:color w:val="000000"/>
                <w:sz w:val="24"/>
              </w:rPr>
              <w:t>电机功率</w:t>
            </w:r>
          </w:p>
        </w:tc>
        <w:tc>
          <w:tcPr>
            <w:tcW w:w="567" w:type="dxa"/>
            <w:vAlign w:val="center"/>
          </w:tcPr>
          <w:p>
            <w:pPr>
              <w:spacing w:line="400" w:lineRule="exact"/>
              <w:rPr>
                <w:rFonts w:ascii="宋体" w:hAnsi="宋体"/>
                <w:color w:val="000000"/>
                <w:sz w:val="24"/>
              </w:rPr>
            </w:pPr>
            <w:r>
              <w:rPr>
                <w:rFonts w:hint="eastAsia" w:ascii="宋体" w:hAnsi="宋体"/>
                <w:color w:val="000000"/>
                <w:sz w:val="24"/>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56" w:type="dxa"/>
            <w:vAlign w:val="center"/>
          </w:tcPr>
          <w:p>
            <w:pPr>
              <w:spacing w:line="400" w:lineRule="exact"/>
              <w:rPr>
                <w:rFonts w:ascii="宋体" w:hAnsi="宋体"/>
                <w:sz w:val="24"/>
              </w:rPr>
            </w:pPr>
            <w:r>
              <w:rPr>
                <w:rFonts w:hint="eastAsia" w:ascii="宋体" w:hAnsi="宋体"/>
                <w:sz w:val="24"/>
              </w:rPr>
              <w:t>1</w:t>
            </w:r>
          </w:p>
        </w:tc>
        <w:tc>
          <w:tcPr>
            <w:tcW w:w="1337" w:type="dxa"/>
            <w:vAlign w:val="center"/>
          </w:tcPr>
          <w:p>
            <w:pPr>
              <w:spacing w:line="400" w:lineRule="exact"/>
              <w:rPr>
                <w:rFonts w:ascii="宋体" w:hAnsi="宋体"/>
                <w:color w:val="000000"/>
                <w:sz w:val="24"/>
              </w:rPr>
            </w:pPr>
            <w:r>
              <w:rPr>
                <w:rFonts w:hint="eastAsia" w:ascii="宋体" w:hAnsi="宋体"/>
                <w:color w:val="000000"/>
                <w:sz w:val="24"/>
              </w:rPr>
              <w:t>方形低噪音横流式冷却塔</w:t>
            </w:r>
          </w:p>
        </w:tc>
        <w:tc>
          <w:tcPr>
            <w:tcW w:w="1984" w:type="dxa"/>
            <w:vAlign w:val="center"/>
          </w:tcPr>
          <w:p>
            <w:pPr>
              <w:spacing w:line="400" w:lineRule="exact"/>
              <w:rPr>
                <w:rFonts w:ascii="宋体" w:hAnsi="宋体"/>
                <w:color w:val="000000"/>
                <w:sz w:val="24"/>
              </w:rPr>
            </w:pPr>
            <w:r>
              <w:rPr>
                <w:rFonts w:hint="eastAsia" w:ascii="宋体" w:hAnsi="宋体"/>
                <w:color w:val="000000"/>
                <w:sz w:val="24"/>
              </w:rPr>
              <w:t>总量：1200m3/h</w:t>
            </w:r>
          </w:p>
          <w:p>
            <w:pPr>
              <w:spacing w:line="400" w:lineRule="exact"/>
              <w:rPr>
                <w:rFonts w:ascii="宋体" w:hAnsi="宋体"/>
                <w:color w:val="000000"/>
                <w:sz w:val="24"/>
              </w:rPr>
            </w:pPr>
            <w:r>
              <w:rPr>
                <w:rFonts w:hint="eastAsia" w:ascii="宋体" w:hAnsi="宋体"/>
                <w:color w:val="000000"/>
                <w:sz w:val="24"/>
              </w:rPr>
              <w:t>集水盘水容量不小于1分钟的循环水量</w:t>
            </w:r>
          </w:p>
        </w:tc>
        <w:tc>
          <w:tcPr>
            <w:tcW w:w="2268" w:type="dxa"/>
            <w:vAlign w:val="center"/>
          </w:tcPr>
          <w:p>
            <w:pPr>
              <w:spacing w:line="400" w:lineRule="exact"/>
              <w:rPr>
                <w:rFonts w:ascii="宋体" w:hAnsi="宋体"/>
                <w:color w:val="000000"/>
                <w:sz w:val="24"/>
              </w:rPr>
            </w:pPr>
            <w:r>
              <w:rPr>
                <w:rFonts w:hint="eastAsia" w:ascii="宋体" w:hAnsi="宋体"/>
                <w:color w:val="000000"/>
                <w:sz w:val="24"/>
              </w:rPr>
              <w:t>37℃/32℃/28℃</w:t>
            </w:r>
          </w:p>
        </w:tc>
        <w:tc>
          <w:tcPr>
            <w:tcW w:w="1418" w:type="dxa"/>
            <w:vAlign w:val="center"/>
          </w:tcPr>
          <w:p>
            <w:pPr>
              <w:spacing w:line="400" w:lineRule="exact"/>
              <w:rPr>
                <w:rFonts w:ascii="宋体" w:hAnsi="宋体"/>
                <w:color w:val="000000"/>
                <w:sz w:val="24"/>
              </w:rPr>
            </w:pPr>
            <w:r>
              <w:rPr>
                <w:rFonts w:hint="eastAsia" w:ascii="宋体" w:hAnsi="宋体"/>
                <w:color w:val="000000"/>
                <w:sz w:val="24"/>
              </w:rPr>
              <w:t>噪声≤66dB（A）</w:t>
            </w:r>
          </w:p>
        </w:tc>
        <w:tc>
          <w:tcPr>
            <w:tcW w:w="1134" w:type="dxa"/>
            <w:vAlign w:val="center"/>
          </w:tcPr>
          <w:p>
            <w:pPr>
              <w:spacing w:line="400" w:lineRule="exact"/>
              <w:rPr>
                <w:rFonts w:ascii="宋体" w:hAnsi="宋体"/>
                <w:color w:val="000000"/>
                <w:sz w:val="24"/>
              </w:rPr>
            </w:pPr>
            <w:r>
              <w:rPr>
                <w:rFonts w:hint="eastAsia" w:ascii="宋体" w:hAnsi="宋体"/>
                <w:color w:val="000000"/>
                <w:sz w:val="24"/>
              </w:rPr>
              <w:t>≤37kW</w:t>
            </w:r>
          </w:p>
        </w:tc>
        <w:tc>
          <w:tcPr>
            <w:tcW w:w="567" w:type="dxa"/>
            <w:vAlign w:val="center"/>
          </w:tcPr>
          <w:p>
            <w:pPr>
              <w:spacing w:line="400" w:lineRule="exact"/>
              <w:rPr>
                <w:rFonts w:ascii="宋体" w:hAnsi="宋体"/>
                <w:color w:val="000000"/>
                <w:sz w:val="24"/>
              </w:rPr>
            </w:pPr>
            <w:r>
              <w:rPr>
                <w:rFonts w:hint="eastAsia" w:ascii="宋体" w:hAnsi="宋体"/>
                <w:color w:val="000000"/>
                <w:sz w:val="24"/>
              </w:rPr>
              <w:t>3</w:t>
            </w:r>
          </w:p>
        </w:tc>
      </w:tr>
    </w:tbl>
    <w:p>
      <w:pPr>
        <w:spacing w:line="400" w:lineRule="exact"/>
        <w:ind w:firstLine="425" w:firstLineChars="177"/>
        <w:rPr>
          <w:rFonts w:ascii="宋体" w:hAnsi="宋体"/>
          <w:sz w:val="24"/>
        </w:rPr>
      </w:pPr>
      <w:r>
        <w:rPr>
          <w:rFonts w:hint="eastAsia" w:ascii="宋体" w:hAnsi="宋体"/>
          <w:sz w:val="24"/>
        </w:rPr>
        <w:t>2、冷却塔技术要求</w:t>
      </w:r>
    </w:p>
    <w:p>
      <w:pPr>
        <w:spacing w:line="400" w:lineRule="exact"/>
        <w:ind w:firstLine="425" w:firstLineChars="177"/>
        <w:rPr>
          <w:rFonts w:ascii="宋体" w:hAnsi="宋体"/>
          <w:sz w:val="24"/>
        </w:rPr>
      </w:pPr>
      <w:r>
        <w:rPr>
          <w:rFonts w:hint="eastAsia" w:ascii="宋体" w:hAnsi="宋体"/>
          <w:sz w:val="24"/>
        </w:rPr>
        <w:t>冷却塔为方形横流低噪音冷却塔，冷却塔的整体性能应满足下列要求：</w:t>
      </w:r>
    </w:p>
    <w:p>
      <w:pPr>
        <w:numPr>
          <w:ilvl w:val="0"/>
          <w:numId w:val="11"/>
        </w:numPr>
        <w:spacing w:line="400" w:lineRule="exact"/>
        <w:ind w:left="0" w:firstLine="425" w:firstLineChars="177"/>
        <w:rPr>
          <w:rFonts w:ascii="宋体" w:hAnsi="宋体"/>
          <w:sz w:val="24"/>
        </w:rPr>
      </w:pPr>
      <w:r>
        <w:rPr>
          <w:rFonts w:hint="eastAsia" w:ascii="宋体" w:hAnsi="宋体"/>
          <w:sz w:val="24"/>
        </w:rPr>
        <w:t>塔体采用钢框架，外壳为热镀锌钢板</w:t>
      </w:r>
      <w:r>
        <w:rPr>
          <w:rFonts w:hint="eastAsia" w:ascii="宋体" w:hAnsi="宋体"/>
          <w:color w:val="000000"/>
          <w:sz w:val="24"/>
        </w:rPr>
        <w:t>外壳，</w:t>
      </w:r>
      <w:r>
        <w:rPr>
          <w:rFonts w:hint="eastAsia" w:ascii="宋体" w:hAnsi="宋体"/>
          <w:sz w:val="24"/>
        </w:rPr>
        <w:t>所有钢构件采用热镀锌，连接件采用304#不锈钢螺栓。</w:t>
      </w:r>
    </w:p>
    <w:p>
      <w:pPr>
        <w:numPr>
          <w:ilvl w:val="0"/>
          <w:numId w:val="11"/>
        </w:numPr>
        <w:spacing w:line="400" w:lineRule="exact"/>
        <w:ind w:left="0" w:firstLine="425" w:firstLineChars="177"/>
        <w:rPr>
          <w:rFonts w:ascii="宋体" w:hAnsi="宋体"/>
          <w:sz w:val="24"/>
        </w:rPr>
      </w:pPr>
      <w:r>
        <w:rPr>
          <w:rFonts w:hint="eastAsia" w:ascii="宋体" w:hAnsi="宋体"/>
          <w:sz w:val="24"/>
        </w:rPr>
        <w:t>填料应具有良好的热力性能及阻力特性，耐高温，抗低温，阻燃性能好，使用寿命应大于12年，同时应具有很好的强度和刚度。</w:t>
      </w:r>
    </w:p>
    <w:p>
      <w:pPr>
        <w:numPr>
          <w:ilvl w:val="0"/>
          <w:numId w:val="11"/>
        </w:numPr>
        <w:spacing w:line="400" w:lineRule="exact"/>
        <w:ind w:left="0" w:firstLine="425" w:firstLineChars="177"/>
        <w:rPr>
          <w:rFonts w:ascii="宋体" w:hAnsi="宋体"/>
          <w:sz w:val="24"/>
        </w:rPr>
      </w:pPr>
      <w:r>
        <w:rPr>
          <w:rFonts w:hint="eastAsia" w:ascii="宋体" w:hAnsi="宋体"/>
          <w:sz w:val="24"/>
        </w:rPr>
        <w:t>采用重力池加喷头布水模式，选用的喷头应为大口径，不堵塞，内部无活动件，免维护时间长，正常使用寿命应大于15年，冷却水能与空气在填料中充分热交换。应控制冷却塔的漂水率，配置的收水系统应具有高收水效率和低空气阻力，漂水率应小于0.001%。</w:t>
      </w:r>
    </w:p>
    <w:p>
      <w:pPr>
        <w:numPr>
          <w:ilvl w:val="0"/>
          <w:numId w:val="11"/>
        </w:numPr>
        <w:spacing w:line="400" w:lineRule="exact"/>
        <w:ind w:left="0" w:firstLine="425" w:firstLineChars="177"/>
        <w:rPr>
          <w:rFonts w:ascii="宋体" w:hAnsi="宋体"/>
          <w:sz w:val="24"/>
        </w:rPr>
      </w:pPr>
      <w:r>
        <w:rPr>
          <w:rFonts w:hint="eastAsia" w:ascii="宋体" w:hAnsi="宋体"/>
          <w:sz w:val="24"/>
        </w:rPr>
        <w:t>热力性能要求：按水温降对比法求出的实测冷却能力与设计冷却能力的百分比（ηst）不得小于100%。</w:t>
      </w:r>
    </w:p>
    <w:p>
      <w:pPr>
        <w:numPr>
          <w:ilvl w:val="0"/>
          <w:numId w:val="11"/>
        </w:numPr>
        <w:spacing w:line="400" w:lineRule="exact"/>
        <w:ind w:left="0" w:firstLine="426" w:firstLineChars="177"/>
        <w:rPr>
          <w:rFonts w:ascii="宋体" w:hAnsi="宋体"/>
          <w:sz w:val="24"/>
        </w:rPr>
      </w:pPr>
      <w:r>
        <w:rPr>
          <w:rFonts w:hint="eastAsia" w:ascii="宋体" w:hAnsi="宋体"/>
          <w:b/>
          <w:sz w:val="24"/>
        </w:rPr>
        <w:t>※</w:t>
      </w:r>
      <w:r>
        <w:rPr>
          <w:rFonts w:hint="eastAsia" w:ascii="宋体" w:hAnsi="宋体"/>
          <w:sz w:val="24"/>
        </w:rPr>
        <w:t>为保证换热效率，投标冷却塔型号需满足新版国标GB7190.1-2008检测标准。</w:t>
      </w:r>
    </w:p>
    <w:p>
      <w:pPr>
        <w:numPr>
          <w:ilvl w:val="0"/>
          <w:numId w:val="11"/>
        </w:numPr>
        <w:spacing w:line="400" w:lineRule="exact"/>
        <w:ind w:left="0" w:firstLine="425" w:firstLineChars="177"/>
        <w:rPr>
          <w:rFonts w:ascii="宋体" w:hAnsi="宋体"/>
          <w:sz w:val="24"/>
        </w:rPr>
      </w:pPr>
      <w:r>
        <w:rPr>
          <w:rFonts w:hint="eastAsia" w:ascii="宋体" w:hAnsi="宋体"/>
          <w:sz w:val="24"/>
        </w:rPr>
        <w:t>填料材料应选用冷却效率高、通风阻力小、耐温性能好的改性阻燃PVC材料，再生材料将不被接受，其氧指数应不小于32，达到国家B1级难燃标准。</w:t>
      </w:r>
    </w:p>
    <w:p>
      <w:pPr>
        <w:numPr>
          <w:ilvl w:val="0"/>
          <w:numId w:val="11"/>
        </w:numPr>
        <w:spacing w:line="400" w:lineRule="exact"/>
        <w:ind w:left="0" w:firstLine="425" w:firstLineChars="177"/>
        <w:rPr>
          <w:rFonts w:ascii="宋体" w:hAnsi="宋体"/>
          <w:sz w:val="24"/>
        </w:rPr>
      </w:pPr>
      <w:r>
        <w:rPr>
          <w:rFonts w:hint="eastAsia" w:ascii="宋体" w:hAnsi="宋体"/>
          <w:sz w:val="24"/>
        </w:rPr>
        <w:t>电机采用封闭风冷式Y系列，电机应便于安装、调整。电机应能满足在重庆地区的环境中存储和连续运行。电动机的电流值，不应超过额定电流值。实测耗电比不大于0.035kW/(m3/h)，电机密封保护等级IP55，绝缘等级F级。电机的使用寿命在正常情况下运行不少于1</w:t>
      </w:r>
      <w:r>
        <w:rPr>
          <w:rFonts w:ascii="宋体" w:hAnsi="宋体"/>
          <w:sz w:val="24"/>
        </w:rPr>
        <w:t>5</w:t>
      </w:r>
      <w:r>
        <w:rPr>
          <w:rFonts w:hint="eastAsia" w:ascii="宋体" w:hAnsi="宋体"/>
          <w:sz w:val="24"/>
        </w:rPr>
        <w:t>年，轴承的设计使用寿命不少于</w:t>
      </w:r>
      <w:r>
        <w:rPr>
          <w:rFonts w:ascii="宋体" w:hAnsi="宋体"/>
          <w:sz w:val="24"/>
        </w:rPr>
        <w:t>5</w:t>
      </w:r>
      <w:r>
        <w:rPr>
          <w:rFonts w:hint="eastAsia" w:ascii="宋体" w:hAnsi="宋体"/>
          <w:sz w:val="24"/>
        </w:rPr>
        <w:t>0000小时。</w:t>
      </w:r>
    </w:p>
    <w:p>
      <w:pPr>
        <w:numPr>
          <w:ilvl w:val="0"/>
          <w:numId w:val="11"/>
        </w:numPr>
        <w:spacing w:line="400" w:lineRule="exact"/>
        <w:ind w:left="0" w:firstLine="425" w:firstLineChars="177"/>
        <w:rPr>
          <w:rFonts w:ascii="宋体" w:hAnsi="宋体"/>
          <w:sz w:val="24"/>
        </w:rPr>
      </w:pPr>
      <w:r>
        <w:rPr>
          <w:rFonts w:hint="eastAsia" w:ascii="宋体" w:hAnsi="宋体"/>
          <w:sz w:val="24"/>
        </w:rPr>
        <w:t>风机应采用高效率、高强度叶轮结构，风机叶片材料为双层铝合金，要求强度可靠，表面光洁，各截面过渡均匀、无裂纹、缺口、毛刺、气泡等缺陷，正常使用寿命要求大于15年。采用国内外著名品牌风机产品。</w:t>
      </w:r>
    </w:p>
    <w:p>
      <w:pPr>
        <w:numPr>
          <w:ilvl w:val="0"/>
          <w:numId w:val="11"/>
        </w:numPr>
        <w:spacing w:line="400" w:lineRule="exact"/>
        <w:ind w:left="0" w:firstLine="425" w:firstLineChars="177"/>
        <w:rPr>
          <w:rFonts w:ascii="宋体" w:hAnsi="宋体"/>
          <w:sz w:val="24"/>
        </w:rPr>
      </w:pPr>
      <w:r>
        <w:rPr>
          <w:rFonts w:hint="eastAsia" w:ascii="宋体" w:hAnsi="宋体"/>
          <w:sz w:val="24"/>
        </w:rPr>
        <w:t>塔体应设计有热浸镀锌钢扶梯上到上塔顶平台；塔内设有宽敞的检修走道及扶手、可移动式检修平台，方便对塔内部进行维护保养。</w:t>
      </w:r>
    </w:p>
    <w:p>
      <w:pPr>
        <w:numPr>
          <w:ilvl w:val="0"/>
          <w:numId w:val="11"/>
        </w:numPr>
        <w:spacing w:line="400" w:lineRule="exact"/>
        <w:ind w:left="0" w:firstLine="425" w:firstLineChars="177"/>
        <w:rPr>
          <w:rFonts w:ascii="宋体" w:hAnsi="宋体"/>
          <w:sz w:val="24"/>
        </w:rPr>
      </w:pPr>
      <w:r>
        <w:rPr>
          <w:rFonts w:hint="eastAsia" w:ascii="宋体" w:hAnsi="宋体"/>
          <w:sz w:val="24"/>
        </w:rPr>
        <w:t>集水盘强化玻璃钢制造，不受季节变化影响；集水盆在贮水后应无渗漏现象；集水盆应设有自动给水装置及阀门、手动补水口、出水口、满水溢流口、排污口。</w:t>
      </w:r>
    </w:p>
    <w:p>
      <w:pPr>
        <w:numPr>
          <w:ilvl w:val="0"/>
          <w:numId w:val="11"/>
        </w:numPr>
        <w:spacing w:line="400" w:lineRule="exact"/>
        <w:ind w:left="0" w:firstLine="425" w:firstLineChars="177"/>
        <w:rPr>
          <w:rFonts w:ascii="宋体" w:hAnsi="宋体"/>
          <w:sz w:val="24"/>
        </w:rPr>
      </w:pPr>
      <w:r>
        <w:rPr>
          <w:rFonts w:hint="eastAsia" w:ascii="宋体" w:hAnsi="宋体"/>
          <w:sz w:val="24"/>
        </w:rPr>
        <w:t>填料安装时要求整张悬挂式，间隙均匀、顶面平整、无塌落和叠片现象，填料片不得穿孔破裂。</w:t>
      </w:r>
    </w:p>
    <w:p>
      <w:pPr>
        <w:numPr>
          <w:ilvl w:val="0"/>
          <w:numId w:val="11"/>
        </w:numPr>
        <w:spacing w:line="400" w:lineRule="exact"/>
        <w:ind w:left="0" w:firstLine="425" w:firstLineChars="177"/>
        <w:rPr>
          <w:rFonts w:ascii="宋体" w:hAnsi="宋体"/>
          <w:sz w:val="24"/>
        </w:rPr>
      </w:pPr>
      <w:r>
        <w:rPr>
          <w:rFonts w:hint="eastAsia" w:ascii="宋体" w:hAnsi="宋体"/>
          <w:sz w:val="24"/>
        </w:rPr>
        <w:t>能提供最佳的空气与热水的接触面而产生最有效的热交换作用；填料设计宜易于安装和取出清洗，不用胶水粘接。</w:t>
      </w:r>
    </w:p>
    <w:p>
      <w:pPr>
        <w:numPr>
          <w:ilvl w:val="0"/>
          <w:numId w:val="12"/>
        </w:numPr>
        <w:spacing w:line="400" w:lineRule="exact"/>
        <w:ind w:firstLine="426" w:firstLineChars="177"/>
        <w:rPr>
          <w:rFonts w:ascii="宋体" w:hAnsi="宋体"/>
          <w:b/>
          <w:sz w:val="24"/>
        </w:rPr>
      </w:pPr>
      <w:r>
        <w:rPr>
          <w:rFonts w:hint="eastAsia" w:ascii="宋体" w:hAnsi="宋体"/>
          <w:b/>
          <w:sz w:val="24"/>
        </w:rPr>
        <w:t>空气处理机组</w:t>
      </w:r>
    </w:p>
    <w:p>
      <w:pPr>
        <w:numPr>
          <w:ilvl w:val="0"/>
          <w:numId w:val="13"/>
        </w:numPr>
        <w:spacing w:line="400" w:lineRule="exact"/>
        <w:rPr>
          <w:rFonts w:ascii="宋体" w:hAnsi="宋体"/>
          <w:b/>
          <w:sz w:val="24"/>
        </w:rPr>
      </w:pPr>
      <w:r>
        <w:rPr>
          <w:rFonts w:hint="eastAsia" w:ascii="宋体" w:hAnsi="宋体"/>
          <w:b/>
          <w:sz w:val="24"/>
        </w:rPr>
        <w:t>空气处理机技术要求</w:t>
      </w:r>
    </w:p>
    <w:p>
      <w:pPr>
        <w:numPr>
          <w:ilvl w:val="0"/>
          <w:numId w:val="14"/>
        </w:numPr>
        <w:spacing w:line="400" w:lineRule="exact"/>
        <w:rPr>
          <w:rFonts w:ascii="宋体" w:hAnsi="宋体"/>
          <w:sz w:val="24"/>
        </w:rPr>
      </w:pPr>
      <w:r>
        <w:rPr>
          <w:rFonts w:hint="eastAsia" w:ascii="宋体" w:hAnsi="宋体"/>
          <w:sz w:val="24"/>
        </w:rPr>
        <w:t>要求选用国内外著名品牌风机。</w:t>
      </w:r>
    </w:p>
    <w:p>
      <w:pPr>
        <w:numPr>
          <w:ilvl w:val="0"/>
          <w:numId w:val="14"/>
        </w:numPr>
        <w:spacing w:line="400" w:lineRule="exact"/>
        <w:rPr>
          <w:rFonts w:ascii="宋体" w:hAnsi="宋体"/>
          <w:sz w:val="24"/>
        </w:rPr>
      </w:pPr>
      <w:r>
        <w:rPr>
          <w:rFonts w:hint="eastAsia" w:ascii="宋体" w:hAnsi="宋体"/>
          <w:sz w:val="24"/>
        </w:rPr>
        <w:t>风机采用前倾多翼风机，风量大、噪声低。</w:t>
      </w:r>
    </w:p>
    <w:p>
      <w:pPr>
        <w:numPr>
          <w:ilvl w:val="0"/>
          <w:numId w:val="14"/>
        </w:numPr>
        <w:spacing w:line="400" w:lineRule="exact"/>
        <w:rPr>
          <w:rFonts w:ascii="宋体" w:hAnsi="宋体"/>
          <w:sz w:val="24"/>
        </w:rPr>
      </w:pPr>
      <w:r>
        <w:rPr>
          <w:rFonts w:hint="eastAsia" w:ascii="宋体" w:hAnsi="宋体"/>
          <w:sz w:val="24"/>
        </w:rPr>
        <w:t>机组轴承、传动皮带均采用进口部件，自润滑免维护式NSK/FYH/PEER轴承拥有100000小时的超长使用寿命。</w:t>
      </w:r>
    </w:p>
    <w:p>
      <w:pPr>
        <w:numPr>
          <w:ilvl w:val="0"/>
          <w:numId w:val="14"/>
        </w:numPr>
        <w:spacing w:line="400" w:lineRule="exact"/>
        <w:rPr>
          <w:rFonts w:ascii="宋体" w:hAnsi="宋体"/>
          <w:sz w:val="24"/>
        </w:rPr>
      </w:pPr>
      <w:r>
        <w:rPr>
          <w:rFonts w:hint="eastAsia" w:ascii="宋体" w:hAnsi="宋体"/>
          <w:sz w:val="24"/>
        </w:rPr>
        <w:t>表冷器采用进口品牌铜管制造，穿套优质铝翅片，并经特殊防锈处理制造而成。</w:t>
      </w:r>
    </w:p>
    <w:p>
      <w:pPr>
        <w:numPr>
          <w:ilvl w:val="0"/>
          <w:numId w:val="14"/>
        </w:numPr>
        <w:spacing w:line="400" w:lineRule="exact"/>
        <w:rPr>
          <w:rFonts w:ascii="宋体" w:hAnsi="宋体"/>
          <w:sz w:val="24"/>
        </w:rPr>
      </w:pPr>
      <w:r>
        <w:rPr>
          <w:rFonts w:hint="eastAsia" w:ascii="宋体" w:hAnsi="宋体"/>
          <w:sz w:val="24"/>
        </w:rPr>
        <w:t>采用机械胀管，保证良好的换热性能。并且表冷器与机组箱体密闭接触，保证换热效率，加长的盘管连接有助于顺畅排水。</w:t>
      </w:r>
    </w:p>
    <w:p>
      <w:pPr>
        <w:numPr>
          <w:ilvl w:val="0"/>
          <w:numId w:val="14"/>
        </w:numPr>
        <w:spacing w:line="400" w:lineRule="exact"/>
        <w:rPr>
          <w:rFonts w:ascii="宋体" w:hAnsi="宋体"/>
          <w:sz w:val="24"/>
        </w:rPr>
      </w:pPr>
      <w:r>
        <w:rPr>
          <w:rFonts w:hint="eastAsia" w:ascii="宋体" w:hAnsi="宋体"/>
          <w:sz w:val="24"/>
        </w:rPr>
        <w:t>多种回路设计，适应不同运行工况，有效降低传热温差、提高换热效率。</w:t>
      </w:r>
    </w:p>
    <w:p>
      <w:pPr>
        <w:numPr>
          <w:ilvl w:val="0"/>
          <w:numId w:val="14"/>
        </w:numPr>
        <w:spacing w:line="400" w:lineRule="exact"/>
        <w:rPr>
          <w:rFonts w:ascii="宋体" w:hAnsi="宋体"/>
          <w:sz w:val="24"/>
        </w:rPr>
      </w:pPr>
      <w:r>
        <w:rPr>
          <w:rFonts w:hint="eastAsia" w:ascii="宋体" w:hAnsi="宋体"/>
          <w:sz w:val="24"/>
        </w:rPr>
        <w:t>表冷器在最高处装有无需工具只用人手就可操作的放气阀，方便将盘管内的空气彻底排放干净。盘管下部有排水阀，可将盘管内的水彻底排放干净。</w:t>
      </w:r>
    </w:p>
    <w:p>
      <w:pPr>
        <w:numPr>
          <w:ilvl w:val="0"/>
          <w:numId w:val="14"/>
        </w:numPr>
        <w:spacing w:line="400" w:lineRule="exact"/>
        <w:rPr>
          <w:rFonts w:ascii="宋体" w:hAnsi="宋体"/>
          <w:sz w:val="24"/>
        </w:rPr>
      </w:pPr>
      <w:r>
        <w:rPr>
          <w:rFonts w:hint="eastAsia" w:ascii="宋体" w:hAnsi="宋体"/>
          <w:sz w:val="24"/>
        </w:rPr>
        <w:t>所有盘管均经过特殊溶液清洗，确保洗净盘管上的油污和脏物。</w:t>
      </w:r>
    </w:p>
    <w:p>
      <w:pPr>
        <w:numPr>
          <w:ilvl w:val="0"/>
          <w:numId w:val="14"/>
        </w:numPr>
        <w:spacing w:line="400" w:lineRule="exact"/>
        <w:rPr>
          <w:rFonts w:ascii="宋体" w:hAnsi="宋体"/>
          <w:sz w:val="24"/>
        </w:rPr>
      </w:pPr>
      <w:r>
        <w:rPr>
          <w:rFonts w:hint="eastAsia" w:ascii="宋体" w:hAnsi="宋体"/>
          <w:sz w:val="24"/>
        </w:rPr>
        <w:t>可倾斜的冷凝水排水盘有效保证的冷凝水的排放，保证机组内部的清洁与干净。</w:t>
      </w:r>
    </w:p>
    <w:p>
      <w:pPr>
        <w:spacing w:line="400" w:lineRule="exact"/>
        <w:rPr>
          <w:rFonts w:ascii="宋体" w:hAnsi="宋体"/>
          <w:b/>
          <w:sz w:val="24"/>
        </w:rPr>
      </w:pPr>
      <w:r>
        <w:rPr>
          <w:rFonts w:hint="eastAsia" w:ascii="宋体" w:hAnsi="宋体"/>
          <w:b/>
          <w:sz w:val="24"/>
        </w:rPr>
        <w:t>(五)、风机盘管</w:t>
      </w:r>
    </w:p>
    <w:p>
      <w:pPr>
        <w:spacing w:line="400" w:lineRule="exact"/>
        <w:rPr>
          <w:rFonts w:ascii="宋体" w:hAnsi="宋体"/>
          <w:b/>
          <w:sz w:val="24"/>
        </w:rPr>
      </w:pPr>
      <w:r>
        <w:rPr>
          <w:rFonts w:hint="eastAsia" w:ascii="宋体" w:hAnsi="宋体"/>
          <w:b/>
          <w:sz w:val="24"/>
        </w:rPr>
        <w:t>1、风机盘管技术要求</w:t>
      </w:r>
    </w:p>
    <w:p>
      <w:pPr>
        <w:numPr>
          <w:ilvl w:val="0"/>
          <w:numId w:val="15"/>
        </w:numPr>
        <w:spacing w:line="400" w:lineRule="exact"/>
        <w:rPr>
          <w:rFonts w:ascii="宋体" w:hAnsi="宋体"/>
          <w:sz w:val="24"/>
        </w:rPr>
      </w:pPr>
      <w:r>
        <w:rPr>
          <w:rFonts w:hint="eastAsia" w:ascii="宋体" w:hAnsi="宋体"/>
          <w:sz w:val="24"/>
        </w:rPr>
        <w:t>轻巧外形，机组整体轻巧美观，结构紧凑坚固。超薄机身设计可使机组安装在相当狭小的天花吊顶内。</w:t>
      </w:r>
    </w:p>
    <w:p>
      <w:pPr>
        <w:numPr>
          <w:ilvl w:val="0"/>
          <w:numId w:val="15"/>
        </w:numPr>
        <w:spacing w:line="400" w:lineRule="exact"/>
        <w:rPr>
          <w:rFonts w:ascii="宋体" w:hAnsi="宋体"/>
          <w:sz w:val="24"/>
        </w:rPr>
      </w:pPr>
      <w:r>
        <w:rPr>
          <w:rFonts w:hint="eastAsia" w:ascii="宋体" w:hAnsi="宋体"/>
          <w:sz w:val="24"/>
        </w:rPr>
        <w:t>高效能，机组换热盘管采用优质空调薄壁紫铜管，配以高效双曲型百叶窗铝翅片，精密机械涨管，换热效率高。大风量宽叶轮风机的强化送风使机组发挥最大的传热效能。</w:t>
      </w:r>
    </w:p>
    <w:p>
      <w:pPr>
        <w:numPr>
          <w:ilvl w:val="0"/>
          <w:numId w:val="15"/>
        </w:numPr>
        <w:spacing w:line="400" w:lineRule="exact"/>
        <w:rPr>
          <w:rFonts w:ascii="宋体" w:hAnsi="宋体"/>
          <w:sz w:val="24"/>
        </w:rPr>
      </w:pPr>
      <w:r>
        <w:rPr>
          <w:rFonts w:hint="eastAsia" w:ascii="宋体" w:hAnsi="宋体"/>
          <w:sz w:val="24"/>
        </w:rPr>
        <w:t>安全防漏，机组凝结水盘为整体冲压一次成型，无焊缝，焊点；B1级的保温材料整体一次粘贴于水盘，杜绝滴漏水现象。专门设计的水盘带有一定倾斜度，确保凝结水迅速排出。</w:t>
      </w:r>
    </w:p>
    <w:p>
      <w:pPr>
        <w:numPr>
          <w:ilvl w:val="0"/>
          <w:numId w:val="15"/>
        </w:numPr>
        <w:spacing w:line="400" w:lineRule="exact"/>
        <w:rPr>
          <w:rFonts w:ascii="宋体" w:hAnsi="宋体"/>
          <w:sz w:val="24"/>
        </w:rPr>
      </w:pPr>
      <w:r>
        <w:rPr>
          <w:rFonts w:hint="eastAsia" w:ascii="宋体" w:hAnsi="宋体"/>
          <w:sz w:val="24"/>
        </w:rPr>
        <w:t>低噪声，机组采用宽叶轮低转速的前倾式离心风机，经过严格动平衡调整，性能稳定。加上采用高效吸音保温材料，在保证风量与出风静压的基础上最大限度的降低机组运行噪声。</w:t>
      </w:r>
    </w:p>
    <w:p>
      <w:pPr>
        <w:spacing w:line="400" w:lineRule="exact"/>
        <w:rPr>
          <w:rFonts w:ascii="宋体" w:hAnsi="宋体"/>
          <w:b/>
          <w:sz w:val="24"/>
        </w:rPr>
      </w:pPr>
      <w:r>
        <w:rPr>
          <w:rFonts w:hint="eastAsia" w:ascii="宋体" w:hAnsi="宋体"/>
          <w:sz w:val="24"/>
        </w:rPr>
        <w:t>维护保养方便，机组采用单相电容式电机，配以高精度永久润滑封闭优质滚珠轴承，噪声低，寿命长。电机轴经过特殊防锈处理，经久耐用。电机引出线全部套以金属。</w:t>
      </w:r>
    </w:p>
    <w:p>
      <w:r>
        <w:rPr>
          <w:rFonts w:hint="eastAsia"/>
        </w:rPr>
        <w:t>（六）、材料品牌推荐：</w:t>
      </w:r>
    </w:p>
    <w:tbl>
      <w:tblPr>
        <w:tblStyle w:val="41"/>
        <w:tblW w:w="9371"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9"/>
        <w:gridCol w:w="3357"/>
        <w:gridCol w:w="5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trPr>
        <w:tc>
          <w:tcPr>
            <w:tcW w:w="769" w:type="dxa"/>
            <w:vAlign w:val="center"/>
          </w:tcPr>
          <w:p>
            <w:pPr>
              <w:widowControl/>
              <w:spacing w:line="400" w:lineRule="exact"/>
              <w:jc w:val="center"/>
              <w:rPr>
                <w:rFonts w:ascii="宋体" w:hAnsi="宋体" w:cs="宋体"/>
                <w:kern w:val="0"/>
                <w:sz w:val="24"/>
              </w:rPr>
            </w:pPr>
            <w:r>
              <w:rPr>
                <w:rFonts w:hint="eastAsia" w:ascii="宋体" w:hAnsi="宋体" w:cs="宋体"/>
                <w:kern w:val="0"/>
                <w:sz w:val="24"/>
              </w:rPr>
              <w:t>序号</w:t>
            </w:r>
          </w:p>
        </w:tc>
        <w:tc>
          <w:tcPr>
            <w:tcW w:w="3357" w:type="dxa"/>
            <w:vAlign w:val="center"/>
          </w:tcPr>
          <w:p>
            <w:pPr>
              <w:widowControl/>
              <w:spacing w:line="400" w:lineRule="exact"/>
              <w:jc w:val="left"/>
              <w:rPr>
                <w:rFonts w:ascii="宋体" w:hAnsi="宋体" w:cs="宋体"/>
                <w:kern w:val="0"/>
                <w:sz w:val="24"/>
              </w:rPr>
            </w:pPr>
            <w:r>
              <w:rPr>
                <w:rFonts w:hint="eastAsia" w:ascii="宋体" w:hAnsi="宋体" w:cs="宋体"/>
                <w:kern w:val="0"/>
                <w:sz w:val="24"/>
              </w:rPr>
              <w:t>产品名称</w:t>
            </w:r>
          </w:p>
        </w:tc>
        <w:tc>
          <w:tcPr>
            <w:tcW w:w="5245" w:type="dxa"/>
            <w:vAlign w:val="center"/>
          </w:tcPr>
          <w:p>
            <w:pPr>
              <w:widowControl/>
              <w:spacing w:line="400" w:lineRule="exact"/>
              <w:jc w:val="left"/>
              <w:rPr>
                <w:rFonts w:ascii="宋体" w:hAnsi="宋体" w:cs="宋体"/>
                <w:kern w:val="0"/>
                <w:sz w:val="24"/>
              </w:rPr>
            </w:pPr>
            <w:r>
              <w:rPr>
                <w:rFonts w:hint="eastAsia" w:ascii="宋体" w:hAnsi="宋体" w:cs="宋体"/>
                <w:kern w:val="0"/>
                <w:sz w:val="24"/>
              </w:rPr>
              <w:t>品牌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trPr>
        <w:tc>
          <w:tcPr>
            <w:tcW w:w="769" w:type="dxa"/>
            <w:vAlign w:val="center"/>
          </w:tcPr>
          <w:p>
            <w:pPr>
              <w:widowControl/>
              <w:spacing w:line="400" w:lineRule="exact"/>
              <w:jc w:val="center"/>
              <w:rPr>
                <w:rFonts w:ascii="宋体" w:hAnsi="宋体" w:cs="宋体"/>
                <w:kern w:val="0"/>
                <w:sz w:val="24"/>
              </w:rPr>
            </w:pPr>
            <w:r>
              <w:rPr>
                <w:rFonts w:ascii="宋体" w:hAnsi="宋体" w:cs="宋体"/>
                <w:kern w:val="0"/>
                <w:sz w:val="24"/>
              </w:rPr>
              <w:t>1</w:t>
            </w:r>
          </w:p>
        </w:tc>
        <w:tc>
          <w:tcPr>
            <w:tcW w:w="3357" w:type="dxa"/>
            <w:vAlign w:val="center"/>
          </w:tcPr>
          <w:p>
            <w:pPr>
              <w:widowControl/>
              <w:spacing w:line="400" w:lineRule="exact"/>
              <w:jc w:val="left"/>
              <w:rPr>
                <w:rFonts w:ascii="宋体" w:hAnsi="宋体" w:cs="宋体"/>
                <w:kern w:val="0"/>
                <w:sz w:val="24"/>
              </w:rPr>
            </w:pPr>
            <w:r>
              <w:rPr>
                <w:rFonts w:hint="eastAsia" w:ascii="宋体" w:hAnsi="宋体" w:cs="宋体"/>
                <w:kern w:val="0"/>
                <w:sz w:val="24"/>
              </w:rPr>
              <w:t>直燃机</w:t>
            </w:r>
          </w:p>
        </w:tc>
        <w:tc>
          <w:tcPr>
            <w:tcW w:w="5245" w:type="dxa"/>
            <w:vAlign w:val="center"/>
          </w:tcPr>
          <w:p>
            <w:pPr>
              <w:widowControl/>
              <w:spacing w:line="400" w:lineRule="exact"/>
              <w:jc w:val="left"/>
              <w:rPr>
                <w:rFonts w:ascii="宋体" w:hAnsi="宋体" w:cs="宋体"/>
                <w:kern w:val="0"/>
                <w:sz w:val="24"/>
              </w:rPr>
            </w:pPr>
            <w:r>
              <w:rPr>
                <w:rFonts w:hint="eastAsia" w:ascii="宋体" w:hAnsi="宋体" w:cs="宋体"/>
                <w:kern w:val="0"/>
                <w:sz w:val="24"/>
              </w:rPr>
              <w:t>满足制冷、采暖、生活热水功能的直燃机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trPr>
        <w:tc>
          <w:tcPr>
            <w:tcW w:w="769" w:type="dxa"/>
            <w:vAlign w:val="center"/>
          </w:tcPr>
          <w:p>
            <w:pPr>
              <w:widowControl/>
              <w:spacing w:line="400" w:lineRule="exact"/>
              <w:jc w:val="center"/>
              <w:rPr>
                <w:rFonts w:ascii="宋体" w:hAnsi="宋体" w:cs="宋体"/>
                <w:kern w:val="0"/>
                <w:sz w:val="24"/>
              </w:rPr>
            </w:pPr>
            <w:r>
              <w:rPr>
                <w:rFonts w:ascii="宋体" w:hAnsi="宋体" w:cs="宋体"/>
                <w:kern w:val="0"/>
                <w:sz w:val="24"/>
              </w:rPr>
              <w:t>2</w:t>
            </w:r>
          </w:p>
        </w:tc>
        <w:tc>
          <w:tcPr>
            <w:tcW w:w="3357" w:type="dxa"/>
            <w:vAlign w:val="center"/>
          </w:tcPr>
          <w:p>
            <w:pPr>
              <w:widowControl/>
              <w:spacing w:line="400" w:lineRule="exact"/>
              <w:jc w:val="left"/>
              <w:rPr>
                <w:rFonts w:ascii="宋体" w:hAnsi="宋体" w:cs="宋体"/>
                <w:kern w:val="0"/>
                <w:sz w:val="24"/>
              </w:rPr>
            </w:pPr>
            <w:r>
              <w:rPr>
                <w:rFonts w:hint="eastAsia" w:ascii="宋体" w:hAnsi="宋体" w:cs="宋体"/>
                <w:kern w:val="0"/>
                <w:sz w:val="24"/>
              </w:rPr>
              <w:t>风机盘管</w:t>
            </w:r>
          </w:p>
        </w:tc>
        <w:tc>
          <w:tcPr>
            <w:tcW w:w="5245" w:type="dxa"/>
            <w:vAlign w:val="center"/>
          </w:tcPr>
          <w:p>
            <w:pPr>
              <w:widowControl/>
              <w:spacing w:line="400" w:lineRule="exact"/>
              <w:jc w:val="left"/>
              <w:rPr>
                <w:rFonts w:ascii="宋体" w:hAnsi="宋体" w:cs="宋体"/>
                <w:kern w:val="0"/>
                <w:sz w:val="24"/>
              </w:rPr>
            </w:pPr>
            <w:r>
              <w:rPr>
                <w:rFonts w:hint="eastAsia" w:ascii="宋体" w:hAnsi="宋体" w:cs="宋体"/>
                <w:kern w:val="0"/>
                <w:sz w:val="24"/>
              </w:rPr>
              <w:t>约克、开利、美的、格力等知名品牌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trPr>
        <w:tc>
          <w:tcPr>
            <w:tcW w:w="769" w:type="dxa"/>
            <w:vAlign w:val="center"/>
          </w:tcPr>
          <w:p>
            <w:pPr>
              <w:widowControl/>
              <w:spacing w:line="400" w:lineRule="exact"/>
              <w:jc w:val="center"/>
              <w:rPr>
                <w:rFonts w:ascii="宋体" w:hAnsi="宋体" w:cs="宋体"/>
                <w:kern w:val="0"/>
                <w:sz w:val="24"/>
              </w:rPr>
            </w:pPr>
            <w:r>
              <w:rPr>
                <w:rFonts w:ascii="宋体" w:hAnsi="宋体" w:cs="宋体"/>
                <w:kern w:val="0"/>
                <w:sz w:val="24"/>
              </w:rPr>
              <w:t>3</w:t>
            </w:r>
          </w:p>
        </w:tc>
        <w:tc>
          <w:tcPr>
            <w:tcW w:w="3357" w:type="dxa"/>
            <w:vAlign w:val="center"/>
          </w:tcPr>
          <w:p>
            <w:pPr>
              <w:widowControl/>
              <w:spacing w:line="400" w:lineRule="exact"/>
              <w:jc w:val="left"/>
              <w:rPr>
                <w:rFonts w:ascii="宋体" w:hAnsi="宋体" w:cs="宋体"/>
                <w:kern w:val="0"/>
                <w:sz w:val="24"/>
              </w:rPr>
            </w:pPr>
            <w:r>
              <w:rPr>
                <w:rFonts w:hint="eastAsia" w:ascii="宋体" w:hAnsi="宋体" w:cs="宋体"/>
                <w:kern w:val="0"/>
                <w:sz w:val="24"/>
              </w:rPr>
              <w:t>空气处理机组</w:t>
            </w:r>
          </w:p>
        </w:tc>
        <w:tc>
          <w:tcPr>
            <w:tcW w:w="5245" w:type="dxa"/>
            <w:vAlign w:val="center"/>
          </w:tcPr>
          <w:p>
            <w:pPr>
              <w:widowControl/>
              <w:spacing w:line="400" w:lineRule="exact"/>
              <w:jc w:val="left"/>
              <w:rPr>
                <w:rFonts w:ascii="宋体" w:hAnsi="宋体" w:cs="宋体"/>
                <w:kern w:val="0"/>
                <w:sz w:val="24"/>
              </w:rPr>
            </w:pPr>
            <w:r>
              <w:rPr>
                <w:rFonts w:hint="eastAsia" w:ascii="宋体" w:hAnsi="宋体" w:cs="宋体"/>
                <w:kern w:val="0"/>
                <w:sz w:val="24"/>
              </w:rPr>
              <w:t>约克、开利、美的、格力等知名品牌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trPr>
        <w:tc>
          <w:tcPr>
            <w:tcW w:w="769" w:type="dxa"/>
            <w:vAlign w:val="center"/>
          </w:tcPr>
          <w:p>
            <w:pPr>
              <w:widowControl/>
              <w:spacing w:line="400" w:lineRule="exact"/>
              <w:jc w:val="center"/>
              <w:rPr>
                <w:rFonts w:ascii="宋体" w:hAnsi="宋体" w:cs="宋体"/>
                <w:kern w:val="0"/>
                <w:sz w:val="24"/>
              </w:rPr>
            </w:pPr>
            <w:r>
              <w:rPr>
                <w:rFonts w:ascii="宋体" w:hAnsi="宋体" w:cs="宋体"/>
                <w:kern w:val="0"/>
                <w:sz w:val="24"/>
              </w:rPr>
              <w:t>5</w:t>
            </w:r>
          </w:p>
        </w:tc>
        <w:tc>
          <w:tcPr>
            <w:tcW w:w="3357" w:type="dxa"/>
            <w:vAlign w:val="center"/>
          </w:tcPr>
          <w:p>
            <w:pPr>
              <w:widowControl/>
              <w:spacing w:line="400" w:lineRule="exact"/>
              <w:jc w:val="left"/>
              <w:rPr>
                <w:rFonts w:ascii="宋体" w:hAnsi="宋体" w:cs="宋体"/>
                <w:kern w:val="0"/>
                <w:sz w:val="24"/>
              </w:rPr>
            </w:pPr>
            <w:r>
              <w:rPr>
                <w:rFonts w:hint="eastAsia" w:ascii="宋体" w:hAnsi="宋体" w:cs="宋体"/>
                <w:kern w:val="0"/>
                <w:sz w:val="24"/>
              </w:rPr>
              <w:t>全热交换机</w:t>
            </w:r>
          </w:p>
        </w:tc>
        <w:tc>
          <w:tcPr>
            <w:tcW w:w="5245" w:type="dxa"/>
            <w:vAlign w:val="center"/>
          </w:tcPr>
          <w:p>
            <w:pPr>
              <w:widowControl/>
              <w:spacing w:line="400" w:lineRule="exact"/>
              <w:jc w:val="left"/>
              <w:rPr>
                <w:rFonts w:ascii="宋体" w:hAnsi="宋体" w:cs="宋体"/>
                <w:kern w:val="0"/>
                <w:sz w:val="24"/>
              </w:rPr>
            </w:pPr>
            <w:r>
              <w:rPr>
                <w:rFonts w:hint="eastAsia" w:ascii="宋体" w:hAnsi="宋体" w:cs="宋体"/>
                <w:kern w:val="0"/>
                <w:sz w:val="24"/>
              </w:rPr>
              <w:t>环都、沃森、顺蓝等知名品牌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trPr>
        <w:tc>
          <w:tcPr>
            <w:tcW w:w="769" w:type="dxa"/>
            <w:vAlign w:val="center"/>
          </w:tcPr>
          <w:p>
            <w:pPr>
              <w:widowControl/>
              <w:spacing w:line="400" w:lineRule="exact"/>
              <w:jc w:val="center"/>
              <w:rPr>
                <w:rFonts w:ascii="宋体" w:hAnsi="宋体" w:cs="宋体"/>
                <w:kern w:val="0"/>
                <w:sz w:val="24"/>
              </w:rPr>
            </w:pPr>
            <w:r>
              <w:rPr>
                <w:rFonts w:ascii="宋体" w:hAnsi="宋体" w:cs="宋体"/>
                <w:kern w:val="0"/>
                <w:sz w:val="24"/>
              </w:rPr>
              <w:t>6</w:t>
            </w:r>
          </w:p>
        </w:tc>
        <w:tc>
          <w:tcPr>
            <w:tcW w:w="3357" w:type="dxa"/>
            <w:vAlign w:val="center"/>
          </w:tcPr>
          <w:p>
            <w:pPr>
              <w:widowControl/>
              <w:spacing w:line="400" w:lineRule="exact"/>
              <w:jc w:val="left"/>
              <w:rPr>
                <w:rFonts w:ascii="宋体" w:hAnsi="宋体" w:cs="宋体"/>
                <w:kern w:val="0"/>
                <w:sz w:val="24"/>
              </w:rPr>
            </w:pPr>
            <w:r>
              <w:rPr>
                <w:rFonts w:hint="eastAsia" w:ascii="宋体" w:hAnsi="宋体" w:cs="宋体"/>
                <w:kern w:val="0"/>
                <w:sz w:val="24"/>
              </w:rPr>
              <w:t>保温材料</w:t>
            </w:r>
          </w:p>
        </w:tc>
        <w:tc>
          <w:tcPr>
            <w:tcW w:w="5245" w:type="dxa"/>
            <w:vAlign w:val="center"/>
          </w:tcPr>
          <w:p>
            <w:pPr>
              <w:widowControl/>
              <w:spacing w:line="400" w:lineRule="exact"/>
              <w:jc w:val="left"/>
              <w:rPr>
                <w:rFonts w:ascii="宋体" w:hAnsi="宋体" w:cs="宋体"/>
                <w:kern w:val="0"/>
                <w:sz w:val="24"/>
              </w:rPr>
            </w:pPr>
            <w:r>
              <w:rPr>
                <w:rFonts w:hint="eastAsia" w:ascii="宋体" w:hAnsi="宋体" w:cs="宋体"/>
                <w:kern w:val="0"/>
                <w:sz w:val="24"/>
              </w:rPr>
              <w:t>凯门富乐斯、诺弗斯、埃弗斯等知名品牌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trPr>
        <w:tc>
          <w:tcPr>
            <w:tcW w:w="769" w:type="dxa"/>
            <w:vAlign w:val="center"/>
          </w:tcPr>
          <w:p>
            <w:pPr>
              <w:widowControl/>
              <w:spacing w:line="400" w:lineRule="exact"/>
              <w:jc w:val="center"/>
              <w:rPr>
                <w:rFonts w:ascii="宋体" w:hAnsi="宋体" w:cs="宋体"/>
                <w:kern w:val="0"/>
                <w:sz w:val="24"/>
              </w:rPr>
            </w:pPr>
            <w:r>
              <w:rPr>
                <w:rFonts w:ascii="宋体" w:hAnsi="宋体" w:cs="宋体"/>
                <w:kern w:val="0"/>
                <w:sz w:val="24"/>
              </w:rPr>
              <w:t>7</w:t>
            </w:r>
          </w:p>
        </w:tc>
        <w:tc>
          <w:tcPr>
            <w:tcW w:w="3357" w:type="dxa"/>
            <w:vAlign w:val="center"/>
          </w:tcPr>
          <w:p>
            <w:pPr>
              <w:widowControl/>
              <w:spacing w:line="400" w:lineRule="exact"/>
              <w:jc w:val="left"/>
              <w:rPr>
                <w:rFonts w:ascii="宋体" w:hAnsi="宋体" w:cs="宋体"/>
                <w:kern w:val="0"/>
                <w:sz w:val="24"/>
              </w:rPr>
            </w:pPr>
            <w:r>
              <w:rPr>
                <w:rFonts w:hint="eastAsia" w:ascii="宋体" w:hAnsi="宋体" w:cs="宋体"/>
                <w:kern w:val="0"/>
                <w:sz w:val="24"/>
              </w:rPr>
              <w:t>平衡阀</w:t>
            </w:r>
          </w:p>
        </w:tc>
        <w:tc>
          <w:tcPr>
            <w:tcW w:w="5245" w:type="dxa"/>
            <w:vAlign w:val="center"/>
          </w:tcPr>
          <w:p>
            <w:pPr>
              <w:widowControl/>
              <w:spacing w:line="400" w:lineRule="exact"/>
              <w:jc w:val="left"/>
              <w:rPr>
                <w:rFonts w:ascii="宋体" w:hAnsi="宋体" w:cs="宋体"/>
                <w:kern w:val="0"/>
                <w:sz w:val="24"/>
              </w:rPr>
            </w:pPr>
            <w:r>
              <w:rPr>
                <w:rFonts w:hint="eastAsia" w:ascii="宋体" w:hAnsi="宋体" w:cs="宋体"/>
                <w:kern w:val="0"/>
                <w:sz w:val="24"/>
              </w:rPr>
              <w:t>泰德尔、河北平衡、海林、亿林等知名品牌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trPr>
        <w:tc>
          <w:tcPr>
            <w:tcW w:w="769" w:type="dxa"/>
            <w:vAlign w:val="center"/>
          </w:tcPr>
          <w:p>
            <w:pPr>
              <w:widowControl/>
              <w:spacing w:line="400" w:lineRule="exact"/>
              <w:jc w:val="center"/>
              <w:rPr>
                <w:rFonts w:ascii="宋体" w:hAnsi="宋体" w:cs="宋体"/>
                <w:kern w:val="0"/>
                <w:sz w:val="24"/>
              </w:rPr>
            </w:pPr>
            <w:r>
              <w:rPr>
                <w:rFonts w:ascii="宋体" w:hAnsi="宋体" w:cs="宋体"/>
                <w:kern w:val="0"/>
                <w:sz w:val="24"/>
              </w:rPr>
              <w:t>8</w:t>
            </w:r>
          </w:p>
        </w:tc>
        <w:tc>
          <w:tcPr>
            <w:tcW w:w="3357" w:type="dxa"/>
            <w:vAlign w:val="center"/>
          </w:tcPr>
          <w:p>
            <w:pPr>
              <w:widowControl/>
              <w:spacing w:line="400" w:lineRule="exact"/>
              <w:jc w:val="left"/>
              <w:rPr>
                <w:rFonts w:ascii="宋体" w:hAnsi="宋体" w:cs="宋体"/>
                <w:kern w:val="0"/>
                <w:sz w:val="24"/>
              </w:rPr>
            </w:pPr>
            <w:r>
              <w:rPr>
                <w:rFonts w:hint="eastAsia" w:ascii="宋体" w:hAnsi="宋体" w:cs="宋体"/>
                <w:kern w:val="0"/>
                <w:sz w:val="24"/>
              </w:rPr>
              <w:t>动态压差平衡电动型调节阀</w:t>
            </w:r>
          </w:p>
        </w:tc>
        <w:tc>
          <w:tcPr>
            <w:tcW w:w="5245" w:type="dxa"/>
            <w:vAlign w:val="center"/>
          </w:tcPr>
          <w:p>
            <w:pPr>
              <w:widowControl/>
              <w:spacing w:line="400" w:lineRule="exact"/>
              <w:jc w:val="left"/>
              <w:rPr>
                <w:rFonts w:ascii="宋体" w:hAnsi="宋体" w:cs="宋体"/>
                <w:kern w:val="0"/>
                <w:sz w:val="24"/>
              </w:rPr>
            </w:pPr>
            <w:r>
              <w:rPr>
                <w:rFonts w:hint="eastAsia" w:ascii="宋体" w:hAnsi="宋体" w:cs="宋体"/>
                <w:kern w:val="0"/>
                <w:sz w:val="24"/>
              </w:rPr>
              <w:t>泰德尔、海林、上海良工、亿林、邦德瑞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trPr>
        <w:tc>
          <w:tcPr>
            <w:tcW w:w="769" w:type="dxa"/>
            <w:vAlign w:val="center"/>
          </w:tcPr>
          <w:p>
            <w:pPr>
              <w:widowControl/>
              <w:spacing w:line="400" w:lineRule="exact"/>
              <w:jc w:val="center"/>
              <w:rPr>
                <w:rFonts w:ascii="宋体" w:hAnsi="宋体" w:cs="宋体"/>
                <w:kern w:val="0"/>
                <w:sz w:val="24"/>
              </w:rPr>
            </w:pPr>
            <w:r>
              <w:rPr>
                <w:rFonts w:ascii="宋体" w:hAnsi="宋体" w:cs="宋体"/>
                <w:kern w:val="0"/>
                <w:sz w:val="24"/>
              </w:rPr>
              <w:t>9</w:t>
            </w:r>
          </w:p>
        </w:tc>
        <w:tc>
          <w:tcPr>
            <w:tcW w:w="3357" w:type="dxa"/>
            <w:vAlign w:val="center"/>
          </w:tcPr>
          <w:p>
            <w:pPr>
              <w:widowControl/>
              <w:spacing w:line="400" w:lineRule="exact"/>
              <w:jc w:val="left"/>
              <w:rPr>
                <w:rFonts w:ascii="宋体" w:hAnsi="宋体" w:cs="宋体"/>
                <w:kern w:val="0"/>
                <w:sz w:val="24"/>
              </w:rPr>
            </w:pPr>
            <w:r>
              <w:rPr>
                <w:rFonts w:hint="eastAsia" w:ascii="宋体" w:hAnsi="宋体" w:cs="宋体"/>
                <w:kern w:val="0"/>
                <w:sz w:val="24"/>
              </w:rPr>
              <w:t>电动二通阀</w:t>
            </w:r>
          </w:p>
        </w:tc>
        <w:tc>
          <w:tcPr>
            <w:tcW w:w="5245" w:type="dxa"/>
            <w:vAlign w:val="center"/>
          </w:tcPr>
          <w:p>
            <w:pPr>
              <w:widowControl/>
              <w:spacing w:line="400" w:lineRule="exact"/>
              <w:jc w:val="left"/>
              <w:rPr>
                <w:rFonts w:ascii="宋体" w:hAnsi="宋体" w:cs="宋体"/>
                <w:kern w:val="0"/>
                <w:sz w:val="24"/>
              </w:rPr>
            </w:pPr>
            <w:r>
              <w:rPr>
                <w:rFonts w:hint="eastAsia" w:ascii="宋体" w:hAnsi="宋体" w:cs="宋体"/>
                <w:kern w:val="0"/>
                <w:sz w:val="24"/>
              </w:rPr>
              <w:t>泰德尔、亿林、海林、邦德瑞等知名品牌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trPr>
        <w:tc>
          <w:tcPr>
            <w:tcW w:w="769" w:type="dxa"/>
            <w:vAlign w:val="center"/>
          </w:tcPr>
          <w:p>
            <w:pPr>
              <w:widowControl/>
              <w:spacing w:line="400" w:lineRule="exact"/>
              <w:jc w:val="center"/>
              <w:rPr>
                <w:rFonts w:ascii="宋体" w:hAnsi="宋体" w:cs="宋体"/>
                <w:kern w:val="0"/>
                <w:sz w:val="24"/>
              </w:rPr>
            </w:pPr>
            <w:r>
              <w:rPr>
                <w:rFonts w:ascii="宋体" w:hAnsi="宋体" w:cs="宋体"/>
                <w:kern w:val="0"/>
                <w:sz w:val="24"/>
              </w:rPr>
              <w:t>10</w:t>
            </w:r>
          </w:p>
        </w:tc>
        <w:tc>
          <w:tcPr>
            <w:tcW w:w="3357" w:type="dxa"/>
            <w:vAlign w:val="center"/>
          </w:tcPr>
          <w:p>
            <w:pPr>
              <w:widowControl/>
              <w:spacing w:line="400" w:lineRule="exact"/>
              <w:jc w:val="left"/>
              <w:rPr>
                <w:rFonts w:ascii="宋体" w:hAnsi="宋体" w:cs="宋体"/>
                <w:kern w:val="0"/>
                <w:sz w:val="24"/>
              </w:rPr>
            </w:pPr>
            <w:r>
              <w:rPr>
                <w:rFonts w:hint="eastAsia" w:ascii="宋体" w:hAnsi="宋体" w:cs="宋体"/>
                <w:kern w:val="0"/>
                <w:sz w:val="24"/>
              </w:rPr>
              <w:t>电动蝶阀</w:t>
            </w:r>
          </w:p>
        </w:tc>
        <w:tc>
          <w:tcPr>
            <w:tcW w:w="5245" w:type="dxa"/>
            <w:vAlign w:val="center"/>
          </w:tcPr>
          <w:p>
            <w:pPr>
              <w:widowControl/>
              <w:spacing w:line="400" w:lineRule="exact"/>
              <w:jc w:val="left"/>
              <w:rPr>
                <w:rFonts w:ascii="宋体" w:hAnsi="宋体" w:cs="宋体"/>
                <w:kern w:val="0"/>
                <w:sz w:val="24"/>
              </w:rPr>
            </w:pPr>
            <w:r>
              <w:rPr>
                <w:rFonts w:hint="eastAsia" w:ascii="宋体" w:hAnsi="宋体" w:cs="宋体"/>
                <w:kern w:val="0"/>
                <w:sz w:val="24"/>
              </w:rPr>
              <w:t>泰德尔、亿林、上海良工、邦德瑞等知名品牌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trPr>
        <w:tc>
          <w:tcPr>
            <w:tcW w:w="769" w:type="dxa"/>
            <w:vAlign w:val="center"/>
          </w:tcPr>
          <w:p>
            <w:pPr>
              <w:widowControl/>
              <w:spacing w:line="400" w:lineRule="exact"/>
              <w:jc w:val="center"/>
              <w:rPr>
                <w:rFonts w:ascii="宋体" w:hAnsi="宋体" w:cs="宋体"/>
                <w:kern w:val="0"/>
                <w:sz w:val="24"/>
              </w:rPr>
            </w:pPr>
            <w:r>
              <w:rPr>
                <w:rFonts w:ascii="宋体" w:hAnsi="宋体" w:cs="宋体"/>
                <w:kern w:val="0"/>
                <w:sz w:val="24"/>
              </w:rPr>
              <w:t>11</w:t>
            </w:r>
          </w:p>
        </w:tc>
        <w:tc>
          <w:tcPr>
            <w:tcW w:w="3357" w:type="dxa"/>
            <w:vAlign w:val="center"/>
          </w:tcPr>
          <w:p>
            <w:pPr>
              <w:widowControl/>
              <w:spacing w:line="400" w:lineRule="exact"/>
              <w:jc w:val="left"/>
              <w:rPr>
                <w:rFonts w:ascii="宋体" w:hAnsi="宋体" w:cs="宋体"/>
                <w:kern w:val="0"/>
                <w:sz w:val="24"/>
              </w:rPr>
            </w:pPr>
            <w:r>
              <w:rPr>
                <w:rFonts w:hint="eastAsia" w:ascii="宋体" w:hAnsi="宋体" w:cs="宋体"/>
                <w:kern w:val="0"/>
                <w:sz w:val="24"/>
              </w:rPr>
              <w:t>冷却塔</w:t>
            </w:r>
          </w:p>
        </w:tc>
        <w:tc>
          <w:tcPr>
            <w:tcW w:w="5245" w:type="dxa"/>
            <w:vAlign w:val="center"/>
          </w:tcPr>
          <w:p>
            <w:pPr>
              <w:widowControl/>
              <w:spacing w:line="400" w:lineRule="exact"/>
              <w:jc w:val="left"/>
              <w:rPr>
                <w:rFonts w:ascii="宋体" w:hAnsi="宋体" w:cs="宋体"/>
                <w:kern w:val="0"/>
                <w:sz w:val="24"/>
              </w:rPr>
            </w:pPr>
            <w:r>
              <w:rPr>
                <w:rFonts w:hint="eastAsia" w:ascii="宋体" w:hAnsi="宋体" w:cs="宋体"/>
                <w:kern w:val="0"/>
                <w:sz w:val="24"/>
              </w:rPr>
              <w:t>元亨、马利、BAC、良机、康明等知名品牌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trPr>
        <w:tc>
          <w:tcPr>
            <w:tcW w:w="769" w:type="dxa"/>
            <w:vAlign w:val="center"/>
          </w:tcPr>
          <w:p>
            <w:pPr>
              <w:widowControl/>
              <w:spacing w:line="400" w:lineRule="exact"/>
              <w:jc w:val="center"/>
              <w:rPr>
                <w:rFonts w:ascii="宋体" w:hAnsi="宋体" w:cs="宋体"/>
                <w:kern w:val="0"/>
                <w:sz w:val="24"/>
              </w:rPr>
            </w:pPr>
            <w:r>
              <w:rPr>
                <w:rFonts w:ascii="宋体" w:hAnsi="宋体" w:cs="宋体"/>
                <w:kern w:val="0"/>
                <w:sz w:val="24"/>
              </w:rPr>
              <w:t>12</w:t>
            </w:r>
          </w:p>
        </w:tc>
        <w:tc>
          <w:tcPr>
            <w:tcW w:w="3357" w:type="dxa"/>
            <w:vAlign w:val="center"/>
          </w:tcPr>
          <w:p>
            <w:pPr>
              <w:widowControl/>
              <w:spacing w:line="400" w:lineRule="exact"/>
              <w:jc w:val="left"/>
              <w:rPr>
                <w:rFonts w:ascii="宋体" w:hAnsi="宋体" w:cs="宋体"/>
                <w:kern w:val="0"/>
                <w:sz w:val="24"/>
              </w:rPr>
            </w:pPr>
            <w:r>
              <w:rPr>
                <w:rFonts w:hint="eastAsia" w:ascii="宋体" w:hAnsi="宋体" w:cs="宋体"/>
                <w:kern w:val="0"/>
                <w:sz w:val="24"/>
              </w:rPr>
              <w:t>风机</w:t>
            </w:r>
          </w:p>
        </w:tc>
        <w:tc>
          <w:tcPr>
            <w:tcW w:w="5245" w:type="dxa"/>
            <w:vAlign w:val="center"/>
          </w:tcPr>
          <w:p>
            <w:pPr>
              <w:widowControl/>
              <w:spacing w:line="400" w:lineRule="exact"/>
              <w:jc w:val="left"/>
              <w:rPr>
                <w:rFonts w:ascii="宋体" w:hAnsi="宋体" w:cs="宋体"/>
                <w:kern w:val="0"/>
                <w:sz w:val="24"/>
              </w:rPr>
            </w:pPr>
            <w:r>
              <w:rPr>
                <w:rFonts w:hint="eastAsia" w:ascii="宋体" w:hAnsi="宋体" w:cs="宋体"/>
                <w:kern w:val="0"/>
                <w:sz w:val="24"/>
              </w:rPr>
              <w:t>亿利达、科禄格、上虞、必诚等知名品牌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trPr>
        <w:tc>
          <w:tcPr>
            <w:tcW w:w="769" w:type="dxa"/>
            <w:vAlign w:val="center"/>
          </w:tcPr>
          <w:p>
            <w:pPr>
              <w:widowControl/>
              <w:spacing w:line="400" w:lineRule="exact"/>
              <w:jc w:val="center"/>
              <w:rPr>
                <w:rFonts w:ascii="宋体" w:hAnsi="宋体" w:cs="宋体"/>
                <w:kern w:val="0"/>
                <w:sz w:val="24"/>
              </w:rPr>
            </w:pPr>
            <w:r>
              <w:rPr>
                <w:rFonts w:ascii="宋体" w:hAnsi="宋体" w:cs="宋体"/>
                <w:kern w:val="0"/>
                <w:sz w:val="24"/>
              </w:rPr>
              <w:t>13</w:t>
            </w:r>
          </w:p>
        </w:tc>
        <w:tc>
          <w:tcPr>
            <w:tcW w:w="3357" w:type="dxa"/>
            <w:vAlign w:val="center"/>
          </w:tcPr>
          <w:p>
            <w:pPr>
              <w:widowControl/>
              <w:spacing w:line="400" w:lineRule="exact"/>
              <w:jc w:val="left"/>
              <w:rPr>
                <w:rFonts w:ascii="宋体" w:hAnsi="宋体" w:cs="宋体"/>
                <w:kern w:val="0"/>
                <w:sz w:val="24"/>
              </w:rPr>
            </w:pPr>
            <w:r>
              <w:rPr>
                <w:rFonts w:hint="eastAsia" w:ascii="宋体" w:hAnsi="宋体" w:cs="宋体"/>
                <w:kern w:val="0"/>
                <w:sz w:val="24"/>
              </w:rPr>
              <w:t>风口、风阀</w:t>
            </w:r>
          </w:p>
        </w:tc>
        <w:tc>
          <w:tcPr>
            <w:tcW w:w="5245" w:type="dxa"/>
            <w:vAlign w:val="center"/>
          </w:tcPr>
          <w:p>
            <w:pPr>
              <w:widowControl/>
              <w:spacing w:line="400" w:lineRule="exact"/>
              <w:jc w:val="left"/>
              <w:rPr>
                <w:rFonts w:ascii="宋体" w:hAnsi="宋体" w:cs="宋体"/>
                <w:kern w:val="0"/>
                <w:sz w:val="24"/>
              </w:rPr>
            </w:pPr>
            <w:r>
              <w:rPr>
                <w:rFonts w:hint="eastAsia" w:ascii="宋体" w:hAnsi="宋体" w:cs="宋体"/>
                <w:kern w:val="0"/>
                <w:sz w:val="24"/>
              </w:rPr>
              <w:t>必诚、良旭、太和、高特等知名品牌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trPr>
        <w:tc>
          <w:tcPr>
            <w:tcW w:w="769" w:type="dxa"/>
            <w:vAlign w:val="center"/>
          </w:tcPr>
          <w:p>
            <w:pPr>
              <w:widowControl/>
              <w:spacing w:line="400" w:lineRule="exact"/>
              <w:jc w:val="center"/>
              <w:rPr>
                <w:rFonts w:ascii="宋体" w:hAnsi="宋体" w:cs="宋体"/>
                <w:kern w:val="0"/>
                <w:sz w:val="24"/>
              </w:rPr>
            </w:pPr>
            <w:r>
              <w:rPr>
                <w:rFonts w:ascii="宋体" w:hAnsi="宋体" w:cs="宋体"/>
                <w:kern w:val="0"/>
                <w:sz w:val="24"/>
              </w:rPr>
              <w:t>14</w:t>
            </w:r>
          </w:p>
        </w:tc>
        <w:tc>
          <w:tcPr>
            <w:tcW w:w="3357" w:type="dxa"/>
            <w:vAlign w:val="center"/>
          </w:tcPr>
          <w:p>
            <w:pPr>
              <w:widowControl/>
              <w:spacing w:line="400" w:lineRule="exact"/>
              <w:jc w:val="left"/>
              <w:rPr>
                <w:rFonts w:ascii="宋体" w:hAnsi="宋体" w:cs="宋体"/>
                <w:kern w:val="0"/>
                <w:sz w:val="24"/>
              </w:rPr>
            </w:pPr>
            <w:r>
              <w:rPr>
                <w:rFonts w:hint="eastAsia" w:ascii="宋体" w:hAnsi="宋体" w:cs="宋体"/>
                <w:kern w:val="0"/>
                <w:sz w:val="24"/>
              </w:rPr>
              <w:t>温控器</w:t>
            </w:r>
          </w:p>
        </w:tc>
        <w:tc>
          <w:tcPr>
            <w:tcW w:w="5245" w:type="dxa"/>
            <w:vAlign w:val="center"/>
          </w:tcPr>
          <w:p>
            <w:pPr>
              <w:widowControl/>
              <w:spacing w:line="400" w:lineRule="exact"/>
              <w:jc w:val="left"/>
              <w:rPr>
                <w:rFonts w:ascii="宋体" w:hAnsi="宋体" w:cs="宋体"/>
                <w:kern w:val="0"/>
                <w:sz w:val="24"/>
              </w:rPr>
            </w:pPr>
            <w:r>
              <w:rPr>
                <w:rFonts w:hint="eastAsia" w:ascii="宋体" w:hAnsi="宋体" w:cs="宋体"/>
                <w:kern w:val="0"/>
                <w:sz w:val="24"/>
              </w:rPr>
              <w:t>泰德尔、海林、亿林、邦德瑞等知名品牌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trPr>
        <w:tc>
          <w:tcPr>
            <w:tcW w:w="769" w:type="dxa"/>
            <w:vAlign w:val="center"/>
          </w:tcPr>
          <w:p>
            <w:pPr>
              <w:widowControl/>
              <w:spacing w:line="400" w:lineRule="exact"/>
              <w:jc w:val="center"/>
              <w:rPr>
                <w:rFonts w:ascii="宋体" w:hAnsi="宋体" w:cs="宋体"/>
                <w:kern w:val="0"/>
                <w:sz w:val="24"/>
              </w:rPr>
            </w:pPr>
            <w:r>
              <w:rPr>
                <w:rFonts w:ascii="宋体" w:hAnsi="宋体" w:cs="宋体"/>
                <w:kern w:val="0"/>
                <w:sz w:val="24"/>
              </w:rPr>
              <w:t>15</w:t>
            </w:r>
          </w:p>
        </w:tc>
        <w:tc>
          <w:tcPr>
            <w:tcW w:w="3357" w:type="dxa"/>
            <w:vAlign w:val="center"/>
          </w:tcPr>
          <w:p>
            <w:pPr>
              <w:widowControl/>
              <w:spacing w:line="400" w:lineRule="exact"/>
              <w:jc w:val="left"/>
              <w:rPr>
                <w:rFonts w:ascii="宋体" w:hAnsi="宋体" w:cs="宋体"/>
                <w:kern w:val="0"/>
                <w:sz w:val="24"/>
              </w:rPr>
            </w:pPr>
            <w:r>
              <w:rPr>
                <w:rFonts w:hint="eastAsia" w:ascii="宋体" w:hAnsi="宋体" w:cs="宋体"/>
                <w:kern w:val="0"/>
                <w:sz w:val="24"/>
              </w:rPr>
              <w:t>板式换热器</w:t>
            </w:r>
          </w:p>
        </w:tc>
        <w:tc>
          <w:tcPr>
            <w:tcW w:w="5245" w:type="dxa"/>
            <w:vAlign w:val="center"/>
          </w:tcPr>
          <w:p>
            <w:pPr>
              <w:widowControl/>
              <w:spacing w:line="400" w:lineRule="exact"/>
              <w:jc w:val="left"/>
              <w:rPr>
                <w:rFonts w:ascii="宋体" w:hAnsi="宋体" w:cs="宋体"/>
                <w:kern w:val="0"/>
                <w:sz w:val="24"/>
              </w:rPr>
            </w:pPr>
            <w:r>
              <w:rPr>
                <w:rFonts w:hint="eastAsia" w:ascii="宋体" w:hAnsi="宋体" w:cs="宋体"/>
                <w:kern w:val="0"/>
                <w:sz w:val="24"/>
              </w:rPr>
              <w:t>好尔迪、迪瑞、四平巨源、桑能、艾克森等知名品牌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trPr>
        <w:tc>
          <w:tcPr>
            <w:tcW w:w="769" w:type="dxa"/>
            <w:vAlign w:val="center"/>
          </w:tcPr>
          <w:p>
            <w:pPr>
              <w:widowControl/>
              <w:spacing w:line="400" w:lineRule="exact"/>
              <w:jc w:val="center"/>
              <w:rPr>
                <w:rFonts w:ascii="宋体" w:hAnsi="宋体" w:cs="宋体"/>
                <w:kern w:val="0"/>
                <w:sz w:val="24"/>
              </w:rPr>
            </w:pPr>
            <w:r>
              <w:rPr>
                <w:rFonts w:ascii="宋体" w:hAnsi="宋体" w:cs="宋体"/>
                <w:kern w:val="0"/>
                <w:sz w:val="24"/>
              </w:rPr>
              <w:t>16</w:t>
            </w:r>
          </w:p>
        </w:tc>
        <w:tc>
          <w:tcPr>
            <w:tcW w:w="3357" w:type="dxa"/>
            <w:vAlign w:val="center"/>
          </w:tcPr>
          <w:p>
            <w:pPr>
              <w:widowControl/>
              <w:spacing w:line="400" w:lineRule="exact"/>
              <w:jc w:val="left"/>
              <w:rPr>
                <w:rFonts w:ascii="宋体" w:hAnsi="宋体" w:cs="宋体"/>
                <w:kern w:val="0"/>
                <w:sz w:val="24"/>
              </w:rPr>
            </w:pPr>
            <w:r>
              <w:rPr>
                <w:rFonts w:hint="eastAsia" w:ascii="宋体" w:hAnsi="宋体" w:cs="宋体"/>
                <w:kern w:val="0"/>
                <w:sz w:val="24"/>
              </w:rPr>
              <w:t>水泵</w:t>
            </w:r>
          </w:p>
        </w:tc>
        <w:tc>
          <w:tcPr>
            <w:tcW w:w="5245" w:type="dxa"/>
            <w:vAlign w:val="center"/>
          </w:tcPr>
          <w:p>
            <w:pPr>
              <w:widowControl/>
              <w:spacing w:line="400" w:lineRule="exact"/>
              <w:jc w:val="left"/>
              <w:rPr>
                <w:rFonts w:ascii="宋体" w:hAnsi="宋体" w:cs="宋体"/>
                <w:kern w:val="0"/>
                <w:sz w:val="24"/>
              </w:rPr>
            </w:pPr>
            <w:r>
              <w:rPr>
                <w:rFonts w:hint="eastAsia" w:ascii="宋体" w:hAnsi="宋体" w:cs="宋体"/>
                <w:kern w:val="0"/>
                <w:sz w:val="24"/>
              </w:rPr>
              <w:t>正品东方、连成、凯泉、广一、南方等知名品牌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trPr>
        <w:tc>
          <w:tcPr>
            <w:tcW w:w="769" w:type="dxa"/>
            <w:vAlign w:val="center"/>
          </w:tcPr>
          <w:p>
            <w:pPr>
              <w:widowControl/>
              <w:spacing w:line="400" w:lineRule="exact"/>
              <w:jc w:val="center"/>
              <w:rPr>
                <w:rFonts w:ascii="宋体" w:hAnsi="宋体" w:cs="宋体"/>
                <w:kern w:val="0"/>
                <w:sz w:val="24"/>
              </w:rPr>
            </w:pPr>
            <w:r>
              <w:rPr>
                <w:rFonts w:hint="eastAsia" w:ascii="宋体" w:hAnsi="宋体" w:cs="宋体"/>
                <w:kern w:val="0"/>
                <w:sz w:val="24"/>
              </w:rPr>
              <w:t>17</w:t>
            </w:r>
          </w:p>
        </w:tc>
        <w:tc>
          <w:tcPr>
            <w:tcW w:w="3357" w:type="dxa"/>
            <w:vAlign w:val="center"/>
          </w:tcPr>
          <w:p>
            <w:pPr>
              <w:widowControl/>
              <w:spacing w:line="400" w:lineRule="exact"/>
              <w:jc w:val="left"/>
              <w:rPr>
                <w:rFonts w:ascii="宋体" w:hAnsi="宋体" w:cs="宋体"/>
                <w:kern w:val="0"/>
                <w:sz w:val="24"/>
              </w:rPr>
            </w:pPr>
            <w:r>
              <w:rPr>
                <w:rFonts w:hint="eastAsia" w:ascii="宋体" w:hAnsi="宋体" w:cs="宋体"/>
                <w:kern w:val="0"/>
                <w:sz w:val="24"/>
              </w:rPr>
              <w:t>电缆、电线</w:t>
            </w:r>
          </w:p>
        </w:tc>
        <w:tc>
          <w:tcPr>
            <w:tcW w:w="5245" w:type="dxa"/>
            <w:vAlign w:val="center"/>
          </w:tcPr>
          <w:p>
            <w:pPr>
              <w:widowControl/>
              <w:spacing w:line="400" w:lineRule="exact"/>
              <w:jc w:val="left"/>
              <w:rPr>
                <w:rFonts w:ascii="宋体" w:hAnsi="宋体" w:cs="宋体"/>
                <w:kern w:val="0"/>
                <w:sz w:val="24"/>
              </w:rPr>
            </w:pPr>
            <w:r>
              <w:rPr>
                <w:rFonts w:hint="eastAsia" w:ascii="宋体" w:hAnsi="宋体" w:cs="宋体"/>
                <w:kern w:val="0"/>
                <w:sz w:val="24"/>
              </w:rPr>
              <w:t>泰山、南方、渝丰、华星等知名品牌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trPr>
        <w:tc>
          <w:tcPr>
            <w:tcW w:w="769" w:type="dxa"/>
            <w:vAlign w:val="center"/>
          </w:tcPr>
          <w:p>
            <w:pPr>
              <w:widowControl/>
              <w:spacing w:line="400" w:lineRule="exact"/>
              <w:jc w:val="center"/>
              <w:rPr>
                <w:rFonts w:ascii="宋体" w:hAnsi="宋体" w:cs="宋体"/>
                <w:kern w:val="0"/>
                <w:sz w:val="24"/>
              </w:rPr>
            </w:pPr>
            <w:r>
              <w:rPr>
                <w:rFonts w:hint="eastAsia" w:ascii="宋体" w:hAnsi="宋体" w:cs="宋体"/>
                <w:kern w:val="0"/>
                <w:sz w:val="24"/>
              </w:rPr>
              <w:t>18</w:t>
            </w:r>
          </w:p>
        </w:tc>
        <w:tc>
          <w:tcPr>
            <w:tcW w:w="3357" w:type="dxa"/>
            <w:vAlign w:val="center"/>
          </w:tcPr>
          <w:p>
            <w:pPr>
              <w:widowControl/>
              <w:spacing w:line="400" w:lineRule="exact"/>
              <w:jc w:val="left"/>
              <w:rPr>
                <w:rFonts w:ascii="宋体" w:hAnsi="宋体" w:cs="宋体"/>
                <w:kern w:val="0"/>
                <w:sz w:val="24"/>
              </w:rPr>
            </w:pPr>
            <w:r>
              <w:rPr>
                <w:rFonts w:hint="eastAsia" w:ascii="宋体" w:hAnsi="宋体" w:cs="宋体"/>
                <w:kern w:val="0"/>
                <w:sz w:val="24"/>
              </w:rPr>
              <w:t>线管</w:t>
            </w:r>
          </w:p>
        </w:tc>
        <w:tc>
          <w:tcPr>
            <w:tcW w:w="5245" w:type="dxa"/>
            <w:vAlign w:val="center"/>
          </w:tcPr>
          <w:p>
            <w:pPr>
              <w:widowControl/>
              <w:spacing w:line="400" w:lineRule="exact"/>
              <w:jc w:val="left"/>
              <w:rPr>
                <w:rFonts w:ascii="宋体" w:hAnsi="宋体" w:cs="宋体"/>
                <w:kern w:val="0"/>
                <w:sz w:val="24"/>
              </w:rPr>
            </w:pPr>
            <w:r>
              <w:rPr>
                <w:rFonts w:hint="eastAsia" w:ascii="宋体" w:hAnsi="宋体" w:cs="宋体"/>
                <w:kern w:val="0"/>
                <w:sz w:val="24"/>
              </w:rPr>
              <w:t>科华、金牛、清塑、等知名品牌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trPr>
        <w:tc>
          <w:tcPr>
            <w:tcW w:w="769" w:type="dxa"/>
            <w:vAlign w:val="center"/>
          </w:tcPr>
          <w:p>
            <w:pPr>
              <w:widowControl/>
              <w:spacing w:line="400" w:lineRule="exact"/>
              <w:jc w:val="center"/>
              <w:rPr>
                <w:rFonts w:ascii="宋体" w:hAnsi="宋体" w:cs="宋体"/>
                <w:kern w:val="0"/>
                <w:sz w:val="24"/>
              </w:rPr>
            </w:pPr>
            <w:r>
              <w:rPr>
                <w:rFonts w:hint="eastAsia" w:ascii="宋体" w:hAnsi="宋体" w:cs="宋体"/>
                <w:kern w:val="0"/>
                <w:sz w:val="24"/>
              </w:rPr>
              <w:t>20</w:t>
            </w:r>
          </w:p>
        </w:tc>
        <w:tc>
          <w:tcPr>
            <w:tcW w:w="3357" w:type="dxa"/>
            <w:vAlign w:val="center"/>
          </w:tcPr>
          <w:p>
            <w:pPr>
              <w:widowControl/>
              <w:spacing w:line="400" w:lineRule="exact"/>
              <w:jc w:val="left"/>
              <w:rPr>
                <w:rFonts w:ascii="宋体" w:hAnsi="宋体" w:cs="宋体"/>
                <w:kern w:val="0"/>
                <w:sz w:val="24"/>
              </w:rPr>
            </w:pPr>
            <w:r>
              <w:rPr>
                <w:rFonts w:hint="eastAsia" w:ascii="宋体" w:hAnsi="宋体" w:cs="宋体"/>
                <w:kern w:val="0"/>
                <w:sz w:val="24"/>
              </w:rPr>
              <w:t>换气扇</w:t>
            </w:r>
          </w:p>
        </w:tc>
        <w:tc>
          <w:tcPr>
            <w:tcW w:w="5245" w:type="dxa"/>
            <w:vAlign w:val="center"/>
          </w:tcPr>
          <w:p>
            <w:pPr>
              <w:widowControl/>
              <w:spacing w:line="400" w:lineRule="exact"/>
              <w:jc w:val="left"/>
              <w:rPr>
                <w:rFonts w:ascii="宋体" w:hAnsi="宋体" w:cs="宋体"/>
                <w:kern w:val="0"/>
                <w:sz w:val="24"/>
              </w:rPr>
            </w:pPr>
            <w:r>
              <w:rPr>
                <w:rFonts w:hint="eastAsia" w:ascii="宋体" w:hAnsi="宋体" w:cs="宋体"/>
                <w:kern w:val="0"/>
                <w:sz w:val="24"/>
              </w:rPr>
              <w:t>正野、绿岛风、松下、金羚等知名品牌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trPr>
        <w:tc>
          <w:tcPr>
            <w:tcW w:w="769" w:type="dxa"/>
            <w:vAlign w:val="center"/>
          </w:tcPr>
          <w:p>
            <w:pPr>
              <w:widowControl/>
              <w:spacing w:line="400" w:lineRule="exact"/>
              <w:jc w:val="center"/>
              <w:rPr>
                <w:rFonts w:ascii="宋体" w:hAnsi="宋体" w:cs="宋体"/>
                <w:kern w:val="0"/>
                <w:sz w:val="24"/>
              </w:rPr>
            </w:pPr>
            <w:r>
              <w:rPr>
                <w:rFonts w:hint="eastAsia" w:ascii="宋体" w:hAnsi="宋体" w:cs="宋体"/>
                <w:kern w:val="0"/>
                <w:sz w:val="24"/>
              </w:rPr>
              <w:t>21</w:t>
            </w:r>
          </w:p>
        </w:tc>
        <w:tc>
          <w:tcPr>
            <w:tcW w:w="3357" w:type="dxa"/>
            <w:vAlign w:val="center"/>
          </w:tcPr>
          <w:p>
            <w:pPr>
              <w:widowControl/>
              <w:spacing w:line="400" w:lineRule="exact"/>
              <w:jc w:val="left"/>
              <w:rPr>
                <w:rFonts w:ascii="宋体" w:hAnsi="宋体" w:cs="宋体"/>
                <w:kern w:val="0"/>
                <w:sz w:val="24"/>
              </w:rPr>
            </w:pPr>
            <w:r>
              <w:rPr>
                <w:rFonts w:hint="eastAsia" w:ascii="宋体" w:hAnsi="宋体" w:cs="宋体"/>
                <w:kern w:val="0"/>
                <w:sz w:val="24"/>
              </w:rPr>
              <w:t>镀锌钢管</w:t>
            </w:r>
          </w:p>
        </w:tc>
        <w:tc>
          <w:tcPr>
            <w:tcW w:w="5245" w:type="dxa"/>
            <w:vAlign w:val="center"/>
          </w:tcPr>
          <w:p>
            <w:pPr>
              <w:widowControl/>
              <w:spacing w:line="400" w:lineRule="exact"/>
              <w:jc w:val="left"/>
              <w:rPr>
                <w:rFonts w:ascii="宋体" w:hAnsi="宋体" w:cs="宋体"/>
                <w:kern w:val="0"/>
                <w:sz w:val="24"/>
              </w:rPr>
            </w:pPr>
            <w:r>
              <w:rPr>
                <w:rFonts w:hint="eastAsia" w:ascii="宋体" w:hAnsi="宋体" w:cs="宋体"/>
                <w:kern w:val="0"/>
                <w:sz w:val="24"/>
              </w:rPr>
              <w:t>牛头、华岐、友发等知名品牌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trPr>
        <w:tc>
          <w:tcPr>
            <w:tcW w:w="769" w:type="dxa"/>
            <w:vAlign w:val="center"/>
          </w:tcPr>
          <w:p>
            <w:pPr>
              <w:widowControl/>
              <w:spacing w:line="400" w:lineRule="exact"/>
              <w:jc w:val="center"/>
              <w:rPr>
                <w:rFonts w:ascii="宋体" w:hAnsi="宋体" w:cs="宋体"/>
                <w:kern w:val="0"/>
                <w:sz w:val="24"/>
              </w:rPr>
            </w:pPr>
            <w:r>
              <w:rPr>
                <w:rFonts w:hint="eastAsia" w:ascii="宋体" w:hAnsi="宋体" w:cs="宋体"/>
                <w:kern w:val="0"/>
                <w:sz w:val="24"/>
              </w:rPr>
              <w:t>22</w:t>
            </w:r>
          </w:p>
        </w:tc>
        <w:tc>
          <w:tcPr>
            <w:tcW w:w="3357" w:type="dxa"/>
            <w:vAlign w:val="center"/>
          </w:tcPr>
          <w:p>
            <w:pPr>
              <w:widowControl/>
              <w:spacing w:line="400" w:lineRule="exact"/>
              <w:jc w:val="left"/>
              <w:rPr>
                <w:rFonts w:ascii="宋体" w:hAnsi="宋体" w:cs="宋体"/>
                <w:kern w:val="0"/>
                <w:sz w:val="24"/>
              </w:rPr>
            </w:pPr>
            <w:r>
              <w:rPr>
                <w:rFonts w:hint="eastAsia" w:ascii="宋体" w:hAnsi="宋体" w:cs="宋体"/>
                <w:kern w:val="0"/>
                <w:sz w:val="24"/>
              </w:rPr>
              <w:t>无缝钢管</w:t>
            </w:r>
          </w:p>
        </w:tc>
        <w:tc>
          <w:tcPr>
            <w:tcW w:w="5245" w:type="dxa"/>
            <w:vAlign w:val="center"/>
          </w:tcPr>
          <w:p>
            <w:pPr>
              <w:widowControl/>
              <w:spacing w:line="400" w:lineRule="exact"/>
              <w:jc w:val="left"/>
              <w:rPr>
                <w:rFonts w:ascii="宋体" w:hAnsi="宋体" w:cs="宋体"/>
                <w:kern w:val="0"/>
                <w:sz w:val="24"/>
              </w:rPr>
            </w:pPr>
            <w:r>
              <w:rPr>
                <w:rFonts w:hint="eastAsia" w:ascii="宋体" w:hAnsi="宋体" w:cs="宋体"/>
                <w:kern w:val="0"/>
                <w:sz w:val="24"/>
              </w:rPr>
              <w:t>成无、包钢、承德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trPr>
        <w:tc>
          <w:tcPr>
            <w:tcW w:w="769" w:type="dxa"/>
            <w:vAlign w:val="center"/>
          </w:tcPr>
          <w:p>
            <w:pPr>
              <w:widowControl/>
              <w:spacing w:line="400" w:lineRule="exact"/>
              <w:jc w:val="center"/>
              <w:rPr>
                <w:rFonts w:ascii="宋体" w:hAnsi="宋体" w:cs="宋体"/>
                <w:kern w:val="0"/>
                <w:sz w:val="24"/>
              </w:rPr>
            </w:pPr>
            <w:r>
              <w:rPr>
                <w:rFonts w:hint="eastAsia" w:ascii="宋体" w:hAnsi="宋体" w:cs="宋体"/>
                <w:kern w:val="0"/>
                <w:sz w:val="24"/>
              </w:rPr>
              <w:t>25</w:t>
            </w:r>
          </w:p>
        </w:tc>
        <w:tc>
          <w:tcPr>
            <w:tcW w:w="3357" w:type="dxa"/>
            <w:vAlign w:val="center"/>
          </w:tcPr>
          <w:p>
            <w:pPr>
              <w:widowControl/>
              <w:spacing w:line="400" w:lineRule="exact"/>
              <w:jc w:val="left"/>
              <w:rPr>
                <w:rFonts w:ascii="宋体" w:hAnsi="宋体" w:cs="宋体"/>
                <w:kern w:val="0"/>
                <w:sz w:val="24"/>
              </w:rPr>
            </w:pPr>
            <w:r>
              <w:rPr>
                <w:rFonts w:hint="eastAsia" w:ascii="宋体" w:hAnsi="宋体" w:cs="宋体"/>
                <w:kern w:val="0"/>
                <w:sz w:val="24"/>
              </w:rPr>
              <w:t>镀锌钢板</w:t>
            </w:r>
          </w:p>
        </w:tc>
        <w:tc>
          <w:tcPr>
            <w:tcW w:w="5245" w:type="dxa"/>
            <w:vAlign w:val="center"/>
          </w:tcPr>
          <w:p>
            <w:pPr>
              <w:widowControl/>
              <w:spacing w:line="400" w:lineRule="exact"/>
              <w:jc w:val="left"/>
              <w:rPr>
                <w:rFonts w:ascii="宋体" w:hAnsi="宋体" w:cs="宋体"/>
                <w:kern w:val="0"/>
                <w:sz w:val="24"/>
              </w:rPr>
            </w:pPr>
            <w:r>
              <w:rPr>
                <w:rFonts w:hint="eastAsia" w:ascii="宋体" w:hAnsi="宋体" w:cs="宋体"/>
                <w:kern w:val="0"/>
                <w:sz w:val="24"/>
              </w:rPr>
              <w:t>攀华、黄石、业正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trPr>
        <w:tc>
          <w:tcPr>
            <w:tcW w:w="769" w:type="dxa"/>
            <w:vAlign w:val="center"/>
          </w:tcPr>
          <w:p>
            <w:pPr>
              <w:widowControl/>
              <w:spacing w:line="400" w:lineRule="exact"/>
              <w:jc w:val="center"/>
              <w:rPr>
                <w:rFonts w:ascii="宋体" w:hAnsi="宋体" w:cs="宋体"/>
                <w:color w:val="000000"/>
                <w:kern w:val="0"/>
                <w:sz w:val="24"/>
              </w:rPr>
            </w:pPr>
            <w:r>
              <w:rPr>
                <w:rFonts w:hint="eastAsia" w:ascii="宋体" w:hAnsi="宋体" w:cs="宋体"/>
                <w:color w:val="000000"/>
                <w:kern w:val="0"/>
                <w:sz w:val="24"/>
              </w:rPr>
              <w:t>26</w:t>
            </w:r>
          </w:p>
        </w:tc>
        <w:tc>
          <w:tcPr>
            <w:tcW w:w="3357" w:type="dxa"/>
            <w:vAlign w:val="center"/>
          </w:tcPr>
          <w:p>
            <w:pPr>
              <w:widowControl/>
              <w:spacing w:line="400" w:lineRule="exact"/>
              <w:jc w:val="left"/>
              <w:rPr>
                <w:rFonts w:ascii="宋体" w:hAnsi="宋体" w:cs="宋体"/>
                <w:color w:val="000000"/>
                <w:kern w:val="0"/>
                <w:sz w:val="24"/>
              </w:rPr>
            </w:pPr>
            <w:r>
              <w:rPr>
                <w:rFonts w:hint="eastAsia" w:ascii="宋体" w:hAnsi="宋体" w:cs="宋体"/>
                <w:color w:val="000000"/>
                <w:kern w:val="0"/>
                <w:sz w:val="24"/>
              </w:rPr>
              <w:t>不锈钢生活热水箱</w:t>
            </w:r>
          </w:p>
        </w:tc>
        <w:tc>
          <w:tcPr>
            <w:tcW w:w="5245" w:type="dxa"/>
            <w:vAlign w:val="center"/>
          </w:tcPr>
          <w:p>
            <w:pPr>
              <w:widowControl/>
              <w:spacing w:line="400" w:lineRule="exact"/>
              <w:jc w:val="left"/>
              <w:rPr>
                <w:rFonts w:ascii="宋体" w:hAnsi="宋体" w:cs="宋体"/>
                <w:color w:val="000000"/>
                <w:kern w:val="0"/>
                <w:sz w:val="24"/>
              </w:rPr>
            </w:pPr>
            <w:r>
              <w:rPr>
                <w:rFonts w:hint="eastAsia" w:ascii="宋体" w:hAnsi="宋体" w:cs="宋体"/>
                <w:color w:val="000000"/>
                <w:kern w:val="0"/>
                <w:sz w:val="24"/>
              </w:rPr>
              <w:t>304材质；底板和壁箱体厚不小于4MM、顶板不小于3MM。能够实现自动控制水温和补水功能。</w:t>
            </w:r>
          </w:p>
        </w:tc>
      </w:tr>
    </w:tbl>
    <w:p>
      <w:pPr>
        <w:spacing w:line="400" w:lineRule="exact"/>
        <w:ind w:left="426"/>
        <w:rPr>
          <w:rFonts w:ascii="宋体" w:hAnsi="宋体"/>
          <w:b/>
          <w:sz w:val="24"/>
        </w:rPr>
      </w:pPr>
    </w:p>
    <w:p>
      <w:pPr>
        <w:spacing w:line="360" w:lineRule="auto"/>
        <w:ind w:right="28"/>
        <w:rPr>
          <w:rFonts w:ascii="宋体" w:hAnsi="宋体"/>
          <w:b/>
          <w:szCs w:val="21"/>
        </w:rPr>
      </w:pPr>
      <w:r>
        <w:rPr>
          <w:rFonts w:hint="eastAsia" w:ascii="宋体" w:hAnsi="宋体"/>
          <w:b/>
          <w:szCs w:val="21"/>
        </w:rPr>
        <w:t xml:space="preserve">   （七）售后服务要求</w:t>
      </w:r>
    </w:p>
    <w:p>
      <w:pPr>
        <w:spacing w:line="360" w:lineRule="auto"/>
        <w:ind w:firstLine="420" w:firstLineChars="200"/>
        <w:rPr>
          <w:rFonts w:ascii="宋体" w:hAnsi="宋体"/>
          <w:szCs w:val="21"/>
        </w:rPr>
      </w:pPr>
      <w:r>
        <w:rPr>
          <w:rFonts w:hint="eastAsia" w:ascii="宋体" w:hAnsi="宋体"/>
          <w:szCs w:val="21"/>
        </w:rPr>
        <w:t>1、对其售出的产品提供良好的售后服务，对因产品质量造成的问题要进行如下服务承诺：</w:t>
      </w:r>
    </w:p>
    <w:p>
      <w:pPr>
        <w:spacing w:line="440" w:lineRule="exact"/>
        <w:ind w:firstLine="420" w:firstLineChars="200"/>
        <w:rPr>
          <w:rFonts w:ascii="宋体" w:hAnsi="宋体"/>
          <w:szCs w:val="21"/>
        </w:rPr>
      </w:pPr>
      <w:r>
        <w:rPr>
          <w:rFonts w:hint="eastAsia" w:ascii="宋体" w:hAnsi="宋体"/>
          <w:szCs w:val="21"/>
        </w:rPr>
        <w:t>1.1设备配置及技术要求中有具体服务要求的，按设备配置及技术要求中的要求提供服务承诺。</w:t>
      </w:r>
    </w:p>
    <w:p>
      <w:pPr>
        <w:spacing w:line="440" w:lineRule="exact"/>
        <w:ind w:firstLine="420" w:firstLineChars="200"/>
        <w:rPr>
          <w:rFonts w:ascii="宋体" w:hAnsi="宋体"/>
          <w:szCs w:val="21"/>
        </w:rPr>
      </w:pPr>
      <w:r>
        <w:rPr>
          <w:rFonts w:hint="eastAsia" w:ascii="宋体" w:hAnsi="宋体"/>
          <w:szCs w:val="21"/>
        </w:rPr>
        <w:t>1.2其它设备售后服务要求：免费质保</w:t>
      </w:r>
      <w:r>
        <w:rPr>
          <w:rFonts w:hint="eastAsia" w:ascii="宋体" w:hAnsi="宋体"/>
          <w:b/>
          <w:szCs w:val="21"/>
        </w:rPr>
        <w:t>两</w:t>
      </w:r>
      <w:r>
        <w:rPr>
          <w:rFonts w:hint="eastAsia" w:ascii="宋体" w:hAnsi="宋体"/>
          <w:szCs w:val="21"/>
        </w:rPr>
        <w:t>个采暖期，质保期外所有设备免费保修（只收取材料费；主机交维保费的主机除外不得收取费用）。</w:t>
      </w:r>
    </w:p>
    <w:p>
      <w:pPr>
        <w:pStyle w:val="15"/>
        <w:spacing w:line="440" w:lineRule="exact"/>
        <w:ind w:firstLine="422" w:firstLineChars="200"/>
        <w:rPr>
          <w:rFonts w:hAnsi="宋体"/>
          <w:b/>
          <w:bCs/>
          <w:sz w:val="21"/>
          <w:szCs w:val="21"/>
        </w:rPr>
      </w:pPr>
      <w:r>
        <w:rPr>
          <w:rFonts w:hint="eastAsia" w:hAnsi="宋体"/>
          <w:b/>
          <w:sz w:val="21"/>
          <w:szCs w:val="21"/>
        </w:rPr>
        <w:t>2、</w:t>
      </w:r>
      <w:r>
        <w:rPr>
          <w:rFonts w:hAnsi="宋体"/>
          <w:b/>
          <w:sz w:val="21"/>
          <w:szCs w:val="21"/>
        </w:rPr>
        <w:t>质保期内，自接到用户报修</w:t>
      </w:r>
      <w:r>
        <w:rPr>
          <w:rFonts w:hint="eastAsia" w:hAnsi="宋体"/>
          <w:b/>
          <w:sz w:val="21"/>
          <w:szCs w:val="21"/>
        </w:rPr>
        <w:t>后</w:t>
      </w:r>
      <w:r>
        <w:rPr>
          <w:rFonts w:hAnsi="宋体"/>
          <w:b/>
          <w:sz w:val="21"/>
          <w:szCs w:val="21"/>
        </w:rPr>
        <w:t>，2小时内响应，</w:t>
      </w:r>
      <w:r>
        <w:rPr>
          <w:rFonts w:hint="eastAsia" w:hAnsi="宋体"/>
          <w:b/>
          <w:sz w:val="21"/>
          <w:szCs w:val="21"/>
        </w:rPr>
        <w:t>12</w:t>
      </w:r>
      <w:r>
        <w:rPr>
          <w:rFonts w:hAnsi="宋体"/>
          <w:b/>
          <w:sz w:val="21"/>
          <w:szCs w:val="21"/>
        </w:rPr>
        <w:t>小时内到达用户现场并解决问题，如不能及时解决问题要提供备机服务、直到原设备修复。</w:t>
      </w:r>
    </w:p>
    <w:p>
      <w:pPr>
        <w:pStyle w:val="13"/>
        <w:spacing w:line="440" w:lineRule="exact"/>
        <w:rPr>
          <w:rFonts w:ascii="宋体" w:hAnsi="宋体"/>
          <w:szCs w:val="21"/>
        </w:rPr>
      </w:pPr>
      <w:r>
        <w:rPr>
          <w:rFonts w:ascii="宋体" w:hAnsi="宋体"/>
          <w:szCs w:val="21"/>
        </w:rPr>
        <w:t>3</w:t>
      </w:r>
      <w:r>
        <w:rPr>
          <w:rFonts w:hint="eastAsia" w:ascii="宋体" w:hAnsi="宋体"/>
          <w:szCs w:val="21"/>
        </w:rPr>
        <w:t>、技术服务：按投标人所投标产品厂家的技术要求进行服务，投标人提出培训计划和安排，所需费用包含在投标总报价中，并报出单项价格。</w:t>
      </w:r>
    </w:p>
    <w:p>
      <w:pPr>
        <w:pStyle w:val="13"/>
        <w:spacing w:line="440" w:lineRule="exact"/>
        <w:rPr>
          <w:rFonts w:ascii="宋体" w:hAnsi="宋体"/>
          <w:szCs w:val="21"/>
        </w:rPr>
      </w:pPr>
      <w:r>
        <w:rPr>
          <w:rFonts w:ascii="宋体" w:hAnsi="宋体"/>
          <w:szCs w:val="21"/>
        </w:rPr>
        <w:t>3</w:t>
      </w:r>
      <w:r>
        <w:rPr>
          <w:rFonts w:hint="eastAsia" w:ascii="宋体" w:hAnsi="宋体"/>
          <w:szCs w:val="21"/>
        </w:rPr>
        <w:t>.1、安装调试：中标人派出技术人员到最终用户现场免费安装调试。</w:t>
      </w:r>
    </w:p>
    <w:p>
      <w:pPr>
        <w:spacing w:line="440" w:lineRule="exact"/>
        <w:ind w:firstLine="420" w:firstLineChars="200"/>
        <w:rPr>
          <w:rFonts w:ascii="宋体" w:hAnsi="宋体"/>
          <w:szCs w:val="21"/>
        </w:rPr>
      </w:pPr>
      <w:r>
        <w:rPr>
          <w:rFonts w:ascii="宋体" w:hAnsi="宋体"/>
          <w:szCs w:val="21"/>
        </w:rPr>
        <w:t>3</w:t>
      </w:r>
      <w:r>
        <w:rPr>
          <w:rFonts w:hint="eastAsia" w:ascii="宋体" w:hAnsi="宋体"/>
          <w:szCs w:val="21"/>
        </w:rPr>
        <w:t>.2、技术培训：中标人负责免费为所投项目</w:t>
      </w:r>
      <w:r>
        <w:rPr>
          <w:rFonts w:ascii="宋体" w:hAnsi="宋体"/>
          <w:szCs w:val="21"/>
        </w:rPr>
        <w:t>2名技术人员</w:t>
      </w:r>
      <w:r>
        <w:rPr>
          <w:rFonts w:hint="eastAsia" w:ascii="宋体" w:hAnsi="宋体"/>
          <w:szCs w:val="21"/>
        </w:rPr>
        <w:t>到主机厂家培训，包括所有食宿及培训费用，培训时间不小于15工作日</w:t>
      </w:r>
      <w:r>
        <w:rPr>
          <w:rFonts w:ascii="宋体" w:hAnsi="宋体"/>
          <w:szCs w:val="21"/>
        </w:rPr>
        <w:t>，使培训人员达到熟练掌握、灵活应用的程度。</w:t>
      </w:r>
    </w:p>
    <w:p>
      <w:pPr>
        <w:spacing w:line="440" w:lineRule="exact"/>
        <w:ind w:firstLine="420" w:firstLineChars="200"/>
        <w:rPr>
          <w:rFonts w:ascii="宋体" w:hAnsi="宋体"/>
          <w:color w:val="000000"/>
          <w:szCs w:val="21"/>
        </w:rPr>
      </w:pPr>
      <w:r>
        <w:rPr>
          <w:rFonts w:ascii="宋体" w:hAnsi="宋体"/>
          <w:szCs w:val="21"/>
        </w:rPr>
        <w:t>3</w:t>
      </w:r>
      <w:r>
        <w:rPr>
          <w:rFonts w:hint="eastAsia" w:ascii="宋体" w:hAnsi="宋体"/>
          <w:szCs w:val="21"/>
        </w:rPr>
        <w:t>.</w:t>
      </w:r>
      <w:r>
        <w:rPr>
          <w:rFonts w:hint="eastAsia" w:ascii="宋体" w:hAnsi="宋体"/>
          <w:color w:val="000000"/>
          <w:szCs w:val="21"/>
        </w:rPr>
        <w:t>3、供应商为用户提供免费的电话咨询及技术服务。</w:t>
      </w:r>
    </w:p>
    <w:p>
      <w:pPr>
        <w:spacing w:line="440" w:lineRule="exact"/>
        <w:ind w:firstLine="420" w:firstLineChars="200"/>
        <w:rPr>
          <w:rFonts w:ascii="宋体" w:hAnsi="宋体"/>
          <w:color w:val="000000"/>
          <w:szCs w:val="21"/>
        </w:rPr>
      </w:pPr>
      <w:r>
        <w:rPr>
          <w:rFonts w:ascii="宋体" w:hAnsi="宋体"/>
          <w:color w:val="000000"/>
          <w:szCs w:val="21"/>
        </w:rPr>
        <w:t>4</w:t>
      </w:r>
      <w:r>
        <w:rPr>
          <w:rFonts w:hint="eastAsia" w:ascii="宋体" w:hAnsi="宋体"/>
          <w:color w:val="000000"/>
          <w:szCs w:val="21"/>
        </w:rPr>
        <w:t>、供货期：合同签订后200日历天。</w:t>
      </w:r>
    </w:p>
    <w:p>
      <w:pPr>
        <w:spacing w:line="440" w:lineRule="exact"/>
        <w:ind w:firstLine="420" w:firstLineChars="200"/>
        <w:rPr>
          <w:rFonts w:ascii="宋体" w:hAnsi="宋体"/>
          <w:szCs w:val="21"/>
        </w:rPr>
      </w:pPr>
      <w:r>
        <w:rPr>
          <w:rFonts w:hint="eastAsia" w:ascii="宋体" w:hAnsi="宋体"/>
          <w:szCs w:val="21"/>
        </w:rPr>
        <w:t>交货地点：以合同中约定的交货地点为准。</w:t>
      </w:r>
    </w:p>
    <w:p>
      <w:pPr>
        <w:spacing w:line="440" w:lineRule="exact"/>
        <w:ind w:firstLine="420" w:firstLineChars="200"/>
        <w:rPr>
          <w:rFonts w:ascii="宋体" w:hAnsi="宋体"/>
          <w:szCs w:val="21"/>
        </w:rPr>
      </w:pPr>
      <w:r>
        <w:rPr>
          <w:rFonts w:ascii="宋体" w:hAnsi="宋体"/>
          <w:szCs w:val="21"/>
        </w:rPr>
        <w:t>5</w:t>
      </w:r>
      <w:r>
        <w:rPr>
          <w:rFonts w:hint="eastAsia" w:ascii="宋体" w:hAnsi="宋体"/>
          <w:szCs w:val="21"/>
        </w:rPr>
        <w:t>、伴随服务</w:t>
      </w:r>
    </w:p>
    <w:p>
      <w:pPr>
        <w:spacing w:line="440" w:lineRule="exact"/>
        <w:ind w:firstLine="420" w:firstLineChars="200"/>
        <w:jc w:val="left"/>
        <w:rPr>
          <w:rFonts w:ascii="宋体" w:hAnsi="宋体"/>
          <w:szCs w:val="21"/>
        </w:rPr>
      </w:pPr>
      <w:r>
        <w:rPr>
          <w:rFonts w:ascii="宋体" w:hAnsi="宋体"/>
          <w:szCs w:val="21"/>
        </w:rPr>
        <w:t>5</w:t>
      </w:r>
      <w:r>
        <w:rPr>
          <w:rFonts w:hint="eastAsia" w:ascii="宋体" w:hAnsi="宋体"/>
          <w:szCs w:val="21"/>
        </w:rPr>
        <w:t>.1以上设备要提供一套完整的中文技术资料：包括操作手册、使用说明、维修保养操作手册、维修电路图、</w:t>
      </w:r>
      <w:r>
        <w:rPr>
          <w:rFonts w:ascii="宋体" w:hAnsi="宋体"/>
          <w:szCs w:val="21"/>
        </w:rPr>
        <w:t>操作指南</w:t>
      </w:r>
      <w:r>
        <w:rPr>
          <w:rFonts w:hint="eastAsia" w:ascii="宋体" w:hAnsi="宋体"/>
          <w:szCs w:val="21"/>
        </w:rPr>
        <w:t>、</w:t>
      </w:r>
      <w:r>
        <w:rPr>
          <w:rFonts w:ascii="宋体" w:hAnsi="宋体"/>
          <w:szCs w:val="21"/>
        </w:rPr>
        <w:t>原理</w:t>
      </w:r>
      <w:r>
        <w:rPr>
          <w:rFonts w:hint="eastAsia" w:ascii="宋体" w:hAnsi="宋体"/>
          <w:szCs w:val="21"/>
        </w:rPr>
        <w:t>、安装手册、产品合格证等。</w:t>
      </w:r>
    </w:p>
    <w:p>
      <w:pPr>
        <w:spacing w:line="440" w:lineRule="exact"/>
        <w:ind w:right="28" w:firstLine="420" w:firstLineChars="200"/>
        <w:rPr>
          <w:rFonts w:ascii="宋体" w:hAnsi="宋体"/>
          <w:szCs w:val="21"/>
        </w:rPr>
      </w:pPr>
      <w:r>
        <w:rPr>
          <w:rFonts w:ascii="宋体" w:hAnsi="宋体"/>
          <w:szCs w:val="21"/>
        </w:rPr>
        <w:t>5</w:t>
      </w:r>
      <w:r>
        <w:rPr>
          <w:rFonts w:hint="eastAsia" w:ascii="宋体" w:hAnsi="宋体"/>
          <w:szCs w:val="21"/>
        </w:rPr>
        <w:t>.2 凡需要现场安装、装配、校验、启动测试的设备需提前7天通知用户。</w:t>
      </w:r>
    </w:p>
    <w:p>
      <w:pPr>
        <w:spacing w:line="440" w:lineRule="exact"/>
        <w:ind w:right="28" w:firstLine="420" w:firstLineChars="200"/>
        <w:rPr>
          <w:rFonts w:ascii="宋体" w:hAnsi="宋体"/>
          <w:szCs w:val="21"/>
        </w:rPr>
      </w:pPr>
      <w:r>
        <w:rPr>
          <w:rFonts w:ascii="宋体" w:hAnsi="宋体"/>
          <w:szCs w:val="21"/>
        </w:rPr>
        <w:t>5</w:t>
      </w:r>
      <w:r>
        <w:rPr>
          <w:rFonts w:hint="eastAsia" w:ascii="宋体" w:hAnsi="宋体"/>
          <w:szCs w:val="21"/>
        </w:rPr>
        <w:t>.3培训指的是涉及投标货物相关设备的基本操作原理、调试、操作使用和保养维修等有关内容的培训。</w:t>
      </w:r>
    </w:p>
    <w:p>
      <w:pPr>
        <w:spacing w:line="440" w:lineRule="exact"/>
        <w:ind w:right="28" w:firstLine="420" w:firstLineChars="200"/>
        <w:rPr>
          <w:rFonts w:ascii="宋体" w:hAnsi="宋体"/>
          <w:szCs w:val="21"/>
        </w:rPr>
      </w:pPr>
      <w:r>
        <w:rPr>
          <w:rFonts w:ascii="宋体" w:hAnsi="宋体"/>
          <w:szCs w:val="21"/>
        </w:rPr>
        <w:t>5</w:t>
      </w:r>
      <w:r>
        <w:rPr>
          <w:rFonts w:hint="eastAsia" w:ascii="宋体" w:hAnsi="宋体"/>
          <w:szCs w:val="21"/>
        </w:rPr>
        <w:t>.4培训要求</w:t>
      </w:r>
    </w:p>
    <w:p>
      <w:pPr>
        <w:spacing w:line="440" w:lineRule="exact"/>
        <w:ind w:right="28" w:firstLine="420" w:firstLineChars="200"/>
        <w:rPr>
          <w:rFonts w:ascii="宋体" w:hAnsi="宋体"/>
          <w:szCs w:val="21"/>
        </w:rPr>
      </w:pPr>
      <w:r>
        <w:rPr>
          <w:rFonts w:hint="eastAsia" w:ascii="宋体" w:hAnsi="宋体"/>
          <w:szCs w:val="21"/>
        </w:rPr>
        <w:t>派人参加指导性培训授课。提供最新的文字、音像、电子培训资料。接受各培训基地的技术咨询，必要时，派人到现场作安装技术指导。提供用于培训的相关设备。</w:t>
      </w:r>
    </w:p>
    <w:p>
      <w:pPr>
        <w:spacing w:line="440" w:lineRule="exact"/>
        <w:ind w:firstLine="420" w:firstLineChars="200"/>
        <w:rPr>
          <w:rFonts w:ascii="宋体" w:hAnsi="宋体"/>
          <w:szCs w:val="21"/>
        </w:rPr>
      </w:pPr>
      <w:r>
        <w:rPr>
          <w:rFonts w:ascii="宋体" w:hAnsi="宋体"/>
          <w:szCs w:val="21"/>
        </w:rPr>
        <w:t>5</w:t>
      </w:r>
      <w:r>
        <w:rPr>
          <w:rFonts w:hint="eastAsia" w:ascii="宋体" w:hAnsi="宋体"/>
          <w:szCs w:val="21"/>
        </w:rPr>
        <w:t>.6培训合格的标准为：被培训者要能依据操作的基本规则对设备进行正常工作使用条件和任务下的独立操作。对于有可能遇到的特殊工作使用条件和任务，卖方也要将这部分内容进行说明。</w:t>
      </w:r>
    </w:p>
    <w:p>
      <w:pPr>
        <w:spacing w:line="440" w:lineRule="exact"/>
        <w:ind w:firstLine="420" w:firstLineChars="200"/>
        <w:rPr>
          <w:rFonts w:ascii="宋体" w:hAnsi="宋体"/>
          <w:szCs w:val="21"/>
        </w:rPr>
      </w:pPr>
      <w:r>
        <w:rPr>
          <w:rFonts w:ascii="宋体" w:hAnsi="宋体"/>
          <w:szCs w:val="21"/>
        </w:rPr>
        <w:t>5</w:t>
      </w:r>
      <w:r>
        <w:rPr>
          <w:rFonts w:hint="eastAsia" w:ascii="宋体" w:hAnsi="宋体"/>
          <w:szCs w:val="21"/>
        </w:rPr>
        <w:t>.7投标人在质量保证期内安装的任何零配件，必须是其原设备厂家生产的或是经其认可的。</w:t>
      </w:r>
    </w:p>
    <w:p>
      <w:pPr>
        <w:spacing w:line="440" w:lineRule="exact"/>
        <w:ind w:right="28" w:firstLine="420" w:firstLineChars="200"/>
        <w:rPr>
          <w:rFonts w:ascii="宋体" w:hAnsi="宋体"/>
          <w:szCs w:val="21"/>
        </w:rPr>
      </w:pPr>
      <w:r>
        <w:rPr>
          <w:rFonts w:ascii="宋体" w:hAnsi="宋体"/>
          <w:szCs w:val="21"/>
        </w:rPr>
        <w:t>6</w:t>
      </w:r>
      <w:r>
        <w:rPr>
          <w:rFonts w:hint="eastAsia" w:ascii="宋体" w:hAnsi="宋体"/>
          <w:szCs w:val="21"/>
        </w:rPr>
        <w:t>、在质量保证期内,凡因正常使用出现的质量问题，供货商应提供免费维修或更换。在厂家(供货商维修服务中心)维修时,供货商应支付设备或组件的包装和运费，并从修复或更换后重新计算质保期。</w:t>
      </w:r>
    </w:p>
    <w:p>
      <w:pPr>
        <w:spacing w:line="440" w:lineRule="exact"/>
        <w:ind w:right="28" w:firstLine="420" w:firstLineChars="200"/>
        <w:rPr>
          <w:rFonts w:ascii="宋体" w:hAnsi="宋体"/>
          <w:szCs w:val="21"/>
        </w:rPr>
      </w:pPr>
      <w:r>
        <w:rPr>
          <w:rFonts w:ascii="宋体" w:hAnsi="宋体"/>
          <w:szCs w:val="21"/>
        </w:rPr>
        <w:t>7</w:t>
      </w:r>
      <w:r>
        <w:rPr>
          <w:rFonts w:hint="eastAsia" w:ascii="宋体" w:hAnsi="宋体"/>
          <w:szCs w:val="21"/>
        </w:rPr>
        <w:t>、投标人所提供的维修点若不能提供必要的服务或未能按响应时间进行维修，将视为投标者违约。</w:t>
      </w:r>
    </w:p>
    <w:p>
      <w:pPr>
        <w:spacing w:line="440" w:lineRule="exact"/>
        <w:ind w:right="28" w:firstLine="420" w:firstLineChars="200"/>
        <w:rPr>
          <w:rFonts w:ascii="宋体" w:hAnsi="宋体"/>
          <w:szCs w:val="21"/>
        </w:rPr>
      </w:pPr>
      <w:r>
        <w:rPr>
          <w:rFonts w:ascii="宋体" w:hAnsi="宋体"/>
          <w:szCs w:val="21"/>
        </w:rPr>
        <w:t>8</w:t>
      </w:r>
      <w:r>
        <w:rPr>
          <w:rFonts w:hint="eastAsia" w:ascii="宋体" w:hAnsi="宋体"/>
          <w:szCs w:val="21"/>
        </w:rPr>
        <w:t>、检验与测试的条件和方式：投标设备送到项目现场后，由设备制造商授权的技术人员现场免费安装调试，安装调试完成，由需方进行验收。</w:t>
      </w:r>
    </w:p>
    <w:p>
      <w:pPr>
        <w:spacing w:line="440" w:lineRule="exact"/>
        <w:ind w:right="28" w:firstLine="420" w:firstLineChars="200"/>
        <w:rPr>
          <w:rFonts w:ascii="宋体" w:hAnsi="宋体"/>
          <w:szCs w:val="21"/>
        </w:rPr>
      </w:pPr>
    </w:p>
    <w:p>
      <w:pPr>
        <w:spacing w:line="440" w:lineRule="exact"/>
        <w:ind w:right="28" w:firstLine="420" w:firstLineChars="200"/>
        <w:rPr>
          <w:rFonts w:ascii="宋体" w:hAnsi="宋体"/>
          <w:szCs w:val="21"/>
        </w:rPr>
      </w:pPr>
    </w:p>
    <w:p>
      <w:pPr>
        <w:spacing w:line="440" w:lineRule="exact"/>
        <w:ind w:right="28" w:firstLine="420" w:firstLineChars="200"/>
        <w:rPr>
          <w:rFonts w:ascii="宋体" w:hAnsi="宋体"/>
          <w:szCs w:val="21"/>
        </w:rPr>
      </w:pPr>
    </w:p>
    <w:p>
      <w:pPr>
        <w:spacing w:line="440" w:lineRule="exact"/>
        <w:ind w:right="28" w:firstLine="420" w:firstLineChars="200"/>
        <w:rPr>
          <w:rFonts w:ascii="宋体" w:hAnsi="宋体"/>
          <w:szCs w:val="21"/>
        </w:rPr>
      </w:pPr>
    </w:p>
    <w:p>
      <w:pPr>
        <w:spacing w:line="440" w:lineRule="exact"/>
        <w:ind w:right="28" w:firstLine="420" w:firstLineChars="200"/>
        <w:rPr>
          <w:rFonts w:ascii="宋体" w:hAnsi="宋体"/>
          <w:szCs w:val="21"/>
        </w:rPr>
      </w:pPr>
    </w:p>
    <w:p>
      <w:pPr>
        <w:spacing w:line="440" w:lineRule="exact"/>
        <w:ind w:right="28" w:firstLine="420" w:firstLineChars="200"/>
        <w:rPr>
          <w:rFonts w:ascii="宋体" w:hAnsi="宋体"/>
          <w:szCs w:val="21"/>
        </w:rPr>
      </w:pPr>
    </w:p>
    <w:p>
      <w:pPr>
        <w:spacing w:line="440" w:lineRule="exact"/>
        <w:ind w:right="28" w:firstLine="420" w:firstLineChars="200"/>
        <w:rPr>
          <w:rFonts w:ascii="宋体" w:hAnsi="宋体"/>
          <w:szCs w:val="21"/>
        </w:rPr>
      </w:pPr>
    </w:p>
    <w:p>
      <w:pPr>
        <w:spacing w:line="440" w:lineRule="exact"/>
        <w:ind w:right="28" w:firstLine="420" w:firstLineChars="200"/>
        <w:rPr>
          <w:rFonts w:ascii="宋体" w:hAnsi="宋体"/>
          <w:szCs w:val="21"/>
        </w:rPr>
      </w:pPr>
    </w:p>
    <w:bookmarkEnd w:id="460"/>
    <w:bookmarkEnd w:id="461"/>
    <w:bookmarkEnd w:id="462"/>
    <w:bookmarkEnd w:id="463"/>
    <w:bookmarkEnd w:id="464"/>
    <w:bookmarkEnd w:id="465"/>
    <w:bookmarkEnd w:id="466"/>
    <w:p>
      <w:pPr>
        <w:pStyle w:val="2"/>
        <w:spacing w:before="0" w:after="0" w:line="440" w:lineRule="exact"/>
        <w:jc w:val="center"/>
      </w:pPr>
      <w:bookmarkStart w:id="1100" w:name="_Toc246997093"/>
      <w:bookmarkStart w:id="1101" w:name="_Toc247085866"/>
      <w:bookmarkStart w:id="1102" w:name="_Toc247096438"/>
      <w:bookmarkStart w:id="1103" w:name="_Toc144974851"/>
      <w:bookmarkStart w:id="1104" w:name="_Toc246996350"/>
      <w:bookmarkStart w:id="1105" w:name="_Toc152045782"/>
      <w:bookmarkStart w:id="1106" w:name="_Toc179632800"/>
      <w:bookmarkStart w:id="1107" w:name="_Toc152042571"/>
      <w:r>
        <w:br w:type="page"/>
      </w:r>
      <w:bookmarkEnd w:id="1100"/>
      <w:bookmarkEnd w:id="1101"/>
      <w:bookmarkEnd w:id="1102"/>
      <w:bookmarkEnd w:id="1103"/>
      <w:bookmarkEnd w:id="1104"/>
      <w:bookmarkEnd w:id="1105"/>
      <w:bookmarkEnd w:id="1106"/>
      <w:bookmarkEnd w:id="1107"/>
      <w:bookmarkStart w:id="1108" w:name="_Toc20935"/>
      <w:bookmarkStart w:id="1109" w:name="_Toc415498424"/>
      <w:bookmarkStart w:id="1110" w:name="_Toc393359085"/>
      <w:r>
        <w:rPr>
          <w:rFonts w:hint="eastAsia"/>
        </w:rPr>
        <w:t>第七章  图  纸</w:t>
      </w:r>
      <w:bookmarkEnd w:id="1108"/>
    </w:p>
    <w:p>
      <w:pPr>
        <w:pStyle w:val="2"/>
        <w:spacing w:before="0" w:after="0" w:line="440" w:lineRule="exact"/>
        <w:jc w:val="center"/>
        <w:rPr>
          <w:sz w:val="36"/>
          <w:szCs w:val="36"/>
        </w:rPr>
      </w:pPr>
    </w:p>
    <w:p>
      <w:pPr>
        <w:spacing w:line="440" w:lineRule="exact"/>
        <w:jc w:val="center"/>
        <w:rPr>
          <w:sz w:val="36"/>
          <w:szCs w:val="36"/>
        </w:rPr>
      </w:pPr>
      <w:r>
        <w:rPr>
          <w:rFonts w:hint="eastAsia"/>
          <w:sz w:val="36"/>
          <w:szCs w:val="36"/>
        </w:rPr>
        <w:t>（另册提供）</w:t>
      </w:r>
      <w:bookmarkEnd w:id="1109"/>
    </w:p>
    <w:p>
      <w:pPr>
        <w:pStyle w:val="2"/>
        <w:spacing w:before="0" w:after="0" w:line="440" w:lineRule="exact"/>
        <w:jc w:val="center"/>
      </w:pPr>
    </w:p>
    <w:p>
      <w:pPr>
        <w:pStyle w:val="2"/>
        <w:spacing w:before="0" w:after="0" w:line="440" w:lineRule="exact"/>
        <w:jc w:val="center"/>
      </w:pPr>
    </w:p>
    <w:p>
      <w:pPr>
        <w:pStyle w:val="2"/>
        <w:spacing w:before="0" w:after="0" w:line="440" w:lineRule="exact"/>
        <w:jc w:val="center"/>
      </w:pPr>
    </w:p>
    <w:p/>
    <w:p/>
    <w:p/>
    <w:p/>
    <w:p/>
    <w:p/>
    <w:p/>
    <w:p/>
    <w:p/>
    <w:p/>
    <w:p/>
    <w:p/>
    <w:p/>
    <w:p/>
    <w:p/>
    <w:p/>
    <w:p/>
    <w:p/>
    <w:p/>
    <w:p/>
    <w:p/>
    <w:p/>
    <w:p/>
    <w:p>
      <w:pPr>
        <w:pStyle w:val="2"/>
        <w:spacing w:before="0" w:after="0" w:line="440" w:lineRule="exact"/>
        <w:jc w:val="center"/>
      </w:pPr>
    </w:p>
    <w:p>
      <w:pPr>
        <w:pStyle w:val="2"/>
        <w:spacing w:before="0" w:after="0" w:line="440" w:lineRule="exact"/>
        <w:jc w:val="center"/>
      </w:pPr>
    </w:p>
    <w:p>
      <w:pPr>
        <w:pStyle w:val="2"/>
        <w:spacing w:before="0" w:after="0" w:line="440" w:lineRule="exact"/>
        <w:jc w:val="center"/>
      </w:pPr>
    </w:p>
    <w:p>
      <w:pPr>
        <w:pStyle w:val="2"/>
        <w:spacing w:before="0" w:after="0" w:line="440" w:lineRule="exact"/>
        <w:jc w:val="center"/>
      </w:pPr>
    </w:p>
    <w:p>
      <w:pPr>
        <w:pStyle w:val="2"/>
        <w:spacing w:before="0" w:after="0" w:line="440" w:lineRule="exact"/>
        <w:jc w:val="center"/>
      </w:pPr>
    </w:p>
    <w:p>
      <w:pPr>
        <w:pStyle w:val="2"/>
        <w:spacing w:before="0" w:after="0" w:line="440" w:lineRule="exact"/>
        <w:jc w:val="center"/>
      </w:pPr>
    </w:p>
    <w:p/>
    <w:p>
      <w:pPr>
        <w:pStyle w:val="2"/>
        <w:spacing w:before="0" w:after="0" w:line="440" w:lineRule="exact"/>
        <w:jc w:val="center"/>
      </w:pPr>
    </w:p>
    <w:bookmarkEnd w:id="1110"/>
    <w:p>
      <w:pPr>
        <w:spacing w:line="480" w:lineRule="exact"/>
        <w:rPr>
          <w:rFonts w:ascii="宋体" w:hAnsi="宋体"/>
          <w:sz w:val="24"/>
        </w:rPr>
      </w:pPr>
    </w:p>
    <w:p>
      <w:pPr>
        <w:pStyle w:val="2"/>
        <w:tabs>
          <w:tab w:val="center" w:pos="4156"/>
          <w:tab w:val="right" w:pos="8312"/>
        </w:tabs>
        <w:jc w:val="left"/>
        <w:rPr>
          <w:rFonts w:hint="eastAsia"/>
          <w:sz w:val="30"/>
          <w:szCs w:val="30"/>
        </w:rPr>
      </w:pPr>
      <w:r>
        <w:tab/>
      </w:r>
      <w:bookmarkEnd w:id="467"/>
      <w:bookmarkEnd w:id="468"/>
      <w:bookmarkEnd w:id="469"/>
      <w:bookmarkEnd w:id="470"/>
      <w:bookmarkEnd w:id="471"/>
      <w:bookmarkEnd w:id="472"/>
      <w:bookmarkEnd w:id="473"/>
      <w:bookmarkStart w:id="1111" w:name="_Toc4534"/>
      <w:r>
        <w:rPr>
          <w:rFonts w:hint="eastAsia"/>
        </w:rPr>
        <w:t>第八章  投标文件格式</w:t>
      </w:r>
      <w:bookmarkEnd w:id="1111"/>
      <w:r>
        <w:tab/>
      </w:r>
    </w:p>
    <w:p>
      <w:pPr>
        <w:spacing w:line="440" w:lineRule="exact"/>
        <w:ind w:firstLine="6900" w:firstLineChars="2300"/>
        <w:rPr>
          <w:rFonts w:eastAsia="黑体"/>
          <w:sz w:val="20"/>
          <w:szCs w:val="20"/>
        </w:rPr>
      </w:pPr>
      <w:r>
        <w:rPr>
          <w:rFonts w:hint="eastAsia"/>
          <w:sz w:val="30"/>
          <w:szCs w:val="30"/>
        </w:rPr>
        <w:t>正（副）本</w:t>
      </w:r>
    </w:p>
    <w:p>
      <w:pPr>
        <w:spacing w:line="440" w:lineRule="exact"/>
        <w:rPr>
          <w:rFonts w:hint="eastAsia" w:eastAsia="黑体"/>
          <w:sz w:val="20"/>
          <w:szCs w:val="20"/>
        </w:rPr>
      </w:pPr>
    </w:p>
    <w:p>
      <w:pPr>
        <w:spacing w:line="440" w:lineRule="exact"/>
        <w:rPr>
          <w:rFonts w:hint="eastAsia" w:eastAsia="黑体"/>
          <w:sz w:val="20"/>
          <w:szCs w:val="20"/>
        </w:rPr>
      </w:pPr>
    </w:p>
    <w:p>
      <w:pPr>
        <w:spacing w:line="440" w:lineRule="exact"/>
        <w:rPr>
          <w:rFonts w:eastAsia="黑体"/>
          <w:sz w:val="20"/>
          <w:szCs w:val="20"/>
        </w:rPr>
      </w:pPr>
    </w:p>
    <w:p>
      <w:pPr>
        <w:spacing w:line="360" w:lineRule="auto"/>
        <w:ind w:firstLine="643" w:firstLineChars="200"/>
        <w:rPr>
          <w:rFonts w:ascii="宋体" w:hAnsi="宋体"/>
          <w:b/>
          <w:sz w:val="32"/>
          <w:szCs w:val="32"/>
          <w:u w:val="single"/>
        </w:rPr>
      </w:pPr>
      <w:r>
        <w:rPr>
          <w:rFonts w:hint="eastAsia" w:ascii="宋体" w:hAnsi="宋体"/>
          <w:b/>
          <w:sz w:val="32"/>
          <w:szCs w:val="32"/>
          <w:u w:val="single"/>
        </w:rPr>
        <w:t xml:space="preserve">                                 </w:t>
      </w:r>
      <w:r>
        <w:rPr>
          <w:rFonts w:hint="eastAsia" w:ascii="宋体" w:hAnsi="宋体"/>
          <w:b/>
          <w:sz w:val="32"/>
          <w:szCs w:val="32"/>
        </w:rPr>
        <w:t>（项目名称）</w:t>
      </w:r>
    </w:p>
    <w:p>
      <w:pPr>
        <w:spacing w:line="360" w:lineRule="auto"/>
        <w:jc w:val="center"/>
        <w:rPr>
          <w:rFonts w:hint="eastAsia" w:ascii="宋体" w:hAnsi="宋体"/>
          <w:sz w:val="72"/>
          <w:szCs w:val="72"/>
        </w:rPr>
      </w:pPr>
    </w:p>
    <w:p>
      <w:pPr>
        <w:spacing w:line="360" w:lineRule="auto"/>
        <w:jc w:val="center"/>
        <w:rPr>
          <w:rFonts w:ascii="宋体" w:hAnsi="宋体"/>
          <w:sz w:val="72"/>
          <w:szCs w:val="72"/>
        </w:rPr>
      </w:pPr>
      <w:r>
        <w:rPr>
          <w:rFonts w:hint="eastAsia" w:ascii="宋体" w:hAnsi="宋体"/>
          <w:sz w:val="72"/>
          <w:szCs w:val="72"/>
        </w:rPr>
        <w:t>投 标 文 件</w:t>
      </w:r>
    </w:p>
    <w:p>
      <w:pPr>
        <w:spacing w:line="360" w:lineRule="auto"/>
        <w:ind w:firstLine="420" w:firstLineChars="200"/>
        <w:rPr>
          <w:rFonts w:hint="eastAsia" w:ascii="宋体" w:hAnsi="宋体"/>
          <w:szCs w:val="21"/>
        </w:rPr>
      </w:pPr>
    </w:p>
    <w:p>
      <w:pPr>
        <w:spacing w:line="360" w:lineRule="auto"/>
        <w:ind w:firstLine="420" w:firstLineChars="200"/>
        <w:rPr>
          <w:rFonts w:hint="eastAsia" w:ascii="宋体" w:hAnsi="宋体"/>
          <w:szCs w:val="21"/>
        </w:rPr>
      </w:pPr>
    </w:p>
    <w:p>
      <w:pPr>
        <w:spacing w:line="360" w:lineRule="auto"/>
        <w:ind w:firstLine="420" w:firstLineChars="200"/>
        <w:rPr>
          <w:rFonts w:hint="eastAsia" w:ascii="宋体" w:hAnsi="宋体"/>
          <w:szCs w:val="21"/>
        </w:rPr>
      </w:pPr>
    </w:p>
    <w:p>
      <w:pPr>
        <w:spacing w:line="360" w:lineRule="auto"/>
        <w:ind w:firstLine="420" w:firstLineChars="200"/>
        <w:rPr>
          <w:rFonts w:hint="eastAsia" w:ascii="宋体" w:hAnsi="宋体"/>
          <w:szCs w:val="21"/>
        </w:rPr>
      </w:pPr>
    </w:p>
    <w:p>
      <w:pPr>
        <w:spacing w:line="360" w:lineRule="auto"/>
        <w:ind w:firstLine="420" w:firstLineChars="200"/>
        <w:rPr>
          <w:rFonts w:hint="eastAsia" w:ascii="宋体" w:hAnsi="宋体"/>
          <w:szCs w:val="21"/>
        </w:rPr>
      </w:pPr>
    </w:p>
    <w:p>
      <w:pPr>
        <w:spacing w:line="360" w:lineRule="auto"/>
        <w:ind w:firstLine="420" w:firstLineChars="200"/>
        <w:rPr>
          <w:rFonts w:hint="eastAsia" w:ascii="宋体" w:hAnsi="宋体"/>
          <w:szCs w:val="21"/>
        </w:rPr>
      </w:pPr>
    </w:p>
    <w:p>
      <w:pPr>
        <w:spacing w:line="360" w:lineRule="auto"/>
        <w:ind w:firstLine="420" w:firstLineChars="200"/>
        <w:rPr>
          <w:rFonts w:hint="eastAsia" w:ascii="宋体" w:hAnsi="宋体"/>
          <w:szCs w:val="21"/>
        </w:rPr>
      </w:pPr>
    </w:p>
    <w:p>
      <w:pPr>
        <w:spacing w:line="360" w:lineRule="auto"/>
        <w:ind w:firstLine="420" w:firstLineChars="200"/>
        <w:rPr>
          <w:rFonts w:hint="eastAsia" w:ascii="宋体" w:hAnsi="宋体"/>
          <w:szCs w:val="21"/>
        </w:rPr>
      </w:pPr>
    </w:p>
    <w:p>
      <w:pPr>
        <w:spacing w:line="360" w:lineRule="auto"/>
        <w:ind w:firstLine="420" w:firstLineChars="200"/>
        <w:rPr>
          <w:rFonts w:hint="eastAsia" w:ascii="宋体" w:hAnsi="宋体"/>
          <w:szCs w:val="21"/>
        </w:rPr>
      </w:pPr>
    </w:p>
    <w:p>
      <w:pPr>
        <w:spacing w:line="360" w:lineRule="auto"/>
        <w:ind w:firstLine="420" w:firstLineChars="200"/>
        <w:rPr>
          <w:rFonts w:hint="eastAsia" w:ascii="宋体" w:hAnsi="宋体"/>
          <w:szCs w:val="21"/>
        </w:rPr>
      </w:pPr>
    </w:p>
    <w:p>
      <w:pPr>
        <w:spacing w:line="360" w:lineRule="auto"/>
        <w:jc w:val="center"/>
        <w:rPr>
          <w:rFonts w:hint="eastAsia" w:ascii="宋体" w:hAnsi="宋体"/>
          <w:sz w:val="28"/>
          <w:szCs w:val="28"/>
        </w:rPr>
      </w:pPr>
      <w:r>
        <w:rPr>
          <w:rFonts w:hint="eastAsia" w:ascii="宋体" w:hAnsi="宋体"/>
          <w:sz w:val="28"/>
          <w:szCs w:val="28"/>
        </w:rPr>
        <w:t xml:space="preserve">            投标人：</w:t>
      </w:r>
      <w:r>
        <w:rPr>
          <w:rFonts w:hint="eastAsia" w:ascii="宋体" w:hAnsi="宋体"/>
          <w:sz w:val="28"/>
          <w:szCs w:val="28"/>
          <w:u w:val="single"/>
        </w:rPr>
        <w:t xml:space="preserve">                       </w:t>
      </w:r>
      <w:r>
        <w:rPr>
          <w:rFonts w:hint="eastAsia" w:ascii="宋体" w:hAnsi="宋体"/>
          <w:sz w:val="28"/>
          <w:szCs w:val="28"/>
        </w:rPr>
        <w:t>（盖单位章）</w:t>
      </w:r>
    </w:p>
    <w:p>
      <w:pPr>
        <w:spacing w:line="360" w:lineRule="auto"/>
        <w:ind w:firstLine="560" w:firstLineChars="200"/>
        <w:rPr>
          <w:rFonts w:hint="eastAsia" w:ascii="宋体" w:hAnsi="宋体"/>
          <w:sz w:val="28"/>
          <w:szCs w:val="28"/>
        </w:rPr>
      </w:pPr>
    </w:p>
    <w:p>
      <w:pPr>
        <w:spacing w:line="360" w:lineRule="auto"/>
        <w:ind w:firstLine="1960" w:firstLineChars="700"/>
        <w:rPr>
          <w:rFonts w:ascii="宋体" w:hAnsi="宋体"/>
          <w:sz w:val="28"/>
          <w:szCs w:val="28"/>
        </w:rPr>
      </w:pPr>
      <w:r>
        <w:rPr>
          <w:rFonts w:hint="eastAsia" w:ascii="宋体" w:hAnsi="宋体"/>
          <w:sz w:val="28"/>
          <w:szCs w:val="28"/>
        </w:rPr>
        <w:t>法定代表人或其委托代理人：</w:t>
      </w:r>
      <w:r>
        <w:rPr>
          <w:rFonts w:hint="eastAsia" w:ascii="宋体" w:hAnsi="宋体"/>
          <w:sz w:val="28"/>
          <w:szCs w:val="28"/>
          <w:u w:val="single"/>
        </w:rPr>
        <w:t xml:space="preserve">            </w:t>
      </w:r>
      <w:r>
        <w:rPr>
          <w:rFonts w:hint="eastAsia" w:ascii="宋体" w:hAnsi="宋体"/>
          <w:sz w:val="28"/>
          <w:szCs w:val="28"/>
        </w:rPr>
        <w:t>（签字）</w:t>
      </w:r>
    </w:p>
    <w:p>
      <w:pPr>
        <w:spacing w:line="360" w:lineRule="auto"/>
        <w:jc w:val="center"/>
        <w:rPr>
          <w:rFonts w:hint="eastAsia" w:ascii="宋体" w:hAnsi="宋体"/>
          <w:szCs w:val="21"/>
          <w:u w:val="single"/>
        </w:rPr>
      </w:pPr>
    </w:p>
    <w:p>
      <w:pPr>
        <w:spacing w:line="360" w:lineRule="auto"/>
        <w:jc w:val="center"/>
        <w:rPr>
          <w:rFonts w:eastAsia="黑体"/>
          <w:sz w:val="20"/>
          <w:szCs w:val="20"/>
        </w:rPr>
      </w:pPr>
      <w:r>
        <w:rPr>
          <w:rFonts w:hint="eastAsia" w:ascii="宋体" w:hAnsi="宋体"/>
          <w:szCs w:val="21"/>
          <w:u w:val="single"/>
        </w:rPr>
        <w:t xml:space="preserve">         </w:t>
      </w:r>
      <w:r>
        <w:rPr>
          <w:rFonts w:hint="eastAsia" w:ascii="宋体" w:hAnsi="宋体"/>
          <w:sz w:val="28"/>
          <w:szCs w:val="28"/>
        </w:rPr>
        <w:t>年</w:t>
      </w:r>
      <w:r>
        <w:rPr>
          <w:rFonts w:hint="eastAsia" w:ascii="宋体" w:hAnsi="宋体"/>
          <w:sz w:val="28"/>
          <w:szCs w:val="28"/>
          <w:u w:val="single"/>
        </w:rPr>
        <w:t xml:space="preserve">    </w:t>
      </w:r>
      <w:r>
        <w:rPr>
          <w:rFonts w:hint="eastAsia" w:ascii="宋体" w:hAnsi="宋体"/>
          <w:sz w:val="28"/>
          <w:szCs w:val="28"/>
        </w:rPr>
        <w:t>月</w:t>
      </w:r>
      <w:r>
        <w:rPr>
          <w:rFonts w:hint="eastAsia" w:ascii="宋体" w:hAnsi="宋体"/>
          <w:sz w:val="28"/>
          <w:szCs w:val="28"/>
          <w:u w:val="single"/>
        </w:rPr>
        <w:t xml:space="preserve">    </w:t>
      </w:r>
      <w:r>
        <w:rPr>
          <w:rFonts w:hint="eastAsia" w:ascii="宋体" w:hAnsi="宋体"/>
          <w:sz w:val="28"/>
          <w:szCs w:val="28"/>
        </w:rPr>
        <w:t>日</w:t>
      </w:r>
    </w:p>
    <w:p>
      <w:pPr>
        <w:pStyle w:val="3"/>
        <w:jc w:val="center"/>
        <w:rPr>
          <w:rFonts w:hint="eastAsia"/>
        </w:rPr>
      </w:pPr>
      <w:bookmarkStart w:id="1112" w:name="_Toc11140"/>
      <w:bookmarkStart w:id="1113" w:name="_Toc144974856"/>
      <w:bookmarkStart w:id="1114" w:name="_Toc247085873"/>
      <w:bookmarkStart w:id="1115" w:name="_Toc246997098"/>
      <w:bookmarkStart w:id="1116" w:name="_Toc246996355"/>
      <w:bookmarkStart w:id="1117" w:name="_Toc179632807"/>
      <w:bookmarkStart w:id="1118" w:name="_Toc152045787"/>
      <w:bookmarkStart w:id="1119" w:name="_Toc152042576"/>
      <w:r>
        <w:rPr>
          <w:rFonts w:hint="eastAsia"/>
        </w:rPr>
        <w:t>目    录</w:t>
      </w:r>
      <w:bookmarkEnd w:id="1112"/>
      <w:bookmarkEnd w:id="1113"/>
      <w:bookmarkEnd w:id="1114"/>
      <w:bookmarkEnd w:id="1115"/>
      <w:bookmarkEnd w:id="1116"/>
      <w:bookmarkEnd w:id="1117"/>
      <w:bookmarkEnd w:id="1118"/>
      <w:bookmarkEnd w:id="1119"/>
    </w:p>
    <w:p>
      <w:pPr>
        <w:spacing w:line="540" w:lineRule="exact"/>
      </w:pPr>
    </w:p>
    <w:p>
      <w:pPr>
        <w:spacing w:line="540" w:lineRule="exact"/>
        <w:rPr>
          <w:rFonts w:hint="eastAsia"/>
        </w:rPr>
      </w:pPr>
      <w:r>
        <w:rPr>
          <w:rFonts w:hint="eastAsia"/>
        </w:rPr>
        <w:t>一、投标函及投标函附录</w:t>
      </w:r>
    </w:p>
    <w:p>
      <w:pPr>
        <w:spacing w:line="540" w:lineRule="exact"/>
        <w:rPr>
          <w:rFonts w:hint="eastAsia"/>
        </w:rPr>
      </w:pPr>
      <w:r>
        <w:rPr>
          <w:rFonts w:hint="eastAsia"/>
        </w:rPr>
        <w:t>二、法定代表人身份证明及授权委托书</w:t>
      </w:r>
    </w:p>
    <w:p>
      <w:pPr>
        <w:spacing w:line="540" w:lineRule="exact"/>
        <w:rPr>
          <w:rFonts w:hint="eastAsia"/>
        </w:rPr>
      </w:pPr>
      <w:r>
        <w:rPr>
          <w:rFonts w:hint="eastAsia"/>
        </w:rPr>
        <w:t xml:space="preserve">三、投标保证金 </w:t>
      </w:r>
    </w:p>
    <w:p>
      <w:pPr>
        <w:spacing w:line="540" w:lineRule="exact"/>
        <w:rPr>
          <w:rFonts w:hint="eastAsia"/>
        </w:rPr>
      </w:pPr>
      <w:r>
        <w:rPr>
          <w:rFonts w:hint="eastAsia"/>
        </w:rPr>
        <w:t>四、已标价工程量清单</w:t>
      </w:r>
    </w:p>
    <w:p>
      <w:pPr>
        <w:spacing w:line="540" w:lineRule="exact"/>
        <w:rPr>
          <w:rFonts w:hint="eastAsia"/>
        </w:rPr>
      </w:pPr>
      <w:r>
        <w:rPr>
          <w:rFonts w:hint="eastAsia"/>
        </w:rPr>
        <w:t>五、施工组织设计</w:t>
      </w:r>
    </w:p>
    <w:p>
      <w:pPr>
        <w:spacing w:line="540" w:lineRule="exact"/>
        <w:rPr>
          <w:rFonts w:hint="eastAsia"/>
        </w:rPr>
      </w:pPr>
      <w:r>
        <w:rPr>
          <w:rFonts w:hint="eastAsia"/>
        </w:rPr>
        <w:t>六、项目管理机构</w:t>
      </w:r>
    </w:p>
    <w:p>
      <w:pPr>
        <w:spacing w:line="540" w:lineRule="exact"/>
        <w:rPr>
          <w:rFonts w:hint="eastAsia"/>
        </w:rPr>
      </w:pPr>
      <w:r>
        <w:rPr>
          <w:rFonts w:hint="eastAsia"/>
        </w:rPr>
        <w:t>七、资格审查资料</w:t>
      </w:r>
    </w:p>
    <w:p>
      <w:pPr>
        <w:spacing w:line="540" w:lineRule="exact"/>
        <w:rPr>
          <w:rFonts w:hint="eastAsia"/>
        </w:rPr>
      </w:pPr>
      <w:r>
        <w:rPr>
          <w:rFonts w:hint="eastAsia"/>
        </w:rPr>
        <w:t>八、投标承诺</w:t>
      </w:r>
    </w:p>
    <w:p>
      <w:pPr>
        <w:spacing w:line="540" w:lineRule="exact"/>
      </w:pPr>
    </w:p>
    <w:p/>
    <w:p/>
    <w:p>
      <w:pPr>
        <w:rPr>
          <w:rFonts w:hint="eastAsia"/>
        </w:rPr>
      </w:pPr>
    </w:p>
    <w:p>
      <w:pPr>
        <w:rPr>
          <w:rFonts w:hint="eastAsia"/>
        </w:rPr>
      </w:pPr>
    </w:p>
    <w:p/>
    <w:p/>
    <w:p/>
    <w:p/>
    <w:p/>
    <w:p/>
    <w:p/>
    <w:p/>
    <w:p>
      <w:pPr>
        <w:spacing w:line="540" w:lineRule="exact"/>
        <w:rPr>
          <w:rFonts w:hint="eastAsia" w:eastAsia="黑体"/>
          <w:sz w:val="20"/>
          <w:szCs w:val="20"/>
        </w:rPr>
      </w:pPr>
    </w:p>
    <w:p>
      <w:pPr>
        <w:spacing w:line="540" w:lineRule="exact"/>
        <w:rPr>
          <w:rFonts w:hint="eastAsia" w:eastAsia="黑体"/>
          <w:sz w:val="20"/>
          <w:szCs w:val="20"/>
        </w:rPr>
      </w:pPr>
    </w:p>
    <w:p>
      <w:pPr>
        <w:spacing w:line="540" w:lineRule="exact"/>
        <w:rPr>
          <w:rFonts w:hint="eastAsia" w:eastAsia="黑体"/>
          <w:sz w:val="20"/>
          <w:szCs w:val="20"/>
        </w:rPr>
      </w:pPr>
    </w:p>
    <w:p>
      <w:pPr>
        <w:spacing w:line="540" w:lineRule="exact"/>
        <w:rPr>
          <w:rFonts w:hint="eastAsia" w:eastAsia="黑体"/>
          <w:sz w:val="20"/>
          <w:szCs w:val="20"/>
        </w:rPr>
      </w:pPr>
    </w:p>
    <w:p>
      <w:pPr>
        <w:pStyle w:val="3"/>
        <w:jc w:val="center"/>
        <w:rPr>
          <w:rFonts w:hint="eastAsia"/>
        </w:rPr>
      </w:pPr>
      <w:bookmarkStart w:id="1120" w:name="_Toc24699"/>
      <w:bookmarkStart w:id="1121" w:name="_Toc247085874"/>
      <w:bookmarkStart w:id="1122" w:name="_Toc246997099"/>
      <w:bookmarkStart w:id="1123" w:name="_Toc246996356"/>
      <w:bookmarkStart w:id="1124" w:name="_Toc179632808"/>
      <w:bookmarkStart w:id="1125" w:name="_Toc152045788"/>
      <w:bookmarkStart w:id="1126" w:name="_Toc144974857"/>
      <w:bookmarkStart w:id="1127" w:name="_Toc152042577"/>
      <w:r>
        <w:t>一、投标函及投标函附录</w:t>
      </w:r>
      <w:bookmarkEnd w:id="1120"/>
      <w:bookmarkEnd w:id="1121"/>
      <w:bookmarkEnd w:id="1122"/>
      <w:bookmarkEnd w:id="1123"/>
      <w:bookmarkEnd w:id="1124"/>
      <w:bookmarkEnd w:id="1125"/>
      <w:bookmarkEnd w:id="1126"/>
      <w:bookmarkEnd w:id="1127"/>
    </w:p>
    <w:p>
      <w:pPr>
        <w:pStyle w:val="4"/>
        <w:jc w:val="center"/>
        <w:rPr>
          <w:rFonts w:hint="eastAsia"/>
        </w:rPr>
      </w:pPr>
      <w:bookmarkStart w:id="1128" w:name="_Toc144974858"/>
      <w:bookmarkStart w:id="1129" w:name="_Toc152042578"/>
      <w:bookmarkStart w:id="1130" w:name="_Toc152045789"/>
      <w:bookmarkStart w:id="1131" w:name="_Toc179632809"/>
      <w:bookmarkStart w:id="1132" w:name="_Toc246996357"/>
      <w:bookmarkStart w:id="1133" w:name="_Toc246997100"/>
      <w:bookmarkStart w:id="1134" w:name="_Toc247085875"/>
      <w:bookmarkStart w:id="1135" w:name="_Toc19679"/>
      <w:r>
        <w:t>（一）投标函</w:t>
      </w:r>
      <w:bookmarkEnd w:id="1128"/>
      <w:bookmarkEnd w:id="1129"/>
      <w:bookmarkEnd w:id="1130"/>
      <w:bookmarkEnd w:id="1131"/>
      <w:bookmarkEnd w:id="1132"/>
      <w:bookmarkEnd w:id="1133"/>
      <w:bookmarkEnd w:id="1134"/>
      <w:bookmarkEnd w:id="1135"/>
    </w:p>
    <w:p>
      <w:pPr>
        <w:spacing w:line="360" w:lineRule="auto"/>
        <w:rPr>
          <w:rFonts w:ascii="宋体" w:hAnsi="宋体"/>
          <w:szCs w:val="21"/>
        </w:rPr>
      </w:pPr>
      <w:r>
        <w:rPr>
          <w:szCs w:val="21"/>
          <w:u w:val="single"/>
        </w:rPr>
        <w:t xml:space="preserve">                        </w:t>
      </w:r>
      <w:r>
        <w:rPr>
          <w:szCs w:val="21"/>
        </w:rPr>
        <w:t>（招标人名称）：</w:t>
      </w:r>
      <w:r>
        <w:rPr>
          <w:rFonts w:hint="eastAsia" w:ascii="宋体" w:hAnsi="宋体"/>
          <w:szCs w:val="21"/>
        </w:rPr>
        <w:t xml:space="preserve"> </w:t>
      </w:r>
    </w:p>
    <w:p>
      <w:pPr>
        <w:spacing w:line="360" w:lineRule="auto"/>
        <w:ind w:firstLine="420" w:firstLineChars="200"/>
        <w:rPr>
          <w:rFonts w:hint="eastAsia" w:ascii="宋体" w:hAnsi="宋体"/>
          <w:szCs w:val="21"/>
        </w:rPr>
      </w:pPr>
      <w:r>
        <w:rPr>
          <w:rFonts w:hint="eastAsia" w:ascii="宋体" w:hAnsi="宋体"/>
          <w:szCs w:val="21"/>
        </w:rPr>
        <w:t>1．我方己仔细研究了</w:t>
      </w:r>
      <w:r>
        <w:rPr>
          <w:rFonts w:hint="eastAsia" w:ascii="宋体" w:hAnsi="宋体"/>
          <w:szCs w:val="21"/>
          <w:u w:val="single"/>
        </w:rPr>
        <w:t xml:space="preserve">             </w:t>
      </w:r>
      <w:r>
        <w:rPr>
          <w:rFonts w:hint="eastAsia" w:ascii="宋体" w:hAnsi="宋体"/>
          <w:szCs w:val="21"/>
        </w:rPr>
        <w:t>（项目名称）</w:t>
      </w:r>
      <w:r>
        <w:rPr>
          <w:rFonts w:hint="eastAsia" w:ascii="宋体" w:hAnsi="宋体"/>
          <w:szCs w:val="21"/>
          <w:u w:val="single"/>
        </w:rPr>
        <w:t xml:space="preserve">    </w:t>
      </w:r>
      <w:r>
        <w:rPr>
          <w:rFonts w:hint="eastAsia" w:ascii="宋体" w:hAnsi="宋体"/>
          <w:szCs w:val="21"/>
        </w:rPr>
        <w:t>（标段）招标文件的全部内容，愿意以人民币（大写）</w:t>
      </w:r>
      <w:r>
        <w:rPr>
          <w:rFonts w:hint="eastAsia" w:ascii="宋体" w:hAnsi="宋体"/>
          <w:szCs w:val="21"/>
          <w:u w:val="single"/>
        </w:rPr>
        <w:t xml:space="preserve">                 </w:t>
      </w:r>
      <w:r>
        <w:rPr>
          <w:rFonts w:hint="eastAsia" w:ascii="宋体" w:hAnsi="宋体"/>
          <w:szCs w:val="21"/>
        </w:rPr>
        <w:t>元（￥</w:t>
      </w:r>
      <w:r>
        <w:rPr>
          <w:rFonts w:hint="eastAsia" w:ascii="宋体" w:hAnsi="宋体"/>
          <w:szCs w:val="21"/>
          <w:u w:val="single"/>
        </w:rPr>
        <w:t xml:space="preserve">       </w:t>
      </w:r>
      <w:r>
        <w:rPr>
          <w:rFonts w:hint="eastAsia" w:ascii="宋体" w:hAnsi="宋体"/>
          <w:szCs w:val="21"/>
        </w:rPr>
        <w:t>）的投标总报价，工期</w:t>
      </w:r>
      <w:r>
        <w:rPr>
          <w:rFonts w:hint="eastAsia" w:ascii="宋体" w:hAnsi="宋体"/>
          <w:szCs w:val="21"/>
          <w:u w:val="single"/>
        </w:rPr>
        <w:t xml:space="preserve">        </w:t>
      </w:r>
      <w:r>
        <w:rPr>
          <w:rFonts w:hint="eastAsia" w:ascii="宋体" w:hAnsi="宋体"/>
          <w:szCs w:val="21"/>
        </w:rPr>
        <w:t>日历天，按合同约定实施和完成承包工程，修补工程中的任何缺陷，工程质量达到</w:t>
      </w:r>
      <w:r>
        <w:rPr>
          <w:rFonts w:hint="eastAsia" w:ascii="宋体" w:hAnsi="宋体"/>
          <w:szCs w:val="21"/>
          <w:u w:val="single"/>
        </w:rPr>
        <w:t xml:space="preserve">                    </w:t>
      </w:r>
      <w:r>
        <w:rPr>
          <w:rFonts w:hint="eastAsia" w:ascii="宋体" w:hAnsi="宋体"/>
          <w:szCs w:val="21"/>
        </w:rPr>
        <w:t xml:space="preserve"> 。</w:t>
      </w:r>
    </w:p>
    <w:p>
      <w:pPr>
        <w:spacing w:line="360" w:lineRule="auto"/>
        <w:ind w:firstLine="420" w:firstLineChars="200"/>
        <w:rPr>
          <w:rFonts w:hint="eastAsia" w:ascii="宋体" w:hAnsi="宋体"/>
          <w:szCs w:val="21"/>
        </w:rPr>
      </w:pPr>
      <w:r>
        <w:rPr>
          <w:rFonts w:hint="eastAsia" w:ascii="宋体" w:hAnsi="宋体"/>
          <w:szCs w:val="21"/>
        </w:rPr>
        <w:t>2．我方承诺在投标有效期内不修改、撤销投标文件，投标有效期为60日历天。</w:t>
      </w:r>
    </w:p>
    <w:p>
      <w:pPr>
        <w:spacing w:line="360" w:lineRule="auto"/>
        <w:ind w:firstLine="420" w:firstLineChars="200"/>
        <w:rPr>
          <w:rFonts w:hint="eastAsia" w:ascii="宋体" w:hAnsi="宋体"/>
          <w:szCs w:val="21"/>
        </w:rPr>
      </w:pPr>
      <w:r>
        <w:rPr>
          <w:rFonts w:hint="eastAsia" w:ascii="宋体" w:hAnsi="宋体"/>
          <w:szCs w:val="21"/>
        </w:rPr>
        <w:t>3．</w:t>
      </w:r>
      <w:r>
        <w:rPr>
          <w:szCs w:val="21"/>
        </w:rPr>
        <w:t>随同本投标函提交投标保证金一份，金额为人民币（大写）</w:t>
      </w:r>
      <w:r>
        <w:rPr>
          <w:szCs w:val="21"/>
          <w:u w:val="single"/>
        </w:rPr>
        <w:t xml:space="preserve">        </w:t>
      </w:r>
      <w:r>
        <w:rPr>
          <w:szCs w:val="21"/>
        </w:rPr>
        <w:t>（¥</w:t>
      </w:r>
      <w:r>
        <w:rPr>
          <w:szCs w:val="21"/>
          <w:u w:val="single"/>
        </w:rPr>
        <w:t xml:space="preserve">  </w:t>
      </w:r>
      <w:r>
        <w:rPr>
          <w:rFonts w:hint="eastAsia"/>
          <w:szCs w:val="21"/>
          <w:u w:val="single"/>
        </w:rPr>
        <w:t xml:space="preserve">   </w:t>
      </w:r>
      <w:r>
        <w:rPr>
          <w:szCs w:val="21"/>
          <w:u w:val="single"/>
        </w:rPr>
        <w:t xml:space="preserve">  </w:t>
      </w:r>
      <w:r>
        <w:rPr>
          <w:szCs w:val="21"/>
        </w:rPr>
        <w:t>）。</w:t>
      </w:r>
    </w:p>
    <w:p>
      <w:pPr>
        <w:spacing w:line="360" w:lineRule="auto"/>
        <w:ind w:firstLine="420" w:firstLineChars="200"/>
        <w:rPr>
          <w:rFonts w:hint="eastAsia" w:ascii="宋体" w:hAnsi="宋体"/>
          <w:szCs w:val="21"/>
        </w:rPr>
      </w:pPr>
      <w:r>
        <w:rPr>
          <w:rFonts w:hint="eastAsia" w:ascii="宋体" w:hAnsi="宋体"/>
          <w:szCs w:val="21"/>
        </w:rPr>
        <w:t>4．如我方中标：</w:t>
      </w:r>
    </w:p>
    <w:p>
      <w:pPr>
        <w:spacing w:line="360" w:lineRule="auto"/>
        <w:ind w:firstLine="420" w:firstLineChars="200"/>
        <w:rPr>
          <w:rFonts w:hint="eastAsia" w:ascii="宋体" w:hAnsi="宋体"/>
          <w:szCs w:val="21"/>
        </w:rPr>
      </w:pPr>
      <w:r>
        <w:rPr>
          <w:rFonts w:hint="eastAsia" w:ascii="宋体" w:hAnsi="宋体"/>
          <w:szCs w:val="21"/>
        </w:rPr>
        <w:t>(l）我方承诺在收到中标通知书后，在中标通知书规定的期限内与你方签订合同。</w:t>
      </w:r>
    </w:p>
    <w:p>
      <w:pPr>
        <w:spacing w:line="360" w:lineRule="auto"/>
        <w:ind w:firstLine="420" w:firstLineChars="200"/>
        <w:rPr>
          <w:rFonts w:hint="eastAsia" w:ascii="宋体" w:hAnsi="宋体"/>
          <w:szCs w:val="21"/>
        </w:rPr>
      </w:pPr>
      <w:r>
        <w:rPr>
          <w:rFonts w:hint="eastAsia" w:ascii="宋体" w:hAnsi="宋体"/>
          <w:szCs w:val="21"/>
        </w:rPr>
        <w:t>(2）随同本投标函递交的投标函附录属于合同文件的组成部分。</w:t>
      </w:r>
    </w:p>
    <w:p>
      <w:pPr>
        <w:spacing w:line="360" w:lineRule="auto"/>
        <w:ind w:firstLine="420" w:firstLineChars="200"/>
        <w:rPr>
          <w:rFonts w:hint="eastAsia" w:ascii="宋体" w:hAnsi="宋体"/>
          <w:szCs w:val="21"/>
        </w:rPr>
      </w:pPr>
      <w:r>
        <w:rPr>
          <w:rFonts w:hint="eastAsia" w:ascii="宋体" w:hAnsi="宋体"/>
          <w:szCs w:val="21"/>
        </w:rPr>
        <w:t>(3）我方承诺按照招标文件规定向你方递交履约担保。</w:t>
      </w:r>
    </w:p>
    <w:p>
      <w:pPr>
        <w:spacing w:line="360" w:lineRule="auto"/>
        <w:ind w:firstLine="420" w:firstLineChars="200"/>
        <w:rPr>
          <w:rFonts w:hint="eastAsia" w:ascii="宋体" w:hAnsi="宋体"/>
          <w:szCs w:val="21"/>
        </w:rPr>
      </w:pPr>
      <w:r>
        <w:rPr>
          <w:rFonts w:hint="eastAsia" w:ascii="宋体" w:hAnsi="宋体"/>
          <w:szCs w:val="21"/>
        </w:rPr>
        <w:t>(4）我方承诺在合同约定的期限内完成并移交全部合同工程。</w:t>
      </w:r>
    </w:p>
    <w:p>
      <w:pPr>
        <w:spacing w:line="360" w:lineRule="auto"/>
        <w:ind w:firstLine="420" w:firstLineChars="200"/>
        <w:rPr>
          <w:rFonts w:hint="eastAsia" w:ascii="宋体" w:hAnsi="宋体"/>
          <w:szCs w:val="21"/>
        </w:rPr>
      </w:pPr>
      <w:r>
        <w:rPr>
          <w:rFonts w:hint="eastAsia" w:ascii="宋体" w:hAnsi="宋体"/>
          <w:szCs w:val="21"/>
        </w:rPr>
        <w:t>5．我方在此声明，所递交的投标文件及有关资料内容完整、真实和准确，且不存在第二章“投标人须知”第1.4.3 项规定的任何一种情形。</w:t>
      </w:r>
    </w:p>
    <w:p>
      <w:pPr>
        <w:spacing w:line="440" w:lineRule="exact"/>
        <w:ind w:firstLine="420" w:firstLineChars="200"/>
        <w:rPr>
          <w:rFonts w:hint="eastAsia"/>
          <w:szCs w:val="21"/>
        </w:rPr>
      </w:pPr>
      <w:r>
        <w:rPr>
          <w:rFonts w:hint="eastAsia" w:ascii="宋体" w:hAnsi="宋体"/>
          <w:szCs w:val="21"/>
        </w:rPr>
        <w:t xml:space="preserve">6. </w:t>
      </w:r>
      <w:r>
        <w:rPr>
          <w:rFonts w:hint="eastAsia" w:ascii="宋体" w:hAnsi="宋体"/>
          <w:szCs w:val="21"/>
          <w:u w:val="single"/>
        </w:rPr>
        <w:t xml:space="preserve">                     </w:t>
      </w:r>
      <w:r>
        <w:rPr>
          <w:rFonts w:hint="eastAsia" w:ascii="宋体" w:hAnsi="宋体"/>
          <w:szCs w:val="21"/>
        </w:rPr>
        <w:t>（其他补充说明）。</w:t>
      </w:r>
    </w:p>
    <w:p>
      <w:pPr>
        <w:spacing w:line="440" w:lineRule="exact"/>
        <w:ind w:firstLine="3675" w:firstLineChars="1750"/>
        <w:rPr>
          <w:szCs w:val="21"/>
        </w:rPr>
      </w:pPr>
      <w:r>
        <w:rPr>
          <w:szCs w:val="21"/>
        </w:rPr>
        <w:t>投 标 人：</w:t>
      </w:r>
      <w:r>
        <w:rPr>
          <w:szCs w:val="21"/>
          <w:u w:val="single"/>
        </w:rPr>
        <w:t xml:space="preserve">                      </w:t>
      </w:r>
      <w:r>
        <w:rPr>
          <w:szCs w:val="21"/>
        </w:rPr>
        <w:t>（盖单位章）</w:t>
      </w:r>
    </w:p>
    <w:p>
      <w:pPr>
        <w:spacing w:line="440" w:lineRule="exact"/>
        <w:ind w:firstLine="3675" w:firstLineChars="1750"/>
        <w:rPr>
          <w:szCs w:val="21"/>
        </w:rPr>
      </w:pPr>
      <w:r>
        <w:rPr>
          <w:szCs w:val="21"/>
        </w:rPr>
        <w:t>法定代表人或其委托代理人：</w:t>
      </w:r>
      <w:r>
        <w:rPr>
          <w:szCs w:val="21"/>
          <w:u w:val="single"/>
        </w:rPr>
        <w:t xml:space="preserve">      </w:t>
      </w:r>
      <w:r>
        <w:rPr>
          <w:rFonts w:hint="eastAsia"/>
          <w:szCs w:val="21"/>
          <w:u w:val="single"/>
        </w:rPr>
        <w:t xml:space="preserve">   </w:t>
      </w:r>
      <w:r>
        <w:rPr>
          <w:szCs w:val="21"/>
          <w:u w:val="single"/>
        </w:rPr>
        <w:t xml:space="preserve"> </w:t>
      </w:r>
      <w:r>
        <w:rPr>
          <w:szCs w:val="21"/>
        </w:rPr>
        <w:t>（签字）</w:t>
      </w:r>
    </w:p>
    <w:p>
      <w:pPr>
        <w:spacing w:line="440" w:lineRule="exact"/>
        <w:ind w:firstLine="3675" w:firstLineChars="1750"/>
        <w:rPr>
          <w:rFonts w:hint="eastAsia"/>
          <w:szCs w:val="21"/>
        </w:rPr>
      </w:pPr>
      <w:r>
        <w:rPr>
          <w:szCs w:val="21"/>
        </w:rPr>
        <w:t>地址：</w:t>
      </w:r>
      <w:r>
        <w:rPr>
          <w:szCs w:val="21"/>
          <w:u w:val="single"/>
        </w:rPr>
        <w:t xml:space="preserve">                                     </w:t>
      </w:r>
    </w:p>
    <w:p>
      <w:pPr>
        <w:spacing w:line="440" w:lineRule="exact"/>
        <w:ind w:firstLine="3675" w:firstLineChars="1750"/>
        <w:rPr>
          <w:szCs w:val="21"/>
        </w:rPr>
      </w:pPr>
      <w:r>
        <w:rPr>
          <w:szCs w:val="21"/>
        </w:rPr>
        <w:t>网址：</w:t>
      </w:r>
      <w:r>
        <w:rPr>
          <w:szCs w:val="21"/>
          <w:u w:val="single"/>
        </w:rPr>
        <w:t xml:space="preserve">                                     </w:t>
      </w:r>
    </w:p>
    <w:p>
      <w:pPr>
        <w:spacing w:line="440" w:lineRule="exact"/>
        <w:ind w:firstLine="3675" w:firstLineChars="1750"/>
        <w:rPr>
          <w:rFonts w:hint="eastAsia"/>
          <w:szCs w:val="21"/>
        </w:rPr>
      </w:pPr>
      <w:r>
        <w:rPr>
          <w:szCs w:val="21"/>
        </w:rPr>
        <w:t>电话：</w:t>
      </w:r>
      <w:r>
        <w:rPr>
          <w:szCs w:val="21"/>
          <w:u w:val="single"/>
        </w:rPr>
        <w:t xml:space="preserve">                                     </w:t>
      </w:r>
    </w:p>
    <w:p>
      <w:pPr>
        <w:spacing w:line="440" w:lineRule="exact"/>
        <w:ind w:firstLine="3675" w:firstLineChars="1750"/>
        <w:rPr>
          <w:rFonts w:hint="eastAsia"/>
          <w:szCs w:val="21"/>
        </w:rPr>
      </w:pPr>
      <w:r>
        <w:rPr>
          <w:szCs w:val="21"/>
        </w:rPr>
        <w:t>传真：</w:t>
      </w:r>
      <w:r>
        <w:rPr>
          <w:szCs w:val="21"/>
          <w:u w:val="single"/>
        </w:rPr>
        <w:t xml:space="preserve">                                     </w:t>
      </w:r>
    </w:p>
    <w:p>
      <w:pPr>
        <w:spacing w:line="440" w:lineRule="exact"/>
        <w:ind w:firstLine="3675" w:firstLineChars="1750"/>
        <w:rPr>
          <w:rFonts w:hint="eastAsia"/>
          <w:szCs w:val="21"/>
        </w:rPr>
      </w:pPr>
      <w:r>
        <w:rPr>
          <w:szCs w:val="21"/>
        </w:rPr>
        <w:t>邮政编码：</w:t>
      </w:r>
      <w:r>
        <w:rPr>
          <w:szCs w:val="21"/>
          <w:u w:val="single"/>
        </w:rPr>
        <w:t xml:space="preserve">                                 </w:t>
      </w:r>
    </w:p>
    <w:p>
      <w:pPr>
        <w:spacing w:line="440" w:lineRule="exact"/>
        <w:ind w:firstLine="5040" w:firstLineChars="2400"/>
        <w:rPr>
          <w:szCs w:val="21"/>
        </w:rPr>
      </w:pPr>
      <w:r>
        <w:rPr>
          <w:rFonts w:hint="eastAsia"/>
          <w:szCs w:val="21"/>
          <w:u w:val="single"/>
        </w:rPr>
        <w:t xml:space="preserve">        </w:t>
      </w:r>
      <w:r>
        <w:rPr>
          <w:szCs w:val="21"/>
        </w:rPr>
        <w:t>年</w:t>
      </w:r>
      <w:r>
        <w:rPr>
          <w:rFonts w:hint="eastAsia"/>
          <w:szCs w:val="21"/>
          <w:u w:val="single"/>
        </w:rPr>
        <w:t xml:space="preserve">        </w:t>
      </w:r>
      <w:r>
        <w:rPr>
          <w:szCs w:val="21"/>
        </w:rPr>
        <w:t>月</w:t>
      </w:r>
      <w:r>
        <w:rPr>
          <w:rFonts w:hint="eastAsia"/>
          <w:szCs w:val="21"/>
          <w:u w:val="single"/>
        </w:rPr>
        <w:t xml:space="preserve">        </w:t>
      </w:r>
      <w:r>
        <w:rPr>
          <w:szCs w:val="21"/>
        </w:rPr>
        <w:t>日</w:t>
      </w:r>
    </w:p>
    <w:p>
      <w:pPr>
        <w:spacing w:line="440" w:lineRule="exact"/>
        <w:rPr>
          <w:rFonts w:eastAsia="黑体"/>
          <w:szCs w:val="21"/>
        </w:rPr>
      </w:pPr>
    </w:p>
    <w:p>
      <w:pPr>
        <w:spacing w:line="440" w:lineRule="exact"/>
        <w:rPr>
          <w:rFonts w:eastAsia="黑体"/>
          <w:sz w:val="20"/>
          <w:szCs w:val="20"/>
        </w:rPr>
      </w:pPr>
      <w:r>
        <w:rPr>
          <w:rFonts w:eastAsia="黑体"/>
          <w:sz w:val="20"/>
          <w:szCs w:val="20"/>
        </w:rPr>
        <w:br w:type="page"/>
      </w:r>
    </w:p>
    <w:p>
      <w:pPr>
        <w:pStyle w:val="4"/>
        <w:jc w:val="center"/>
      </w:pPr>
      <w:bookmarkStart w:id="1136" w:name="_Toc28293"/>
      <w:bookmarkStart w:id="1137" w:name="_Toc152045790"/>
      <w:bookmarkStart w:id="1138" w:name="_Toc144974859"/>
      <w:bookmarkStart w:id="1139" w:name="_Toc152042579"/>
      <w:bookmarkStart w:id="1140" w:name="_Toc247085876"/>
      <w:bookmarkStart w:id="1141" w:name="_Toc246996358"/>
      <w:bookmarkStart w:id="1142" w:name="_Toc179632810"/>
      <w:bookmarkStart w:id="1143" w:name="_Toc246997101"/>
      <w:r>
        <w:t>（二）投标函附录</w:t>
      </w:r>
      <w:bookmarkEnd w:id="1136"/>
      <w:bookmarkEnd w:id="1137"/>
      <w:bookmarkEnd w:id="1138"/>
      <w:bookmarkEnd w:id="1139"/>
      <w:bookmarkEnd w:id="1140"/>
      <w:bookmarkEnd w:id="1141"/>
      <w:bookmarkEnd w:id="1142"/>
      <w:bookmarkEnd w:id="1143"/>
    </w:p>
    <w:tbl>
      <w:tblPr>
        <w:tblStyle w:val="41"/>
        <w:tblW w:w="85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0"/>
        <w:gridCol w:w="2337"/>
        <w:gridCol w:w="2161"/>
        <w:gridCol w:w="2702"/>
        <w:gridCol w:w="7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50" w:type="dxa"/>
            <w:vAlign w:val="center"/>
          </w:tcPr>
          <w:p>
            <w:pPr>
              <w:spacing w:line="440" w:lineRule="exact"/>
              <w:jc w:val="center"/>
              <w:rPr>
                <w:b/>
                <w:szCs w:val="21"/>
              </w:rPr>
            </w:pPr>
            <w:r>
              <w:rPr>
                <w:b/>
                <w:szCs w:val="21"/>
              </w:rPr>
              <w:t>序号</w:t>
            </w:r>
          </w:p>
        </w:tc>
        <w:tc>
          <w:tcPr>
            <w:tcW w:w="2337" w:type="dxa"/>
            <w:vAlign w:val="center"/>
          </w:tcPr>
          <w:p>
            <w:pPr>
              <w:spacing w:line="440" w:lineRule="exact"/>
              <w:jc w:val="center"/>
              <w:rPr>
                <w:rFonts w:hint="eastAsia"/>
                <w:b/>
                <w:szCs w:val="21"/>
              </w:rPr>
            </w:pPr>
            <w:r>
              <w:rPr>
                <w:rFonts w:hint="eastAsia"/>
                <w:b/>
                <w:szCs w:val="21"/>
              </w:rPr>
              <w:t>条款名称</w:t>
            </w:r>
          </w:p>
        </w:tc>
        <w:tc>
          <w:tcPr>
            <w:tcW w:w="2161" w:type="dxa"/>
            <w:vAlign w:val="center"/>
          </w:tcPr>
          <w:p>
            <w:pPr>
              <w:spacing w:line="440" w:lineRule="exact"/>
              <w:jc w:val="center"/>
              <w:rPr>
                <w:b/>
                <w:szCs w:val="21"/>
              </w:rPr>
            </w:pPr>
            <w:r>
              <w:rPr>
                <w:b/>
                <w:szCs w:val="21"/>
              </w:rPr>
              <w:t>合同条款号</w:t>
            </w:r>
          </w:p>
        </w:tc>
        <w:tc>
          <w:tcPr>
            <w:tcW w:w="2702" w:type="dxa"/>
            <w:vAlign w:val="center"/>
          </w:tcPr>
          <w:p>
            <w:pPr>
              <w:spacing w:line="440" w:lineRule="exact"/>
              <w:jc w:val="center"/>
              <w:rPr>
                <w:b/>
                <w:szCs w:val="21"/>
              </w:rPr>
            </w:pPr>
            <w:r>
              <w:rPr>
                <w:rFonts w:hint="eastAsia"/>
                <w:b/>
                <w:szCs w:val="21"/>
              </w:rPr>
              <w:t>约定</w:t>
            </w:r>
            <w:r>
              <w:rPr>
                <w:b/>
                <w:szCs w:val="21"/>
              </w:rPr>
              <w:t>内容</w:t>
            </w:r>
          </w:p>
        </w:tc>
        <w:tc>
          <w:tcPr>
            <w:tcW w:w="718" w:type="dxa"/>
            <w:vAlign w:val="center"/>
          </w:tcPr>
          <w:p>
            <w:pPr>
              <w:spacing w:line="440" w:lineRule="exact"/>
              <w:jc w:val="center"/>
              <w:rPr>
                <w:b/>
                <w:szCs w:val="21"/>
              </w:rPr>
            </w:pPr>
            <w:r>
              <w:rPr>
                <w:b/>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50" w:type="dxa"/>
            <w:vAlign w:val="center"/>
          </w:tcPr>
          <w:p>
            <w:pPr>
              <w:spacing w:line="440" w:lineRule="exact"/>
              <w:jc w:val="center"/>
              <w:rPr>
                <w:szCs w:val="21"/>
              </w:rPr>
            </w:pPr>
            <w:r>
              <w:rPr>
                <w:szCs w:val="21"/>
              </w:rPr>
              <w:t>1</w:t>
            </w:r>
          </w:p>
        </w:tc>
        <w:tc>
          <w:tcPr>
            <w:tcW w:w="2337" w:type="dxa"/>
            <w:vAlign w:val="center"/>
          </w:tcPr>
          <w:p>
            <w:pPr>
              <w:spacing w:line="440" w:lineRule="exact"/>
              <w:jc w:val="center"/>
              <w:rPr>
                <w:szCs w:val="21"/>
              </w:rPr>
            </w:pPr>
            <w:r>
              <w:rPr>
                <w:szCs w:val="21"/>
              </w:rPr>
              <w:t>项目经理</w:t>
            </w:r>
          </w:p>
        </w:tc>
        <w:tc>
          <w:tcPr>
            <w:tcW w:w="2161" w:type="dxa"/>
            <w:vAlign w:val="center"/>
          </w:tcPr>
          <w:p>
            <w:pPr>
              <w:spacing w:line="440" w:lineRule="exact"/>
              <w:jc w:val="center"/>
              <w:rPr>
                <w:rFonts w:hint="eastAsia"/>
                <w:szCs w:val="21"/>
              </w:rPr>
            </w:pPr>
            <w:r>
              <w:rPr>
                <w:szCs w:val="21"/>
              </w:rPr>
              <w:t>1.1.2.</w:t>
            </w:r>
            <w:r>
              <w:rPr>
                <w:rFonts w:hint="eastAsia"/>
                <w:szCs w:val="21"/>
              </w:rPr>
              <w:t>4</w:t>
            </w:r>
          </w:p>
        </w:tc>
        <w:tc>
          <w:tcPr>
            <w:tcW w:w="2702" w:type="dxa"/>
            <w:vAlign w:val="center"/>
          </w:tcPr>
          <w:p>
            <w:pPr>
              <w:spacing w:line="440" w:lineRule="exact"/>
              <w:rPr>
                <w:szCs w:val="21"/>
                <w:u w:val="single"/>
              </w:rPr>
            </w:pPr>
            <w:r>
              <w:rPr>
                <w:szCs w:val="21"/>
              </w:rPr>
              <w:t>姓名：</w:t>
            </w:r>
            <w:r>
              <w:rPr>
                <w:szCs w:val="21"/>
                <w:u w:val="single"/>
              </w:rPr>
              <w:t xml:space="preserve">           </w:t>
            </w:r>
          </w:p>
        </w:tc>
        <w:tc>
          <w:tcPr>
            <w:tcW w:w="718" w:type="dxa"/>
            <w:vAlign w:val="center"/>
          </w:tcPr>
          <w:p>
            <w:pPr>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50" w:type="dxa"/>
            <w:vAlign w:val="center"/>
          </w:tcPr>
          <w:p>
            <w:pPr>
              <w:spacing w:line="440" w:lineRule="exact"/>
              <w:jc w:val="center"/>
              <w:rPr>
                <w:szCs w:val="21"/>
              </w:rPr>
            </w:pPr>
            <w:r>
              <w:rPr>
                <w:szCs w:val="21"/>
              </w:rPr>
              <w:t>2</w:t>
            </w:r>
          </w:p>
        </w:tc>
        <w:tc>
          <w:tcPr>
            <w:tcW w:w="2337" w:type="dxa"/>
            <w:vAlign w:val="center"/>
          </w:tcPr>
          <w:p>
            <w:pPr>
              <w:spacing w:line="440" w:lineRule="exact"/>
              <w:jc w:val="center"/>
              <w:rPr>
                <w:szCs w:val="21"/>
              </w:rPr>
            </w:pPr>
            <w:r>
              <w:rPr>
                <w:szCs w:val="21"/>
              </w:rPr>
              <w:t>工期</w:t>
            </w:r>
          </w:p>
        </w:tc>
        <w:tc>
          <w:tcPr>
            <w:tcW w:w="2161" w:type="dxa"/>
            <w:vAlign w:val="center"/>
          </w:tcPr>
          <w:p>
            <w:pPr>
              <w:spacing w:line="440" w:lineRule="exact"/>
              <w:jc w:val="center"/>
              <w:rPr>
                <w:rFonts w:hint="eastAsia"/>
                <w:szCs w:val="21"/>
              </w:rPr>
            </w:pPr>
            <w:r>
              <w:rPr>
                <w:szCs w:val="21"/>
              </w:rPr>
              <w:t>1.1.4.</w:t>
            </w:r>
            <w:r>
              <w:rPr>
                <w:rFonts w:hint="eastAsia"/>
                <w:szCs w:val="21"/>
              </w:rPr>
              <w:t>3</w:t>
            </w:r>
          </w:p>
        </w:tc>
        <w:tc>
          <w:tcPr>
            <w:tcW w:w="2702" w:type="dxa"/>
            <w:vAlign w:val="center"/>
          </w:tcPr>
          <w:p>
            <w:pPr>
              <w:spacing w:line="440" w:lineRule="exact"/>
              <w:rPr>
                <w:szCs w:val="21"/>
                <w:u w:val="single"/>
              </w:rPr>
            </w:pPr>
            <w:r>
              <w:rPr>
                <w:szCs w:val="21"/>
              </w:rPr>
              <w:t>天数：</w:t>
            </w:r>
            <w:r>
              <w:rPr>
                <w:szCs w:val="21"/>
                <w:u w:val="single"/>
              </w:rPr>
              <w:t xml:space="preserve">        </w:t>
            </w:r>
            <w:r>
              <w:rPr>
                <w:szCs w:val="21"/>
              </w:rPr>
              <w:t>日历天</w:t>
            </w:r>
          </w:p>
        </w:tc>
        <w:tc>
          <w:tcPr>
            <w:tcW w:w="718" w:type="dxa"/>
            <w:vAlign w:val="center"/>
          </w:tcPr>
          <w:p>
            <w:pPr>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50" w:type="dxa"/>
            <w:vAlign w:val="center"/>
          </w:tcPr>
          <w:p>
            <w:pPr>
              <w:spacing w:line="440" w:lineRule="exact"/>
              <w:jc w:val="center"/>
              <w:rPr>
                <w:szCs w:val="21"/>
              </w:rPr>
            </w:pPr>
            <w:r>
              <w:rPr>
                <w:szCs w:val="21"/>
              </w:rPr>
              <w:t>3</w:t>
            </w:r>
          </w:p>
        </w:tc>
        <w:tc>
          <w:tcPr>
            <w:tcW w:w="2337" w:type="dxa"/>
            <w:vAlign w:val="center"/>
          </w:tcPr>
          <w:p>
            <w:pPr>
              <w:spacing w:line="440" w:lineRule="exact"/>
              <w:jc w:val="center"/>
              <w:rPr>
                <w:szCs w:val="21"/>
              </w:rPr>
            </w:pPr>
            <w:r>
              <w:rPr>
                <w:szCs w:val="21"/>
              </w:rPr>
              <w:t>缺陷责任期</w:t>
            </w:r>
          </w:p>
        </w:tc>
        <w:tc>
          <w:tcPr>
            <w:tcW w:w="2161" w:type="dxa"/>
            <w:vAlign w:val="center"/>
          </w:tcPr>
          <w:p>
            <w:pPr>
              <w:spacing w:line="440" w:lineRule="exact"/>
              <w:jc w:val="center"/>
              <w:rPr>
                <w:rFonts w:hint="eastAsia"/>
                <w:szCs w:val="21"/>
              </w:rPr>
            </w:pPr>
            <w:r>
              <w:rPr>
                <w:szCs w:val="21"/>
              </w:rPr>
              <w:t>1.1.4.</w:t>
            </w:r>
            <w:r>
              <w:rPr>
                <w:rFonts w:hint="eastAsia"/>
                <w:szCs w:val="21"/>
              </w:rPr>
              <w:t>5</w:t>
            </w:r>
          </w:p>
        </w:tc>
        <w:tc>
          <w:tcPr>
            <w:tcW w:w="2702" w:type="dxa"/>
            <w:vAlign w:val="center"/>
          </w:tcPr>
          <w:p>
            <w:pPr>
              <w:spacing w:line="440" w:lineRule="exact"/>
              <w:rPr>
                <w:szCs w:val="21"/>
              </w:rPr>
            </w:pPr>
          </w:p>
        </w:tc>
        <w:tc>
          <w:tcPr>
            <w:tcW w:w="718" w:type="dxa"/>
            <w:vAlign w:val="center"/>
          </w:tcPr>
          <w:p>
            <w:pPr>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50" w:type="dxa"/>
            <w:vAlign w:val="center"/>
          </w:tcPr>
          <w:p>
            <w:pPr>
              <w:spacing w:line="440" w:lineRule="exact"/>
              <w:jc w:val="center"/>
              <w:rPr>
                <w:szCs w:val="21"/>
              </w:rPr>
            </w:pPr>
            <w:r>
              <w:rPr>
                <w:szCs w:val="21"/>
              </w:rPr>
              <w:t>……</w:t>
            </w:r>
          </w:p>
        </w:tc>
        <w:tc>
          <w:tcPr>
            <w:tcW w:w="2337" w:type="dxa"/>
            <w:vAlign w:val="center"/>
          </w:tcPr>
          <w:p>
            <w:pPr>
              <w:spacing w:line="440" w:lineRule="exact"/>
              <w:jc w:val="center"/>
              <w:rPr>
                <w:szCs w:val="21"/>
              </w:rPr>
            </w:pPr>
            <w:r>
              <w:rPr>
                <w:szCs w:val="21"/>
              </w:rPr>
              <w:t>……</w:t>
            </w:r>
          </w:p>
        </w:tc>
        <w:tc>
          <w:tcPr>
            <w:tcW w:w="2161" w:type="dxa"/>
            <w:vAlign w:val="center"/>
          </w:tcPr>
          <w:p>
            <w:pPr>
              <w:spacing w:line="440" w:lineRule="exact"/>
              <w:jc w:val="center"/>
              <w:rPr>
                <w:szCs w:val="21"/>
              </w:rPr>
            </w:pPr>
            <w:r>
              <w:rPr>
                <w:szCs w:val="21"/>
              </w:rPr>
              <w:t>……</w:t>
            </w:r>
          </w:p>
        </w:tc>
        <w:tc>
          <w:tcPr>
            <w:tcW w:w="2702" w:type="dxa"/>
            <w:vAlign w:val="center"/>
          </w:tcPr>
          <w:p>
            <w:pPr>
              <w:spacing w:line="440" w:lineRule="exact"/>
              <w:jc w:val="center"/>
              <w:rPr>
                <w:szCs w:val="21"/>
              </w:rPr>
            </w:pPr>
            <w:r>
              <w:rPr>
                <w:szCs w:val="21"/>
              </w:rPr>
              <w:t>……</w:t>
            </w:r>
          </w:p>
        </w:tc>
        <w:tc>
          <w:tcPr>
            <w:tcW w:w="718" w:type="dxa"/>
            <w:vAlign w:val="center"/>
          </w:tcPr>
          <w:p>
            <w:pPr>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50" w:type="dxa"/>
            <w:vAlign w:val="center"/>
          </w:tcPr>
          <w:p>
            <w:pPr>
              <w:spacing w:line="440" w:lineRule="exact"/>
              <w:jc w:val="center"/>
              <w:rPr>
                <w:szCs w:val="21"/>
              </w:rPr>
            </w:pPr>
            <w:r>
              <w:rPr>
                <w:szCs w:val="21"/>
              </w:rPr>
              <w:t>……</w:t>
            </w:r>
          </w:p>
        </w:tc>
        <w:tc>
          <w:tcPr>
            <w:tcW w:w="2337" w:type="dxa"/>
            <w:vAlign w:val="center"/>
          </w:tcPr>
          <w:p>
            <w:pPr>
              <w:spacing w:line="440" w:lineRule="exact"/>
              <w:jc w:val="center"/>
              <w:rPr>
                <w:szCs w:val="21"/>
              </w:rPr>
            </w:pPr>
            <w:r>
              <w:rPr>
                <w:szCs w:val="21"/>
              </w:rPr>
              <w:t>……</w:t>
            </w:r>
          </w:p>
        </w:tc>
        <w:tc>
          <w:tcPr>
            <w:tcW w:w="2161" w:type="dxa"/>
            <w:vAlign w:val="center"/>
          </w:tcPr>
          <w:p>
            <w:pPr>
              <w:spacing w:line="440" w:lineRule="exact"/>
              <w:jc w:val="center"/>
              <w:rPr>
                <w:szCs w:val="21"/>
              </w:rPr>
            </w:pPr>
            <w:r>
              <w:rPr>
                <w:szCs w:val="21"/>
              </w:rPr>
              <w:t>……</w:t>
            </w:r>
          </w:p>
        </w:tc>
        <w:tc>
          <w:tcPr>
            <w:tcW w:w="2702" w:type="dxa"/>
            <w:vAlign w:val="center"/>
          </w:tcPr>
          <w:p>
            <w:pPr>
              <w:spacing w:line="440" w:lineRule="exact"/>
              <w:jc w:val="center"/>
              <w:rPr>
                <w:szCs w:val="21"/>
              </w:rPr>
            </w:pPr>
            <w:r>
              <w:rPr>
                <w:szCs w:val="21"/>
              </w:rPr>
              <w:t>……</w:t>
            </w:r>
          </w:p>
        </w:tc>
        <w:tc>
          <w:tcPr>
            <w:tcW w:w="718" w:type="dxa"/>
            <w:vAlign w:val="center"/>
          </w:tcPr>
          <w:p>
            <w:pPr>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50" w:type="dxa"/>
            <w:vAlign w:val="center"/>
          </w:tcPr>
          <w:p>
            <w:pPr>
              <w:spacing w:line="440" w:lineRule="exact"/>
              <w:jc w:val="center"/>
              <w:rPr>
                <w:szCs w:val="21"/>
              </w:rPr>
            </w:pPr>
            <w:r>
              <w:rPr>
                <w:szCs w:val="21"/>
              </w:rPr>
              <w:t>……</w:t>
            </w:r>
          </w:p>
        </w:tc>
        <w:tc>
          <w:tcPr>
            <w:tcW w:w="2337" w:type="dxa"/>
            <w:vAlign w:val="center"/>
          </w:tcPr>
          <w:p>
            <w:pPr>
              <w:spacing w:line="440" w:lineRule="exact"/>
              <w:jc w:val="center"/>
              <w:rPr>
                <w:szCs w:val="21"/>
              </w:rPr>
            </w:pPr>
            <w:r>
              <w:rPr>
                <w:szCs w:val="21"/>
              </w:rPr>
              <w:t>……</w:t>
            </w:r>
          </w:p>
        </w:tc>
        <w:tc>
          <w:tcPr>
            <w:tcW w:w="2161" w:type="dxa"/>
            <w:vAlign w:val="center"/>
          </w:tcPr>
          <w:p>
            <w:pPr>
              <w:spacing w:line="440" w:lineRule="exact"/>
              <w:jc w:val="center"/>
              <w:rPr>
                <w:szCs w:val="21"/>
              </w:rPr>
            </w:pPr>
            <w:r>
              <w:rPr>
                <w:szCs w:val="21"/>
              </w:rPr>
              <w:t>……</w:t>
            </w:r>
          </w:p>
        </w:tc>
        <w:tc>
          <w:tcPr>
            <w:tcW w:w="2702" w:type="dxa"/>
            <w:vAlign w:val="center"/>
          </w:tcPr>
          <w:p>
            <w:pPr>
              <w:spacing w:line="440" w:lineRule="exact"/>
              <w:jc w:val="center"/>
              <w:rPr>
                <w:szCs w:val="21"/>
              </w:rPr>
            </w:pPr>
            <w:r>
              <w:rPr>
                <w:szCs w:val="21"/>
              </w:rPr>
              <w:t>……</w:t>
            </w:r>
          </w:p>
        </w:tc>
        <w:tc>
          <w:tcPr>
            <w:tcW w:w="718" w:type="dxa"/>
            <w:vAlign w:val="center"/>
          </w:tcPr>
          <w:p>
            <w:pPr>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50" w:type="dxa"/>
            <w:vAlign w:val="center"/>
          </w:tcPr>
          <w:p>
            <w:pPr>
              <w:spacing w:line="440" w:lineRule="exact"/>
              <w:jc w:val="center"/>
              <w:rPr>
                <w:szCs w:val="21"/>
              </w:rPr>
            </w:pPr>
            <w:r>
              <w:rPr>
                <w:szCs w:val="21"/>
              </w:rPr>
              <w:t>……</w:t>
            </w:r>
          </w:p>
        </w:tc>
        <w:tc>
          <w:tcPr>
            <w:tcW w:w="2337" w:type="dxa"/>
            <w:vAlign w:val="center"/>
          </w:tcPr>
          <w:p>
            <w:pPr>
              <w:spacing w:line="440" w:lineRule="exact"/>
              <w:jc w:val="center"/>
              <w:rPr>
                <w:szCs w:val="21"/>
              </w:rPr>
            </w:pPr>
            <w:r>
              <w:rPr>
                <w:szCs w:val="21"/>
              </w:rPr>
              <w:t>……</w:t>
            </w:r>
          </w:p>
        </w:tc>
        <w:tc>
          <w:tcPr>
            <w:tcW w:w="2161" w:type="dxa"/>
            <w:vAlign w:val="center"/>
          </w:tcPr>
          <w:p>
            <w:pPr>
              <w:spacing w:line="440" w:lineRule="exact"/>
              <w:jc w:val="center"/>
              <w:rPr>
                <w:szCs w:val="21"/>
              </w:rPr>
            </w:pPr>
            <w:r>
              <w:rPr>
                <w:szCs w:val="21"/>
              </w:rPr>
              <w:t>……</w:t>
            </w:r>
          </w:p>
        </w:tc>
        <w:tc>
          <w:tcPr>
            <w:tcW w:w="2702" w:type="dxa"/>
            <w:vAlign w:val="center"/>
          </w:tcPr>
          <w:p>
            <w:pPr>
              <w:spacing w:line="440" w:lineRule="exact"/>
              <w:jc w:val="center"/>
              <w:rPr>
                <w:szCs w:val="21"/>
              </w:rPr>
            </w:pPr>
            <w:r>
              <w:rPr>
                <w:szCs w:val="21"/>
              </w:rPr>
              <w:t>……</w:t>
            </w:r>
          </w:p>
        </w:tc>
        <w:tc>
          <w:tcPr>
            <w:tcW w:w="718" w:type="dxa"/>
            <w:vAlign w:val="center"/>
          </w:tcPr>
          <w:p>
            <w:pPr>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50" w:type="dxa"/>
            <w:vAlign w:val="center"/>
          </w:tcPr>
          <w:p>
            <w:pPr>
              <w:spacing w:line="440" w:lineRule="exact"/>
              <w:jc w:val="center"/>
              <w:rPr>
                <w:szCs w:val="21"/>
              </w:rPr>
            </w:pPr>
            <w:r>
              <w:rPr>
                <w:szCs w:val="21"/>
              </w:rPr>
              <w:t>……</w:t>
            </w:r>
          </w:p>
        </w:tc>
        <w:tc>
          <w:tcPr>
            <w:tcW w:w="2337" w:type="dxa"/>
            <w:vAlign w:val="center"/>
          </w:tcPr>
          <w:p>
            <w:pPr>
              <w:spacing w:line="440" w:lineRule="exact"/>
              <w:jc w:val="center"/>
              <w:rPr>
                <w:szCs w:val="21"/>
              </w:rPr>
            </w:pPr>
            <w:r>
              <w:rPr>
                <w:szCs w:val="21"/>
              </w:rPr>
              <w:t>……</w:t>
            </w:r>
          </w:p>
        </w:tc>
        <w:tc>
          <w:tcPr>
            <w:tcW w:w="2161" w:type="dxa"/>
            <w:vAlign w:val="center"/>
          </w:tcPr>
          <w:p>
            <w:pPr>
              <w:spacing w:line="440" w:lineRule="exact"/>
              <w:jc w:val="center"/>
              <w:rPr>
                <w:szCs w:val="21"/>
              </w:rPr>
            </w:pPr>
            <w:r>
              <w:rPr>
                <w:szCs w:val="21"/>
              </w:rPr>
              <w:t>……</w:t>
            </w:r>
          </w:p>
        </w:tc>
        <w:tc>
          <w:tcPr>
            <w:tcW w:w="2702" w:type="dxa"/>
            <w:vAlign w:val="center"/>
          </w:tcPr>
          <w:p>
            <w:pPr>
              <w:spacing w:line="440" w:lineRule="exact"/>
              <w:jc w:val="center"/>
              <w:rPr>
                <w:szCs w:val="21"/>
              </w:rPr>
            </w:pPr>
            <w:r>
              <w:rPr>
                <w:szCs w:val="21"/>
              </w:rPr>
              <w:t>……</w:t>
            </w:r>
          </w:p>
        </w:tc>
        <w:tc>
          <w:tcPr>
            <w:tcW w:w="718" w:type="dxa"/>
            <w:vAlign w:val="center"/>
          </w:tcPr>
          <w:p>
            <w:pPr>
              <w:spacing w:line="440" w:lineRule="exact"/>
              <w:jc w:val="center"/>
              <w:rPr>
                <w:szCs w:val="21"/>
              </w:rPr>
            </w:pPr>
          </w:p>
        </w:tc>
      </w:tr>
    </w:tbl>
    <w:p>
      <w:pPr>
        <w:spacing w:line="440" w:lineRule="exact"/>
        <w:rPr>
          <w:rFonts w:eastAsia="黑体"/>
          <w:sz w:val="20"/>
          <w:szCs w:val="20"/>
        </w:rPr>
      </w:pPr>
    </w:p>
    <w:p>
      <w:pPr>
        <w:spacing w:line="440" w:lineRule="exact"/>
        <w:ind w:left="840" w:leftChars="400" w:firstLine="2200" w:firstLineChars="1100"/>
        <w:rPr>
          <w:rFonts w:hint="eastAsia" w:eastAsia="黑体"/>
          <w:sz w:val="20"/>
          <w:szCs w:val="20"/>
        </w:rPr>
      </w:pPr>
    </w:p>
    <w:p>
      <w:pPr>
        <w:spacing w:line="440" w:lineRule="exact"/>
        <w:jc w:val="center"/>
        <w:rPr>
          <w:rFonts w:eastAsia="黑体"/>
          <w:sz w:val="20"/>
          <w:szCs w:val="20"/>
        </w:rPr>
        <w:sectPr>
          <w:pgSz w:w="11906" w:h="16838"/>
          <w:pgMar w:top="1440" w:right="1797" w:bottom="1440" w:left="1797" w:header="851" w:footer="992" w:gutter="0"/>
          <w:cols w:space="720" w:num="1"/>
          <w:docGrid w:type="lines" w:linePitch="312" w:charSpace="0"/>
        </w:sectPr>
      </w:pPr>
    </w:p>
    <w:p>
      <w:pPr>
        <w:pStyle w:val="3"/>
        <w:jc w:val="center"/>
        <w:rPr>
          <w:rFonts w:hint="eastAsia" w:ascii="宋体" w:eastAsia="宋体"/>
          <w:sz w:val="28"/>
          <w:szCs w:val="28"/>
        </w:rPr>
      </w:pPr>
      <w:r>
        <w:rPr>
          <w:rFonts w:hint="eastAsia" w:ascii="宋体" w:eastAsia="宋体"/>
          <w:sz w:val="28"/>
          <w:szCs w:val="28"/>
        </w:rPr>
        <w:t>技术规格偏差表</w:t>
      </w:r>
    </w:p>
    <w:p>
      <w:pPr>
        <w:spacing w:line="360" w:lineRule="exact"/>
        <w:jc w:val="center"/>
        <w:rPr>
          <w:rFonts w:hint="eastAsia" w:ascii="宋体" w:hAnsi="宋体"/>
          <w:b/>
          <w:szCs w:val="21"/>
        </w:rPr>
      </w:pPr>
    </w:p>
    <w:p>
      <w:pPr>
        <w:widowControl/>
        <w:spacing w:line="560" w:lineRule="exact"/>
        <w:rPr>
          <w:rFonts w:hint="eastAsia" w:ascii="宋体" w:hAnsi="宋体"/>
          <w:color w:val="000000"/>
          <w:szCs w:val="21"/>
        </w:rPr>
      </w:pPr>
      <w:r>
        <w:rPr>
          <w:rFonts w:hint="eastAsia" w:ascii="宋体" w:hAnsi="宋体"/>
          <w:color w:val="000000"/>
          <w:szCs w:val="21"/>
        </w:rPr>
        <w:t>项目名称：</w:t>
      </w:r>
      <w:r>
        <w:rPr>
          <w:rFonts w:hint="eastAsia" w:ascii="宋体" w:hAnsi="宋体"/>
          <w:color w:val="000000"/>
          <w:szCs w:val="21"/>
          <w:u w:val="single"/>
        </w:rPr>
        <w:t xml:space="preserve">                                </w:t>
      </w:r>
      <w:r>
        <w:rPr>
          <w:rFonts w:hint="eastAsia" w:ascii="宋体" w:hAnsi="宋体"/>
          <w:color w:val="000000"/>
          <w:szCs w:val="21"/>
        </w:rPr>
        <w:t xml:space="preserve"> </w:t>
      </w:r>
      <w:r>
        <w:rPr>
          <w:rFonts w:ascii="宋体" w:hAnsi="宋体"/>
          <w:color w:val="000000"/>
          <w:szCs w:val="21"/>
        </w:rPr>
        <w:t xml:space="preserve"> </w:t>
      </w:r>
    </w:p>
    <w:p>
      <w:pPr>
        <w:widowControl/>
        <w:spacing w:line="560" w:lineRule="exact"/>
        <w:rPr>
          <w:rFonts w:hint="eastAsia" w:ascii="宋体" w:hAnsi="宋体"/>
          <w:color w:val="000000"/>
          <w:szCs w:val="21"/>
          <w:u w:val="single"/>
        </w:rPr>
      </w:pPr>
      <w:r>
        <w:rPr>
          <w:rFonts w:hint="eastAsia" w:ascii="宋体" w:hAnsi="宋体"/>
          <w:color w:val="000000"/>
          <w:szCs w:val="21"/>
        </w:rPr>
        <w:t>项目编号：</w:t>
      </w:r>
      <w:r>
        <w:rPr>
          <w:rFonts w:hint="eastAsia" w:ascii="宋体" w:hAnsi="宋体"/>
          <w:color w:val="000000"/>
          <w:szCs w:val="21"/>
          <w:u w:val="single"/>
        </w:rPr>
        <w:t xml:space="preserve">                                </w:t>
      </w:r>
    </w:p>
    <w:p>
      <w:pPr>
        <w:widowControl/>
        <w:spacing w:line="560" w:lineRule="exact"/>
        <w:rPr>
          <w:rFonts w:hint="eastAsia" w:ascii="宋体" w:hAnsi="宋体"/>
          <w:color w:val="000000"/>
          <w:szCs w:val="21"/>
        </w:rPr>
      </w:pPr>
      <w:r>
        <w:rPr>
          <w:rFonts w:hint="eastAsia" w:ascii="宋体" w:hAnsi="宋体"/>
          <w:color w:val="000000"/>
          <w:szCs w:val="21"/>
        </w:rPr>
        <w:t>投标人名称：（公章）</w:t>
      </w:r>
      <w:r>
        <w:rPr>
          <w:rFonts w:hint="eastAsia" w:ascii="宋体" w:hAnsi="宋体"/>
          <w:color w:val="000000"/>
          <w:szCs w:val="21"/>
          <w:u w:val="single"/>
        </w:rPr>
        <w:t xml:space="preserve">                      </w:t>
      </w:r>
      <w:r>
        <w:rPr>
          <w:rFonts w:hint="eastAsia" w:ascii="宋体" w:hAnsi="宋体"/>
          <w:color w:val="000000"/>
          <w:szCs w:val="21"/>
        </w:rPr>
        <w:t xml:space="preserve"> </w:t>
      </w:r>
    </w:p>
    <w:tbl>
      <w:tblPr>
        <w:tblStyle w:val="41"/>
        <w:tblpPr w:leftFromText="180" w:rightFromText="180" w:vertAnchor="text" w:horzAnchor="margin" w:tblpY="297"/>
        <w:tblW w:w="9368" w:type="dxa"/>
        <w:tblInd w:w="-8"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548"/>
        <w:gridCol w:w="1792"/>
        <w:gridCol w:w="2848"/>
        <w:gridCol w:w="1934"/>
        <w:gridCol w:w="224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2153" w:hRule="atLeast"/>
        </w:trPr>
        <w:tc>
          <w:tcPr>
            <w:tcW w:w="548" w:type="dxa"/>
            <w:vAlign w:val="top"/>
          </w:tcPr>
          <w:p>
            <w:pPr>
              <w:widowControl/>
              <w:spacing w:line="560" w:lineRule="exact"/>
              <w:jc w:val="center"/>
              <w:rPr>
                <w:rFonts w:hint="eastAsia" w:ascii="宋体" w:hAnsi="宋体"/>
                <w:color w:val="000000"/>
                <w:szCs w:val="21"/>
              </w:rPr>
            </w:pPr>
          </w:p>
          <w:p>
            <w:pPr>
              <w:widowControl/>
              <w:spacing w:line="560" w:lineRule="exact"/>
              <w:jc w:val="center"/>
              <w:rPr>
                <w:rFonts w:hint="eastAsia" w:ascii="宋体" w:hAnsi="宋体"/>
                <w:color w:val="000000"/>
                <w:szCs w:val="21"/>
              </w:rPr>
            </w:pPr>
            <w:r>
              <w:rPr>
                <w:rFonts w:hint="eastAsia" w:ascii="宋体" w:hAnsi="宋体"/>
                <w:color w:val="000000"/>
                <w:szCs w:val="21"/>
              </w:rPr>
              <w:t>序</w:t>
            </w:r>
          </w:p>
          <w:p>
            <w:pPr>
              <w:widowControl/>
              <w:spacing w:line="560" w:lineRule="exact"/>
              <w:jc w:val="center"/>
              <w:rPr>
                <w:rFonts w:hint="eastAsia" w:ascii="宋体" w:hAnsi="宋体"/>
                <w:color w:val="000000"/>
                <w:szCs w:val="21"/>
              </w:rPr>
            </w:pPr>
            <w:r>
              <w:rPr>
                <w:rFonts w:hint="eastAsia" w:ascii="宋体" w:hAnsi="宋体"/>
                <w:color w:val="000000"/>
                <w:szCs w:val="21"/>
              </w:rPr>
              <w:t>号</w:t>
            </w:r>
          </w:p>
        </w:tc>
        <w:tc>
          <w:tcPr>
            <w:tcW w:w="1792" w:type="dxa"/>
            <w:vAlign w:val="center"/>
          </w:tcPr>
          <w:p>
            <w:pPr>
              <w:widowControl/>
              <w:spacing w:line="560" w:lineRule="exact"/>
              <w:jc w:val="center"/>
              <w:rPr>
                <w:rFonts w:hint="eastAsia" w:ascii="宋体" w:hAnsi="宋体"/>
                <w:color w:val="000000"/>
                <w:szCs w:val="21"/>
              </w:rPr>
            </w:pPr>
            <w:r>
              <w:rPr>
                <w:rFonts w:hint="eastAsia" w:ascii="宋体" w:hAnsi="宋体"/>
                <w:color w:val="000000"/>
                <w:szCs w:val="21"/>
              </w:rPr>
              <w:t>招标文件技术</w:t>
            </w:r>
          </w:p>
          <w:p>
            <w:pPr>
              <w:widowControl/>
              <w:spacing w:line="560" w:lineRule="exact"/>
              <w:jc w:val="center"/>
              <w:rPr>
                <w:rFonts w:ascii="宋体" w:hAnsi="宋体"/>
                <w:color w:val="000000"/>
                <w:szCs w:val="21"/>
              </w:rPr>
            </w:pPr>
            <w:r>
              <w:rPr>
                <w:rFonts w:hint="eastAsia" w:ascii="宋体" w:hAnsi="宋体"/>
                <w:color w:val="000000"/>
                <w:szCs w:val="21"/>
              </w:rPr>
              <w:t>要求（详细列明技术配置）</w:t>
            </w:r>
          </w:p>
        </w:tc>
        <w:tc>
          <w:tcPr>
            <w:tcW w:w="2848" w:type="dxa"/>
            <w:vAlign w:val="center"/>
          </w:tcPr>
          <w:p>
            <w:pPr>
              <w:widowControl/>
              <w:spacing w:line="560" w:lineRule="exact"/>
              <w:jc w:val="center"/>
              <w:rPr>
                <w:rFonts w:ascii="宋体" w:hAnsi="宋体"/>
                <w:color w:val="000000"/>
                <w:szCs w:val="21"/>
              </w:rPr>
            </w:pPr>
            <w:r>
              <w:rPr>
                <w:rFonts w:hint="eastAsia" w:ascii="宋体" w:hAnsi="宋体"/>
                <w:color w:val="000000"/>
                <w:szCs w:val="21"/>
              </w:rPr>
              <w:t>投标文件技术</w:t>
            </w:r>
          </w:p>
          <w:p>
            <w:pPr>
              <w:widowControl/>
              <w:spacing w:line="560" w:lineRule="exact"/>
              <w:jc w:val="center"/>
              <w:rPr>
                <w:rFonts w:ascii="宋体" w:hAnsi="宋体"/>
                <w:color w:val="000000"/>
                <w:szCs w:val="21"/>
              </w:rPr>
            </w:pPr>
            <w:r>
              <w:rPr>
                <w:rFonts w:hint="eastAsia" w:ascii="宋体" w:hAnsi="宋体"/>
                <w:color w:val="000000"/>
                <w:szCs w:val="21"/>
              </w:rPr>
              <w:t>响应情况（详细列明所投产品的技术配置）</w:t>
            </w:r>
          </w:p>
        </w:tc>
        <w:tc>
          <w:tcPr>
            <w:tcW w:w="1934" w:type="dxa"/>
            <w:vAlign w:val="center"/>
          </w:tcPr>
          <w:p>
            <w:pPr>
              <w:widowControl/>
              <w:spacing w:before="120" w:beforeLines="0" w:line="560" w:lineRule="exact"/>
              <w:jc w:val="center"/>
              <w:rPr>
                <w:rFonts w:hint="eastAsia" w:ascii="宋体" w:hAnsi="宋体"/>
                <w:color w:val="000000"/>
                <w:szCs w:val="21"/>
              </w:rPr>
            </w:pPr>
            <w:r>
              <w:rPr>
                <w:rFonts w:hint="eastAsia" w:ascii="宋体" w:hAnsi="宋体"/>
                <w:color w:val="000000"/>
                <w:szCs w:val="21"/>
              </w:rPr>
              <w:t>偏差描述（详细描述技术是否具有正、负偏差）</w:t>
            </w:r>
          </w:p>
        </w:tc>
        <w:tc>
          <w:tcPr>
            <w:tcW w:w="2246" w:type="dxa"/>
            <w:tcBorders>
              <w:right w:val="single" w:color="auto" w:sz="4" w:space="0"/>
            </w:tcBorders>
            <w:vAlign w:val="center"/>
          </w:tcPr>
          <w:p>
            <w:pPr>
              <w:widowControl/>
              <w:spacing w:before="120" w:beforeLines="0" w:line="560" w:lineRule="exact"/>
              <w:jc w:val="center"/>
              <w:rPr>
                <w:rFonts w:hint="eastAsia" w:ascii="宋体" w:hAnsi="宋体"/>
                <w:color w:val="000000"/>
                <w:szCs w:val="21"/>
              </w:rPr>
            </w:pPr>
            <w:r>
              <w:rPr>
                <w:rFonts w:hint="eastAsia" w:ascii="宋体" w:hAnsi="宋体"/>
                <w:color w:val="000000"/>
                <w:szCs w:val="21"/>
              </w:rPr>
              <w:t>作为评标性能技术参数得分依据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672" w:hRule="atLeast"/>
        </w:trPr>
        <w:tc>
          <w:tcPr>
            <w:tcW w:w="548" w:type="dxa"/>
            <w:tcBorders>
              <w:bottom w:val="single" w:color="auto" w:sz="4" w:space="0"/>
            </w:tcBorders>
            <w:vAlign w:val="top"/>
          </w:tcPr>
          <w:p>
            <w:pPr>
              <w:widowControl/>
              <w:spacing w:line="560" w:lineRule="exact"/>
              <w:rPr>
                <w:rFonts w:ascii="宋体" w:hAnsi="宋体"/>
                <w:color w:val="000000"/>
                <w:szCs w:val="21"/>
              </w:rPr>
            </w:pPr>
          </w:p>
        </w:tc>
        <w:tc>
          <w:tcPr>
            <w:tcW w:w="1792" w:type="dxa"/>
            <w:tcBorders>
              <w:bottom w:val="single" w:color="auto" w:sz="4" w:space="0"/>
            </w:tcBorders>
            <w:vAlign w:val="top"/>
          </w:tcPr>
          <w:p>
            <w:pPr>
              <w:widowControl/>
              <w:spacing w:line="560" w:lineRule="exact"/>
              <w:rPr>
                <w:rFonts w:ascii="宋体" w:hAnsi="宋体"/>
                <w:color w:val="000000"/>
                <w:szCs w:val="21"/>
              </w:rPr>
            </w:pPr>
          </w:p>
        </w:tc>
        <w:tc>
          <w:tcPr>
            <w:tcW w:w="2848" w:type="dxa"/>
            <w:tcBorders>
              <w:bottom w:val="single" w:color="auto" w:sz="4" w:space="0"/>
            </w:tcBorders>
            <w:vAlign w:val="top"/>
          </w:tcPr>
          <w:p>
            <w:pPr>
              <w:widowControl/>
              <w:spacing w:line="560" w:lineRule="exact"/>
              <w:rPr>
                <w:rFonts w:ascii="宋体" w:hAnsi="宋体"/>
                <w:color w:val="000000"/>
                <w:szCs w:val="21"/>
              </w:rPr>
            </w:pPr>
          </w:p>
        </w:tc>
        <w:tc>
          <w:tcPr>
            <w:tcW w:w="1934" w:type="dxa"/>
            <w:tcBorders>
              <w:bottom w:val="single" w:color="auto" w:sz="4" w:space="0"/>
            </w:tcBorders>
            <w:vAlign w:val="top"/>
          </w:tcPr>
          <w:p>
            <w:pPr>
              <w:widowControl/>
              <w:spacing w:line="560" w:lineRule="exact"/>
              <w:rPr>
                <w:rFonts w:ascii="宋体" w:hAnsi="宋体"/>
                <w:color w:val="000000"/>
                <w:szCs w:val="21"/>
              </w:rPr>
            </w:pPr>
          </w:p>
        </w:tc>
        <w:tc>
          <w:tcPr>
            <w:tcW w:w="2246" w:type="dxa"/>
            <w:tcBorders>
              <w:bottom w:val="single" w:color="auto" w:sz="4" w:space="0"/>
              <w:right w:val="single" w:color="auto" w:sz="4" w:space="0"/>
            </w:tcBorders>
            <w:vAlign w:val="top"/>
          </w:tcPr>
          <w:p>
            <w:pPr>
              <w:widowControl/>
              <w:spacing w:line="560" w:lineRule="exact"/>
              <w:rPr>
                <w:rFonts w:ascii="宋体" w:hAnsi="宋体"/>
                <w:color w:val="000000"/>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626" w:hRule="atLeast"/>
        </w:trPr>
        <w:tc>
          <w:tcPr>
            <w:tcW w:w="548" w:type="dxa"/>
            <w:tcBorders>
              <w:top w:val="single" w:color="auto" w:sz="4" w:space="0"/>
              <w:bottom w:val="single" w:color="auto" w:sz="4" w:space="0"/>
            </w:tcBorders>
            <w:vAlign w:val="top"/>
          </w:tcPr>
          <w:p>
            <w:pPr>
              <w:widowControl/>
              <w:spacing w:line="560" w:lineRule="exact"/>
              <w:rPr>
                <w:rFonts w:ascii="宋体" w:hAnsi="宋体"/>
                <w:color w:val="000000"/>
                <w:szCs w:val="21"/>
              </w:rPr>
            </w:pPr>
          </w:p>
        </w:tc>
        <w:tc>
          <w:tcPr>
            <w:tcW w:w="1792" w:type="dxa"/>
            <w:tcBorders>
              <w:top w:val="single" w:color="auto" w:sz="4" w:space="0"/>
              <w:bottom w:val="single" w:color="auto" w:sz="4" w:space="0"/>
            </w:tcBorders>
            <w:vAlign w:val="top"/>
          </w:tcPr>
          <w:p>
            <w:pPr>
              <w:widowControl/>
              <w:spacing w:line="560" w:lineRule="exact"/>
              <w:rPr>
                <w:rFonts w:ascii="宋体" w:hAnsi="宋体"/>
                <w:color w:val="000000"/>
                <w:szCs w:val="21"/>
              </w:rPr>
            </w:pPr>
          </w:p>
        </w:tc>
        <w:tc>
          <w:tcPr>
            <w:tcW w:w="2848" w:type="dxa"/>
            <w:tcBorders>
              <w:top w:val="single" w:color="auto" w:sz="4" w:space="0"/>
              <w:bottom w:val="single" w:color="auto" w:sz="4" w:space="0"/>
            </w:tcBorders>
            <w:vAlign w:val="top"/>
          </w:tcPr>
          <w:p>
            <w:pPr>
              <w:widowControl/>
              <w:spacing w:line="560" w:lineRule="exact"/>
              <w:rPr>
                <w:rFonts w:ascii="宋体" w:hAnsi="宋体"/>
                <w:color w:val="000000"/>
                <w:szCs w:val="21"/>
              </w:rPr>
            </w:pPr>
          </w:p>
        </w:tc>
        <w:tc>
          <w:tcPr>
            <w:tcW w:w="1934" w:type="dxa"/>
            <w:tcBorders>
              <w:top w:val="single" w:color="auto" w:sz="4" w:space="0"/>
              <w:bottom w:val="single" w:color="auto" w:sz="4" w:space="0"/>
            </w:tcBorders>
            <w:vAlign w:val="top"/>
          </w:tcPr>
          <w:p>
            <w:pPr>
              <w:widowControl/>
              <w:spacing w:line="560" w:lineRule="exact"/>
              <w:rPr>
                <w:rFonts w:ascii="宋体" w:hAnsi="宋体"/>
                <w:color w:val="000000"/>
                <w:szCs w:val="21"/>
              </w:rPr>
            </w:pPr>
          </w:p>
        </w:tc>
        <w:tc>
          <w:tcPr>
            <w:tcW w:w="2246" w:type="dxa"/>
            <w:tcBorders>
              <w:top w:val="single" w:color="auto" w:sz="4" w:space="0"/>
              <w:bottom w:val="single" w:color="auto" w:sz="4" w:space="0"/>
              <w:right w:val="single" w:color="auto" w:sz="4" w:space="0"/>
            </w:tcBorders>
            <w:vAlign w:val="top"/>
          </w:tcPr>
          <w:p>
            <w:pPr>
              <w:widowControl/>
              <w:spacing w:line="560" w:lineRule="exact"/>
              <w:rPr>
                <w:rFonts w:ascii="宋体" w:hAnsi="宋体"/>
                <w:color w:val="000000"/>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626" w:hRule="atLeast"/>
        </w:trPr>
        <w:tc>
          <w:tcPr>
            <w:tcW w:w="548" w:type="dxa"/>
            <w:tcBorders>
              <w:top w:val="single" w:color="auto" w:sz="4" w:space="0"/>
              <w:bottom w:val="single" w:color="auto" w:sz="4" w:space="0"/>
            </w:tcBorders>
            <w:vAlign w:val="top"/>
          </w:tcPr>
          <w:p>
            <w:pPr>
              <w:widowControl/>
              <w:spacing w:line="560" w:lineRule="exact"/>
              <w:rPr>
                <w:rFonts w:ascii="宋体" w:hAnsi="宋体"/>
                <w:color w:val="000000"/>
                <w:szCs w:val="21"/>
              </w:rPr>
            </w:pPr>
          </w:p>
        </w:tc>
        <w:tc>
          <w:tcPr>
            <w:tcW w:w="1792" w:type="dxa"/>
            <w:tcBorders>
              <w:top w:val="single" w:color="auto" w:sz="4" w:space="0"/>
              <w:bottom w:val="single" w:color="auto" w:sz="4" w:space="0"/>
            </w:tcBorders>
            <w:vAlign w:val="top"/>
          </w:tcPr>
          <w:p>
            <w:pPr>
              <w:widowControl/>
              <w:spacing w:line="560" w:lineRule="exact"/>
              <w:rPr>
                <w:rFonts w:ascii="宋体" w:hAnsi="宋体"/>
                <w:color w:val="000000"/>
                <w:szCs w:val="21"/>
              </w:rPr>
            </w:pPr>
          </w:p>
        </w:tc>
        <w:tc>
          <w:tcPr>
            <w:tcW w:w="2848" w:type="dxa"/>
            <w:tcBorders>
              <w:top w:val="single" w:color="auto" w:sz="4" w:space="0"/>
              <w:bottom w:val="single" w:color="auto" w:sz="4" w:space="0"/>
            </w:tcBorders>
            <w:vAlign w:val="top"/>
          </w:tcPr>
          <w:p>
            <w:pPr>
              <w:widowControl/>
              <w:spacing w:line="560" w:lineRule="exact"/>
              <w:rPr>
                <w:rFonts w:ascii="宋体" w:hAnsi="宋体"/>
                <w:color w:val="000000"/>
                <w:szCs w:val="21"/>
              </w:rPr>
            </w:pPr>
          </w:p>
        </w:tc>
        <w:tc>
          <w:tcPr>
            <w:tcW w:w="1934" w:type="dxa"/>
            <w:tcBorders>
              <w:top w:val="single" w:color="auto" w:sz="4" w:space="0"/>
              <w:bottom w:val="single" w:color="auto" w:sz="4" w:space="0"/>
            </w:tcBorders>
            <w:vAlign w:val="top"/>
          </w:tcPr>
          <w:p>
            <w:pPr>
              <w:widowControl/>
              <w:spacing w:line="560" w:lineRule="exact"/>
              <w:rPr>
                <w:rFonts w:ascii="宋体" w:hAnsi="宋体"/>
                <w:color w:val="000000"/>
                <w:szCs w:val="21"/>
              </w:rPr>
            </w:pPr>
          </w:p>
        </w:tc>
        <w:tc>
          <w:tcPr>
            <w:tcW w:w="2246" w:type="dxa"/>
            <w:tcBorders>
              <w:top w:val="single" w:color="auto" w:sz="4" w:space="0"/>
              <w:bottom w:val="single" w:color="auto" w:sz="4" w:space="0"/>
              <w:right w:val="single" w:color="auto" w:sz="4" w:space="0"/>
            </w:tcBorders>
            <w:vAlign w:val="top"/>
          </w:tcPr>
          <w:p>
            <w:pPr>
              <w:widowControl/>
              <w:spacing w:line="560" w:lineRule="exact"/>
              <w:rPr>
                <w:rFonts w:ascii="宋体" w:hAnsi="宋体"/>
                <w:color w:val="000000"/>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650" w:hRule="atLeast"/>
        </w:trPr>
        <w:tc>
          <w:tcPr>
            <w:tcW w:w="548" w:type="dxa"/>
            <w:tcBorders>
              <w:top w:val="single" w:color="auto" w:sz="4" w:space="0"/>
              <w:bottom w:val="single" w:color="auto" w:sz="4" w:space="0"/>
            </w:tcBorders>
            <w:vAlign w:val="top"/>
          </w:tcPr>
          <w:p>
            <w:pPr>
              <w:widowControl/>
              <w:spacing w:line="560" w:lineRule="exact"/>
              <w:rPr>
                <w:rFonts w:hint="eastAsia" w:ascii="宋体" w:hAnsi="宋体"/>
                <w:color w:val="000000"/>
                <w:szCs w:val="21"/>
              </w:rPr>
            </w:pPr>
          </w:p>
        </w:tc>
        <w:tc>
          <w:tcPr>
            <w:tcW w:w="1792" w:type="dxa"/>
            <w:tcBorders>
              <w:top w:val="single" w:color="auto" w:sz="4" w:space="0"/>
              <w:bottom w:val="single" w:color="auto" w:sz="4" w:space="0"/>
            </w:tcBorders>
            <w:vAlign w:val="top"/>
          </w:tcPr>
          <w:p>
            <w:pPr>
              <w:widowControl/>
              <w:spacing w:line="560" w:lineRule="exact"/>
              <w:rPr>
                <w:rFonts w:hint="eastAsia" w:ascii="宋体" w:hAnsi="宋体"/>
                <w:color w:val="000000"/>
                <w:szCs w:val="21"/>
              </w:rPr>
            </w:pPr>
          </w:p>
        </w:tc>
        <w:tc>
          <w:tcPr>
            <w:tcW w:w="2848" w:type="dxa"/>
            <w:tcBorders>
              <w:top w:val="single" w:color="auto" w:sz="4" w:space="0"/>
              <w:bottom w:val="single" w:color="auto" w:sz="4" w:space="0"/>
            </w:tcBorders>
            <w:vAlign w:val="top"/>
          </w:tcPr>
          <w:p>
            <w:pPr>
              <w:widowControl/>
              <w:spacing w:line="560" w:lineRule="exact"/>
              <w:rPr>
                <w:rFonts w:ascii="宋体" w:hAnsi="宋体"/>
                <w:color w:val="000000"/>
                <w:szCs w:val="21"/>
              </w:rPr>
            </w:pPr>
          </w:p>
        </w:tc>
        <w:tc>
          <w:tcPr>
            <w:tcW w:w="1934" w:type="dxa"/>
            <w:tcBorders>
              <w:top w:val="single" w:color="auto" w:sz="4" w:space="0"/>
              <w:bottom w:val="single" w:color="auto" w:sz="4" w:space="0"/>
            </w:tcBorders>
            <w:vAlign w:val="top"/>
          </w:tcPr>
          <w:p>
            <w:pPr>
              <w:widowControl/>
              <w:spacing w:line="560" w:lineRule="exact"/>
              <w:rPr>
                <w:rFonts w:ascii="宋体" w:hAnsi="宋体"/>
                <w:color w:val="000000"/>
                <w:szCs w:val="21"/>
              </w:rPr>
            </w:pPr>
          </w:p>
        </w:tc>
        <w:tc>
          <w:tcPr>
            <w:tcW w:w="2246" w:type="dxa"/>
            <w:tcBorders>
              <w:top w:val="single" w:color="auto" w:sz="4" w:space="0"/>
              <w:bottom w:val="single" w:color="auto" w:sz="4" w:space="0"/>
              <w:right w:val="single" w:color="auto" w:sz="4" w:space="0"/>
            </w:tcBorders>
            <w:vAlign w:val="top"/>
          </w:tcPr>
          <w:p>
            <w:pPr>
              <w:widowControl/>
              <w:spacing w:line="560" w:lineRule="exact"/>
              <w:rPr>
                <w:rFonts w:ascii="宋体" w:hAnsi="宋体"/>
                <w:color w:val="000000"/>
                <w:szCs w:val="21"/>
              </w:rPr>
            </w:pPr>
          </w:p>
        </w:tc>
      </w:tr>
    </w:tbl>
    <w:p>
      <w:pPr>
        <w:widowControl/>
        <w:spacing w:line="560" w:lineRule="exact"/>
        <w:rPr>
          <w:rFonts w:hint="eastAsia" w:ascii="宋体" w:hAnsi="宋体"/>
          <w:b/>
          <w:color w:val="000000"/>
          <w:szCs w:val="21"/>
        </w:rPr>
      </w:pPr>
    </w:p>
    <w:p>
      <w:pPr>
        <w:widowControl/>
        <w:spacing w:line="560" w:lineRule="exact"/>
        <w:ind w:firstLine="308" w:firstLineChars="147"/>
        <w:rPr>
          <w:rFonts w:hint="eastAsia" w:ascii="宋体" w:hAnsi="宋体"/>
          <w:color w:val="000000"/>
          <w:szCs w:val="21"/>
        </w:rPr>
      </w:pPr>
      <w:r>
        <w:rPr>
          <w:rFonts w:hint="eastAsia" w:ascii="宋体" w:hAnsi="宋体"/>
          <w:color w:val="000000"/>
          <w:szCs w:val="21"/>
        </w:rPr>
        <w:t>投标人法定代表人或授权代表（签字）：</w:t>
      </w:r>
      <w:r>
        <w:rPr>
          <w:rFonts w:hint="eastAsia" w:ascii="宋体" w:hAnsi="宋体"/>
          <w:color w:val="000000"/>
          <w:szCs w:val="21"/>
          <w:u w:val="single"/>
        </w:rPr>
        <w:t xml:space="preserve">            </w:t>
      </w:r>
      <w:r>
        <w:rPr>
          <w:rFonts w:hint="eastAsia" w:ascii="宋体" w:hAnsi="宋体"/>
          <w:color w:val="000000"/>
          <w:szCs w:val="21"/>
        </w:rPr>
        <w:t xml:space="preserve">            </w:t>
      </w:r>
    </w:p>
    <w:p>
      <w:pPr>
        <w:widowControl/>
        <w:autoSpaceDE w:val="0"/>
        <w:autoSpaceDN w:val="0"/>
        <w:spacing w:line="560" w:lineRule="exact"/>
        <w:ind w:right="26" w:firstLine="308" w:firstLineChars="147"/>
        <w:rPr>
          <w:rFonts w:hint="eastAsia" w:ascii="宋体" w:hAnsi="宋体"/>
          <w:color w:val="000000"/>
          <w:szCs w:val="21"/>
          <w:u w:val="single"/>
        </w:rPr>
      </w:pPr>
      <w:r>
        <w:rPr>
          <w:rFonts w:hint="eastAsia" w:ascii="宋体" w:hAnsi="宋体"/>
          <w:color w:val="000000"/>
          <w:szCs w:val="21"/>
        </w:rPr>
        <w:t>日期：</w:t>
      </w:r>
      <w:r>
        <w:rPr>
          <w:rFonts w:hint="eastAsia" w:ascii="宋体" w:hAnsi="宋体"/>
          <w:color w:val="000000"/>
          <w:szCs w:val="21"/>
          <w:u w:val="single"/>
        </w:rPr>
        <w:t xml:space="preserve">          </w:t>
      </w:r>
      <w:r>
        <w:rPr>
          <w:rFonts w:hint="eastAsia" w:ascii="宋体" w:hAnsi="宋体"/>
          <w:color w:val="000000"/>
          <w:szCs w:val="21"/>
        </w:rPr>
        <w:t>年</w:t>
      </w:r>
      <w:r>
        <w:rPr>
          <w:rFonts w:hint="eastAsia" w:ascii="宋体" w:hAnsi="宋体"/>
          <w:color w:val="000000"/>
          <w:szCs w:val="21"/>
          <w:u w:val="single"/>
        </w:rPr>
        <w:t xml:space="preserve">     </w:t>
      </w:r>
      <w:r>
        <w:rPr>
          <w:rFonts w:hint="eastAsia" w:ascii="宋体" w:hAnsi="宋体"/>
          <w:color w:val="000000"/>
          <w:szCs w:val="21"/>
        </w:rPr>
        <w:t>月</w:t>
      </w:r>
      <w:r>
        <w:rPr>
          <w:rFonts w:hint="eastAsia" w:ascii="宋体" w:hAnsi="宋体"/>
          <w:color w:val="000000"/>
          <w:szCs w:val="21"/>
          <w:u w:val="single"/>
        </w:rPr>
        <w:t xml:space="preserve">      </w:t>
      </w:r>
      <w:r>
        <w:rPr>
          <w:rFonts w:hint="eastAsia" w:ascii="宋体" w:hAnsi="宋体"/>
          <w:color w:val="000000"/>
          <w:szCs w:val="21"/>
        </w:rPr>
        <w:t>日</w:t>
      </w:r>
    </w:p>
    <w:p>
      <w:pPr>
        <w:widowControl/>
        <w:autoSpaceDE w:val="0"/>
        <w:autoSpaceDN w:val="0"/>
        <w:spacing w:line="560" w:lineRule="exact"/>
        <w:ind w:right="26" w:firstLine="315" w:firstLineChars="150"/>
        <w:rPr>
          <w:rFonts w:hint="eastAsia" w:ascii="宋体" w:hAnsi="宋体"/>
          <w:color w:val="000000"/>
          <w:szCs w:val="21"/>
        </w:rPr>
      </w:pPr>
      <w:r>
        <w:rPr>
          <w:rFonts w:hint="eastAsia" w:ascii="宋体" w:hAnsi="宋体"/>
          <w:color w:val="000000"/>
          <w:szCs w:val="21"/>
        </w:rPr>
        <w:t>注：1、投标人必须按要求规范填写技术规范偏差表。如果此表中所列内容无法满足招标文件中提出的要求或内容不一致，其投标将被视为无效投标。</w:t>
      </w:r>
    </w:p>
    <w:p>
      <w:pPr>
        <w:widowControl/>
        <w:spacing w:line="560" w:lineRule="exact"/>
        <w:ind w:firstLine="630" w:firstLineChars="300"/>
        <w:rPr>
          <w:rFonts w:hint="eastAsia" w:ascii="宋体" w:hAnsi="宋体"/>
          <w:color w:val="000000"/>
          <w:szCs w:val="21"/>
        </w:rPr>
      </w:pPr>
      <w:r>
        <w:rPr>
          <w:rFonts w:hint="eastAsia" w:ascii="宋体" w:hAnsi="宋体"/>
          <w:color w:val="000000"/>
          <w:szCs w:val="21"/>
        </w:rPr>
        <w:t>2、投标人必须根据所投产品的实际情况如实填写，评委会如发现有虚假描述的，将不予推荐中标候选人。</w:t>
      </w:r>
    </w:p>
    <w:p>
      <w:pPr>
        <w:spacing w:line="440" w:lineRule="exact"/>
        <w:jc w:val="center"/>
        <w:rPr>
          <w:rFonts w:eastAsia="黑体"/>
          <w:sz w:val="20"/>
          <w:szCs w:val="20"/>
        </w:rPr>
        <w:sectPr>
          <w:pgSz w:w="11906" w:h="16838"/>
          <w:pgMar w:top="1440" w:right="1797" w:bottom="1440" w:left="1797" w:header="851" w:footer="992" w:gutter="0"/>
          <w:cols w:space="720" w:num="1"/>
          <w:docGrid w:type="lines" w:linePitch="312" w:charSpace="0"/>
        </w:sectPr>
      </w:pPr>
    </w:p>
    <w:p>
      <w:pPr>
        <w:spacing w:line="440" w:lineRule="exact"/>
        <w:jc w:val="center"/>
        <w:rPr>
          <w:rFonts w:eastAsia="黑体"/>
          <w:sz w:val="20"/>
          <w:szCs w:val="20"/>
        </w:rPr>
      </w:pPr>
      <w:r>
        <w:rPr>
          <w:rFonts w:eastAsia="黑体"/>
          <w:sz w:val="20"/>
          <w:szCs w:val="20"/>
        </w:rPr>
        <w:br w:type="page"/>
      </w:r>
    </w:p>
    <w:p>
      <w:pPr>
        <w:pStyle w:val="3"/>
        <w:jc w:val="center"/>
      </w:pPr>
      <w:bookmarkStart w:id="1144" w:name="_Toc152045791"/>
      <w:bookmarkStart w:id="1145" w:name="_Toc179632811"/>
      <w:bookmarkStart w:id="1146" w:name="_Toc144974860"/>
      <w:bookmarkStart w:id="1147" w:name="_Toc246997102"/>
      <w:bookmarkStart w:id="1148" w:name="_Toc247085877"/>
      <w:bookmarkStart w:id="1149" w:name="_Toc152042580"/>
      <w:bookmarkStart w:id="1150" w:name="_Toc31505"/>
      <w:bookmarkStart w:id="1151" w:name="_Toc246996359"/>
      <w:r>
        <w:t>二、法定代表人身份证明</w:t>
      </w:r>
      <w:bookmarkEnd w:id="1144"/>
      <w:bookmarkEnd w:id="1145"/>
      <w:bookmarkEnd w:id="1146"/>
      <w:bookmarkEnd w:id="1147"/>
      <w:bookmarkEnd w:id="1148"/>
      <w:bookmarkEnd w:id="1149"/>
      <w:bookmarkEnd w:id="1150"/>
      <w:bookmarkEnd w:id="1151"/>
    </w:p>
    <w:p>
      <w:pPr>
        <w:spacing w:line="440" w:lineRule="exact"/>
        <w:rPr>
          <w:sz w:val="20"/>
          <w:szCs w:val="20"/>
        </w:rPr>
      </w:pPr>
    </w:p>
    <w:p>
      <w:pPr>
        <w:spacing w:line="440" w:lineRule="exact"/>
        <w:rPr>
          <w:szCs w:val="21"/>
        </w:rPr>
      </w:pPr>
    </w:p>
    <w:p>
      <w:pPr>
        <w:spacing w:line="440" w:lineRule="exact"/>
        <w:rPr>
          <w:szCs w:val="21"/>
        </w:rPr>
      </w:pPr>
      <w:r>
        <w:rPr>
          <w:szCs w:val="21"/>
        </w:rPr>
        <w:t>投标人名称：</w:t>
      </w:r>
      <w:r>
        <w:rPr>
          <w:szCs w:val="21"/>
          <w:u w:val="single"/>
        </w:rPr>
        <w:t xml:space="preserve">                            </w:t>
      </w:r>
      <w:r>
        <w:rPr>
          <w:szCs w:val="21"/>
        </w:rPr>
        <w:t xml:space="preserve"> </w:t>
      </w:r>
    </w:p>
    <w:p>
      <w:pPr>
        <w:spacing w:line="440" w:lineRule="exact"/>
        <w:rPr>
          <w:szCs w:val="21"/>
        </w:rPr>
      </w:pPr>
      <w:r>
        <w:rPr>
          <w:szCs w:val="21"/>
        </w:rPr>
        <w:t>单位性质：</w:t>
      </w:r>
      <w:r>
        <w:rPr>
          <w:szCs w:val="21"/>
          <w:u w:val="single"/>
        </w:rPr>
        <w:t xml:space="preserve">                               </w:t>
      </w:r>
      <w:r>
        <w:rPr>
          <w:szCs w:val="21"/>
        </w:rPr>
        <w:t xml:space="preserve"> </w:t>
      </w:r>
    </w:p>
    <w:p>
      <w:pPr>
        <w:spacing w:line="440" w:lineRule="exact"/>
        <w:rPr>
          <w:szCs w:val="21"/>
        </w:rPr>
      </w:pPr>
      <w:r>
        <w:rPr>
          <w:szCs w:val="21"/>
        </w:rPr>
        <w:t>地址：</w:t>
      </w:r>
      <w:r>
        <w:rPr>
          <w:szCs w:val="21"/>
          <w:u w:val="single"/>
        </w:rPr>
        <w:t xml:space="preserve">                                   </w:t>
      </w:r>
    </w:p>
    <w:p>
      <w:pPr>
        <w:spacing w:line="440" w:lineRule="exact"/>
        <w:rPr>
          <w:szCs w:val="21"/>
        </w:rPr>
      </w:pPr>
      <w:r>
        <w:rPr>
          <w:szCs w:val="21"/>
        </w:rPr>
        <w:t>成立时间：</w:t>
      </w:r>
      <w:r>
        <w:rPr>
          <w:szCs w:val="21"/>
          <w:u w:val="single"/>
        </w:rPr>
        <w:t xml:space="preserve">          </w:t>
      </w:r>
      <w:r>
        <w:rPr>
          <w:szCs w:val="21"/>
        </w:rPr>
        <w:t>年</w:t>
      </w:r>
      <w:r>
        <w:rPr>
          <w:szCs w:val="21"/>
          <w:u w:val="single"/>
        </w:rPr>
        <w:t xml:space="preserve">        </w:t>
      </w:r>
      <w:r>
        <w:rPr>
          <w:szCs w:val="21"/>
        </w:rPr>
        <w:t>月</w:t>
      </w:r>
      <w:r>
        <w:rPr>
          <w:szCs w:val="21"/>
          <w:u w:val="single"/>
        </w:rPr>
        <w:t xml:space="preserve">        </w:t>
      </w:r>
      <w:r>
        <w:rPr>
          <w:szCs w:val="21"/>
        </w:rPr>
        <w:t>日</w:t>
      </w:r>
    </w:p>
    <w:p>
      <w:pPr>
        <w:spacing w:line="440" w:lineRule="exact"/>
        <w:rPr>
          <w:szCs w:val="21"/>
        </w:rPr>
      </w:pPr>
      <w:r>
        <w:rPr>
          <w:szCs w:val="21"/>
        </w:rPr>
        <w:t>经营期限：</w:t>
      </w:r>
      <w:r>
        <w:rPr>
          <w:szCs w:val="21"/>
          <w:u w:val="single"/>
        </w:rPr>
        <w:t xml:space="preserve">                               </w:t>
      </w:r>
    </w:p>
    <w:p>
      <w:pPr>
        <w:spacing w:line="440" w:lineRule="exact"/>
        <w:rPr>
          <w:szCs w:val="21"/>
        </w:rPr>
      </w:pPr>
      <w:r>
        <w:rPr>
          <w:szCs w:val="21"/>
        </w:rPr>
        <w:t>姓名：</w:t>
      </w:r>
      <w:r>
        <w:rPr>
          <w:szCs w:val="21"/>
          <w:u w:val="single"/>
        </w:rPr>
        <w:t xml:space="preserve">        </w:t>
      </w:r>
      <w:r>
        <w:rPr>
          <w:rFonts w:hint="eastAsia"/>
          <w:szCs w:val="21"/>
          <w:u w:val="single"/>
        </w:rPr>
        <w:t xml:space="preserve"> </w:t>
      </w:r>
      <w:r>
        <w:rPr>
          <w:szCs w:val="21"/>
        </w:rPr>
        <w:t xml:space="preserve"> 性别：</w:t>
      </w:r>
      <w:r>
        <w:rPr>
          <w:szCs w:val="21"/>
          <w:u w:val="single"/>
        </w:rPr>
        <w:t xml:space="preserve">         </w:t>
      </w:r>
      <w:r>
        <w:rPr>
          <w:szCs w:val="21"/>
        </w:rPr>
        <w:t>年龄：</w:t>
      </w:r>
      <w:r>
        <w:rPr>
          <w:szCs w:val="21"/>
          <w:u w:val="single"/>
        </w:rPr>
        <w:t xml:space="preserve">        </w:t>
      </w:r>
      <w:r>
        <w:rPr>
          <w:szCs w:val="21"/>
        </w:rPr>
        <w:t>职务：</w:t>
      </w:r>
      <w:r>
        <w:rPr>
          <w:szCs w:val="21"/>
          <w:u w:val="single"/>
        </w:rPr>
        <w:t xml:space="preserve">        </w:t>
      </w:r>
    </w:p>
    <w:p>
      <w:pPr>
        <w:spacing w:line="440" w:lineRule="exact"/>
        <w:rPr>
          <w:szCs w:val="21"/>
        </w:rPr>
      </w:pPr>
      <w:r>
        <w:rPr>
          <w:szCs w:val="21"/>
        </w:rPr>
        <w:t>系</w:t>
      </w:r>
      <w:r>
        <w:rPr>
          <w:szCs w:val="21"/>
          <w:u w:val="single"/>
        </w:rPr>
        <w:t xml:space="preserve">                             </w:t>
      </w:r>
      <w:r>
        <w:rPr>
          <w:szCs w:val="21"/>
        </w:rPr>
        <w:t xml:space="preserve"> </w:t>
      </w:r>
      <w:r>
        <w:rPr>
          <w:rFonts w:hint="eastAsia"/>
          <w:szCs w:val="21"/>
        </w:rPr>
        <w:t>（</w:t>
      </w:r>
      <w:r>
        <w:rPr>
          <w:szCs w:val="21"/>
        </w:rPr>
        <w:t>投标人名称</w:t>
      </w:r>
      <w:r>
        <w:rPr>
          <w:rFonts w:hint="eastAsia"/>
          <w:szCs w:val="21"/>
        </w:rPr>
        <w:t>）</w:t>
      </w:r>
      <w:r>
        <w:rPr>
          <w:szCs w:val="21"/>
        </w:rPr>
        <w:t>的法定代表人。</w:t>
      </w:r>
    </w:p>
    <w:p>
      <w:pPr>
        <w:spacing w:line="440" w:lineRule="exact"/>
        <w:ind w:firstLine="420" w:firstLineChars="200"/>
        <w:rPr>
          <w:szCs w:val="21"/>
        </w:rPr>
      </w:pPr>
      <w:r>
        <w:rPr>
          <w:szCs w:val="21"/>
        </w:rPr>
        <w:t>特此证明。</w:t>
      </w:r>
    </w:p>
    <w:p>
      <w:pPr>
        <w:spacing w:line="440" w:lineRule="exact"/>
        <w:rPr>
          <w:szCs w:val="21"/>
        </w:rPr>
      </w:pPr>
    </w:p>
    <w:p>
      <w:pPr>
        <w:spacing w:line="440" w:lineRule="exact"/>
        <w:rPr>
          <w:szCs w:val="21"/>
        </w:rPr>
      </w:pPr>
    </w:p>
    <w:p>
      <w:pPr>
        <w:spacing w:line="440" w:lineRule="exact"/>
        <w:rPr>
          <w:szCs w:val="21"/>
        </w:rPr>
      </w:pPr>
      <w:r>
        <w:rPr>
          <w:szCs w:val="21"/>
        </w:rPr>
        <w:t xml:space="preserve">                          投标人：</w:t>
      </w:r>
      <w:r>
        <w:rPr>
          <w:szCs w:val="21"/>
          <w:u w:val="single"/>
        </w:rPr>
        <w:t xml:space="preserve">                 </w:t>
      </w:r>
      <w:r>
        <w:rPr>
          <w:szCs w:val="21"/>
        </w:rPr>
        <w:t>（盖单位章）</w:t>
      </w:r>
    </w:p>
    <w:p>
      <w:pPr>
        <w:spacing w:line="440" w:lineRule="exact"/>
        <w:rPr>
          <w:szCs w:val="21"/>
        </w:rPr>
      </w:pPr>
      <w:r>
        <w:rPr>
          <w:szCs w:val="21"/>
        </w:rPr>
        <w:t xml:space="preserve">                                </w:t>
      </w:r>
      <w:r>
        <w:rPr>
          <w:rFonts w:hint="eastAsia"/>
          <w:szCs w:val="21"/>
        </w:rPr>
        <w:t xml:space="preserve">   </w:t>
      </w:r>
      <w:r>
        <w:rPr>
          <w:szCs w:val="21"/>
          <w:u w:val="single"/>
        </w:rPr>
        <w:t xml:space="preserve">       </w:t>
      </w:r>
      <w:r>
        <w:rPr>
          <w:szCs w:val="21"/>
        </w:rPr>
        <w:t>年</w:t>
      </w:r>
      <w:r>
        <w:rPr>
          <w:szCs w:val="21"/>
          <w:u w:val="single"/>
        </w:rPr>
        <w:t xml:space="preserve">       </w:t>
      </w:r>
      <w:r>
        <w:rPr>
          <w:szCs w:val="21"/>
        </w:rPr>
        <w:t>月</w:t>
      </w:r>
      <w:r>
        <w:rPr>
          <w:szCs w:val="21"/>
          <w:u w:val="single"/>
        </w:rPr>
        <w:t xml:space="preserve">       </w:t>
      </w:r>
      <w:r>
        <w:rPr>
          <w:szCs w:val="21"/>
        </w:rPr>
        <w:t xml:space="preserve">日           </w:t>
      </w:r>
    </w:p>
    <w:p>
      <w:pPr>
        <w:spacing w:line="440" w:lineRule="exact"/>
        <w:jc w:val="center"/>
        <w:rPr>
          <w:rFonts w:eastAsia="黑体"/>
          <w:sz w:val="20"/>
          <w:szCs w:val="20"/>
        </w:rPr>
      </w:pPr>
      <w:r>
        <w:rPr>
          <w:rFonts w:eastAsia="黑体"/>
          <w:sz w:val="20"/>
          <w:szCs w:val="20"/>
        </w:rPr>
        <w:br w:type="page"/>
      </w:r>
    </w:p>
    <w:p>
      <w:pPr>
        <w:pStyle w:val="3"/>
        <w:jc w:val="center"/>
      </w:pPr>
      <w:bookmarkStart w:id="1152" w:name="_Toc246996360"/>
      <w:bookmarkStart w:id="1153" w:name="_Toc144974861"/>
      <w:bookmarkStart w:id="1154" w:name="_Toc246997103"/>
      <w:bookmarkStart w:id="1155" w:name="_Toc152042581"/>
      <w:bookmarkStart w:id="1156" w:name="_Toc179632812"/>
      <w:bookmarkStart w:id="1157" w:name="_Toc247085878"/>
      <w:bookmarkStart w:id="1158" w:name="_Toc20259"/>
      <w:bookmarkStart w:id="1159" w:name="_Toc152045792"/>
      <w:r>
        <w:t>授权委托书</w:t>
      </w:r>
      <w:bookmarkEnd w:id="1152"/>
      <w:bookmarkEnd w:id="1153"/>
      <w:bookmarkEnd w:id="1154"/>
      <w:bookmarkEnd w:id="1155"/>
      <w:bookmarkEnd w:id="1156"/>
      <w:bookmarkEnd w:id="1157"/>
      <w:bookmarkEnd w:id="1158"/>
      <w:bookmarkEnd w:id="1159"/>
    </w:p>
    <w:p>
      <w:pPr>
        <w:spacing w:line="440" w:lineRule="exact"/>
        <w:rPr>
          <w:rFonts w:eastAsia="黑体"/>
          <w:szCs w:val="21"/>
        </w:rPr>
      </w:pPr>
    </w:p>
    <w:p>
      <w:pPr>
        <w:topLinePunct/>
        <w:spacing w:line="440" w:lineRule="exact"/>
        <w:ind w:firstLine="420" w:firstLineChars="200"/>
        <w:rPr>
          <w:szCs w:val="21"/>
        </w:rPr>
      </w:pPr>
      <w:r>
        <w:rPr>
          <w:szCs w:val="21"/>
        </w:rPr>
        <w:t>本人</w:t>
      </w:r>
      <w:r>
        <w:rPr>
          <w:szCs w:val="21"/>
          <w:u w:val="single"/>
        </w:rPr>
        <w:t xml:space="preserve">       </w:t>
      </w:r>
      <w:r>
        <w:rPr>
          <w:szCs w:val="21"/>
        </w:rPr>
        <w:t>（姓名）系</w:t>
      </w:r>
      <w:r>
        <w:rPr>
          <w:szCs w:val="21"/>
          <w:u w:val="single"/>
        </w:rPr>
        <w:t xml:space="preserve">        </w:t>
      </w:r>
      <w:r>
        <w:rPr>
          <w:szCs w:val="21"/>
        </w:rPr>
        <w:t>（投标人名称）的法定代表人，现委托</w:t>
      </w:r>
      <w:r>
        <w:rPr>
          <w:szCs w:val="21"/>
          <w:u w:val="single"/>
        </w:rPr>
        <w:t xml:space="preserve">        </w:t>
      </w:r>
      <w:r>
        <w:rPr>
          <w:szCs w:val="21"/>
        </w:rPr>
        <w:t>（姓名）为我方代理人。代理人根据授权，以我方名义签署、澄清</w:t>
      </w:r>
      <w:r>
        <w:rPr>
          <w:rFonts w:hint="eastAsia"/>
          <w:szCs w:val="21"/>
        </w:rPr>
        <w:t>、说明、补正</w:t>
      </w:r>
      <w:r>
        <w:rPr>
          <w:szCs w:val="21"/>
        </w:rPr>
        <w:t>、递交、撤回、修改</w:t>
      </w:r>
      <w:r>
        <w:rPr>
          <w:szCs w:val="21"/>
          <w:u w:val="single"/>
        </w:rPr>
        <w:t xml:space="preserve">           </w:t>
      </w:r>
      <w:r>
        <w:rPr>
          <w:szCs w:val="21"/>
        </w:rPr>
        <w:t>（项目名称）投标文件、签订合同和处理有关事宜，其法律后果由我方承担。</w:t>
      </w:r>
    </w:p>
    <w:p>
      <w:pPr>
        <w:spacing w:line="440" w:lineRule="exact"/>
        <w:rPr>
          <w:szCs w:val="21"/>
        </w:rPr>
      </w:pPr>
      <w:r>
        <w:rPr>
          <w:szCs w:val="21"/>
        </w:rPr>
        <w:t xml:space="preserve">    委托期限：</w:t>
      </w:r>
      <w:r>
        <w:rPr>
          <w:szCs w:val="21"/>
          <w:u w:val="single"/>
        </w:rPr>
        <w:t xml:space="preserve">             </w:t>
      </w:r>
      <w:r>
        <w:rPr>
          <w:rFonts w:hint="eastAsia"/>
          <w:szCs w:val="21"/>
        </w:rPr>
        <w:t>。</w:t>
      </w:r>
    </w:p>
    <w:p>
      <w:pPr>
        <w:spacing w:line="440" w:lineRule="exact"/>
        <w:ind w:firstLine="420" w:firstLineChars="200"/>
        <w:rPr>
          <w:rFonts w:hint="eastAsia"/>
          <w:szCs w:val="21"/>
        </w:rPr>
      </w:pPr>
      <w:r>
        <w:rPr>
          <w:szCs w:val="21"/>
        </w:rPr>
        <w:t>代理人无转委托权。</w:t>
      </w:r>
    </w:p>
    <w:p>
      <w:pPr>
        <w:spacing w:line="440" w:lineRule="exact"/>
        <w:ind w:firstLine="420" w:firstLineChars="200"/>
        <w:rPr>
          <w:rFonts w:hint="eastAsia"/>
          <w:szCs w:val="21"/>
        </w:rPr>
      </w:pPr>
      <w:r>
        <w:rPr>
          <w:rFonts w:hint="eastAsia"/>
          <w:szCs w:val="21"/>
        </w:rPr>
        <w:t>附：法定代表人身份证复印件</w:t>
      </w:r>
    </w:p>
    <w:p>
      <w:pPr>
        <w:spacing w:line="440" w:lineRule="exact"/>
        <w:rPr>
          <w:szCs w:val="21"/>
        </w:rPr>
      </w:pPr>
    </w:p>
    <w:p>
      <w:pPr>
        <w:spacing w:line="440" w:lineRule="exact"/>
        <w:rPr>
          <w:szCs w:val="21"/>
        </w:rPr>
      </w:pPr>
    </w:p>
    <w:p>
      <w:pPr>
        <w:spacing w:line="440" w:lineRule="exact"/>
        <w:rPr>
          <w:szCs w:val="21"/>
        </w:rPr>
      </w:pPr>
      <w:r>
        <w:rPr>
          <w:szCs w:val="21"/>
        </w:rPr>
        <w:t>投标人：</w:t>
      </w:r>
      <w:r>
        <w:rPr>
          <w:szCs w:val="21"/>
          <w:u w:val="single"/>
        </w:rPr>
        <w:t xml:space="preserve">                               </w:t>
      </w:r>
      <w:r>
        <w:rPr>
          <w:szCs w:val="21"/>
        </w:rPr>
        <w:t>（盖单位章）</w:t>
      </w:r>
    </w:p>
    <w:p>
      <w:pPr>
        <w:spacing w:line="440" w:lineRule="exact"/>
        <w:rPr>
          <w:szCs w:val="21"/>
        </w:rPr>
      </w:pPr>
    </w:p>
    <w:p>
      <w:pPr>
        <w:spacing w:line="440" w:lineRule="exact"/>
        <w:rPr>
          <w:szCs w:val="21"/>
        </w:rPr>
      </w:pPr>
      <w:r>
        <w:rPr>
          <w:szCs w:val="21"/>
        </w:rPr>
        <w:t>法定代表人：</w:t>
      </w:r>
      <w:r>
        <w:rPr>
          <w:szCs w:val="21"/>
          <w:u w:val="single"/>
        </w:rPr>
        <w:t xml:space="preserve">                               </w:t>
      </w:r>
      <w:r>
        <w:rPr>
          <w:szCs w:val="21"/>
        </w:rPr>
        <w:t>（签字）</w:t>
      </w:r>
    </w:p>
    <w:p>
      <w:pPr>
        <w:spacing w:line="440" w:lineRule="exact"/>
        <w:rPr>
          <w:szCs w:val="21"/>
        </w:rPr>
      </w:pPr>
    </w:p>
    <w:p>
      <w:pPr>
        <w:spacing w:line="440" w:lineRule="exact"/>
        <w:rPr>
          <w:szCs w:val="21"/>
        </w:rPr>
      </w:pPr>
      <w:r>
        <w:rPr>
          <w:szCs w:val="21"/>
        </w:rPr>
        <w:t>身份证号码：</w:t>
      </w:r>
      <w:r>
        <w:rPr>
          <w:szCs w:val="21"/>
          <w:u w:val="single"/>
        </w:rPr>
        <w:t xml:space="preserve">                                     </w:t>
      </w:r>
    </w:p>
    <w:p>
      <w:pPr>
        <w:spacing w:line="440" w:lineRule="exact"/>
        <w:rPr>
          <w:szCs w:val="21"/>
        </w:rPr>
      </w:pPr>
    </w:p>
    <w:p>
      <w:pPr>
        <w:spacing w:line="440" w:lineRule="exact"/>
        <w:rPr>
          <w:szCs w:val="21"/>
        </w:rPr>
      </w:pPr>
      <w:r>
        <w:rPr>
          <w:szCs w:val="21"/>
        </w:rPr>
        <w:t>委托代理人：</w:t>
      </w:r>
      <w:r>
        <w:rPr>
          <w:szCs w:val="21"/>
          <w:u w:val="single"/>
        </w:rPr>
        <w:t xml:space="preserve">                                   </w:t>
      </w:r>
      <w:r>
        <w:rPr>
          <w:szCs w:val="21"/>
        </w:rPr>
        <w:t xml:space="preserve">（签字） </w:t>
      </w:r>
    </w:p>
    <w:p>
      <w:pPr>
        <w:spacing w:line="440" w:lineRule="exact"/>
        <w:rPr>
          <w:szCs w:val="21"/>
        </w:rPr>
      </w:pPr>
    </w:p>
    <w:p>
      <w:pPr>
        <w:spacing w:line="440" w:lineRule="exact"/>
        <w:rPr>
          <w:szCs w:val="21"/>
        </w:rPr>
      </w:pPr>
      <w:r>
        <w:rPr>
          <w:szCs w:val="21"/>
        </w:rPr>
        <w:t>身份证号码：</w:t>
      </w:r>
      <w:r>
        <w:rPr>
          <w:szCs w:val="21"/>
          <w:u w:val="single"/>
        </w:rPr>
        <w:t xml:space="preserve">                                      </w:t>
      </w:r>
    </w:p>
    <w:p>
      <w:pPr>
        <w:spacing w:line="440" w:lineRule="exact"/>
        <w:rPr>
          <w:szCs w:val="21"/>
        </w:rPr>
      </w:pPr>
    </w:p>
    <w:p>
      <w:pPr>
        <w:spacing w:line="440" w:lineRule="exact"/>
        <w:rPr>
          <w:szCs w:val="21"/>
        </w:rPr>
      </w:pPr>
    </w:p>
    <w:p>
      <w:pPr>
        <w:spacing w:line="440" w:lineRule="exact"/>
        <w:ind w:firstLine="2310" w:firstLineChars="1100"/>
        <w:rPr>
          <w:rFonts w:eastAsia="黑体"/>
          <w:szCs w:val="21"/>
        </w:rPr>
      </w:pPr>
      <w:r>
        <w:rPr>
          <w:szCs w:val="21"/>
          <w:u w:val="single"/>
        </w:rPr>
        <w:t xml:space="preserve">       </w:t>
      </w:r>
      <w:r>
        <w:rPr>
          <w:szCs w:val="21"/>
        </w:rPr>
        <w:t>年</w:t>
      </w:r>
      <w:r>
        <w:rPr>
          <w:szCs w:val="21"/>
          <w:u w:val="single"/>
        </w:rPr>
        <w:t xml:space="preserve">       </w:t>
      </w:r>
      <w:r>
        <w:rPr>
          <w:szCs w:val="21"/>
        </w:rPr>
        <w:t>月</w:t>
      </w:r>
      <w:r>
        <w:rPr>
          <w:szCs w:val="21"/>
          <w:u w:val="single"/>
        </w:rPr>
        <w:t xml:space="preserve">       </w:t>
      </w:r>
      <w:r>
        <w:rPr>
          <w:szCs w:val="21"/>
        </w:rPr>
        <w:t>日</w:t>
      </w:r>
    </w:p>
    <w:p>
      <w:pPr>
        <w:spacing w:line="440" w:lineRule="exact"/>
        <w:ind w:firstLine="2310" w:firstLineChars="1100"/>
        <w:rPr>
          <w:rFonts w:eastAsia="黑体"/>
          <w:szCs w:val="21"/>
        </w:rPr>
      </w:pPr>
    </w:p>
    <w:p>
      <w:pPr>
        <w:spacing w:line="400" w:lineRule="exact"/>
      </w:pPr>
      <w:r>
        <w:rPr>
          <w:rFonts w:eastAsia="黑体"/>
          <w:sz w:val="20"/>
          <w:szCs w:val="20"/>
        </w:rPr>
        <w:br w:type="page"/>
      </w:r>
    </w:p>
    <w:p>
      <w:pPr>
        <w:pStyle w:val="3"/>
        <w:jc w:val="center"/>
      </w:pPr>
      <w:bookmarkStart w:id="1160" w:name="_Toc246997105"/>
      <w:bookmarkStart w:id="1161" w:name="_Toc15163"/>
      <w:bookmarkStart w:id="1162" w:name="_Toc144974862"/>
      <w:bookmarkStart w:id="1163" w:name="_Toc179632814"/>
      <w:bookmarkStart w:id="1164" w:name="_Toc247085880"/>
      <w:bookmarkStart w:id="1165" w:name="_Toc152042583"/>
      <w:bookmarkStart w:id="1166" w:name="_Toc246996362"/>
      <w:bookmarkStart w:id="1167" w:name="_Toc152045794"/>
      <w:r>
        <w:rPr>
          <w:rFonts w:hint="eastAsia"/>
        </w:rPr>
        <w:t>三</w:t>
      </w:r>
      <w:r>
        <w:t>、投标保证金</w:t>
      </w:r>
      <w:bookmarkEnd w:id="1160"/>
      <w:bookmarkEnd w:id="1161"/>
      <w:bookmarkEnd w:id="1162"/>
      <w:bookmarkEnd w:id="1163"/>
      <w:bookmarkEnd w:id="1164"/>
      <w:bookmarkEnd w:id="1165"/>
      <w:bookmarkEnd w:id="1166"/>
      <w:bookmarkEnd w:id="1167"/>
    </w:p>
    <w:p>
      <w:pPr>
        <w:spacing w:line="440" w:lineRule="exact"/>
        <w:jc w:val="center"/>
        <w:rPr>
          <w:rFonts w:eastAsia="黑体"/>
          <w:sz w:val="27"/>
          <w:szCs w:val="27"/>
        </w:rPr>
      </w:pPr>
      <w:r>
        <w:rPr>
          <w:rFonts w:hint="eastAsia" w:eastAsia="黑体"/>
          <w:b/>
          <w:szCs w:val="21"/>
        </w:rPr>
        <w:t>银行转账凭证</w:t>
      </w:r>
      <w:r>
        <w:rPr>
          <w:rFonts w:eastAsia="黑体"/>
          <w:sz w:val="20"/>
          <w:szCs w:val="20"/>
        </w:rPr>
        <w:br w:type="page"/>
      </w:r>
    </w:p>
    <w:p>
      <w:pPr>
        <w:pStyle w:val="3"/>
        <w:jc w:val="center"/>
      </w:pPr>
      <w:bookmarkStart w:id="1168" w:name="_Toc144974863"/>
      <w:bookmarkStart w:id="1169" w:name="_Toc152042584"/>
      <w:bookmarkStart w:id="1170" w:name="_Toc152045795"/>
      <w:bookmarkStart w:id="1171" w:name="_Toc179632815"/>
      <w:bookmarkStart w:id="1172" w:name="_Toc246996363"/>
      <w:bookmarkStart w:id="1173" w:name="_Toc246997106"/>
      <w:bookmarkStart w:id="1174" w:name="_Toc247085881"/>
      <w:bookmarkStart w:id="1175" w:name="_Toc32190"/>
      <w:r>
        <w:rPr>
          <w:rFonts w:hint="eastAsia"/>
        </w:rPr>
        <w:t>四</w:t>
      </w:r>
      <w:r>
        <w:t>、已标价工程量清单</w:t>
      </w:r>
      <w:bookmarkEnd w:id="1168"/>
      <w:bookmarkEnd w:id="1169"/>
      <w:bookmarkEnd w:id="1170"/>
      <w:bookmarkEnd w:id="1171"/>
      <w:bookmarkEnd w:id="1172"/>
      <w:bookmarkEnd w:id="1173"/>
      <w:bookmarkEnd w:id="1174"/>
      <w:bookmarkEnd w:id="1175"/>
    </w:p>
    <w:p>
      <w:pPr>
        <w:spacing w:line="440" w:lineRule="exact"/>
        <w:jc w:val="center"/>
        <w:rPr>
          <w:rFonts w:eastAsia="黑体"/>
          <w:sz w:val="20"/>
          <w:szCs w:val="20"/>
        </w:rPr>
      </w:pPr>
      <w:r>
        <w:rPr>
          <w:rFonts w:eastAsia="黑体"/>
          <w:sz w:val="20"/>
          <w:szCs w:val="20"/>
        </w:rPr>
        <w:br w:type="page"/>
      </w:r>
    </w:p>
    <w:p>
      <w:pPr>
        <w:pStyle w:val="3"/>
        <w:jc w:val="center"/>
      </w:pPr>
      <w:bookmarkStart w:id="1176" w:name="_Toc144974864"/>
      <w:bookmarkStart w:id="1177" w:name="_Toc152042585"/>
      <w:bookmarkStart w:id="1178" w:name="_Toc152045796"/>
      <w:bookmarkStart w:id="1179" w:name="_Toc179632816"/>
      <w:bookmarkStart w:id="1180" w:name="_Toc246996364"/>
      <w:bookmarkStart w:id="1181" w:name="_Toc246997107"/>
      <w:bookmarkStart w:id="1182" w:name="_Toc247085882"/>
      <w:bookmarkStart w:id="1183" w:name="_Toc8897"/>
      <w:r>
        <w:rPr>
          <w:rFonts w:hint="eastAsia"/>
        </w:rPr>
        <w:t>五</w:t>
      </w:r>
      <w:r>
        <w:t>、施工组织设计</w:t>
      </w:r>
      <w:bookmarkEnd w:id="1176"/>
      <w:bookmarkEnd w:id="1177"/>
      <w:bookmarkEnd w:id="1178"/>
      <w:bookmarkEnd w:id="1179"/>
      <w:bookmarkEnd w:id="1180"/>
      <w:bookmarkEnd w:id="1181"/>
      <w:bookmarkEnd w:id="1182"/>
      <w:bookmarkEnd w:id="1183"/>
    </w:p>
    <w:p>
      <w:pPr>
        <w:spacing w:line="440" w:lineRule="exact"/>
        <w:rPr>
          <w:rFonts w:eastAsia="黑体"/>
          <w:szCs w:val="21"/>
        </w:rPr>
      </w:pPr>
    </w:p>
    <w:p>
      <w:pPr>
        <w:tabs>
          <w:tab w:val="left" w:pos="720"/>
        </w:tabs>
        <w:spacing w:line="440" w:lineRule="exact"/>
        <w:ind w:firstLine="420" w:firstLineChars="200"/>
        <w:rPr>
          <w:szCs w:val="21"/>
        </w:rPr>
      </w:pPr>
      <w:r>
        <w:rPr>
          <w:szCs w:val="21"/>
        </w:rPr>
        <w:t>1.</w:t>
      </w:r>
      <w:r>
        <w:rPr>
          <w:rFonts w:hint="eastAsia"/>
          <w:szCs w:val="21"/>
        </w:rPr>
        <w:tab/>
      </w:r>
      <w:r>
        <w:rPr>
          <w:szCs w:val="21"/>
        </w:rPr>
        <w:t>投标人编制施工组织设计的要求：编制时应</w:t>
      </w:r>
      <w:r>
        <w:rPr>
          <w:rFonts w:hint="eastAsia"/>
          <w:szCs w:val="21"/>
        </w:rPr>
        <w:t>简明扼要地</w:t>
      </w:r>
      <w:r>
        <w:rPr>
          <w:szCs w:val="21"/>
        </w:rPr>
        <w:t>说明施工方法</w:t>
      </w:r>
      <w:r>
        <w:rPr>
          <w:rFonts w:hint="eastAsia"/>
          <w:szCs w:val="21"/>
        </w:rPr>
        <w:t>，</w:t>
      </w:r>
      <w:r>
        <w:rPr>
          <w:szCs w:val="21"/>
        </w:rPr>
        <w:t>工程质量、安全生产、文明施工、环境</w:t>
      </w:r>
      <w:r>
        <w:rPr>
          <w:rFonts w:hint="eastAsia"/>
          <w:szCs w:val="21"/>
        </w:rPr>
        <w:t>保护、</w:t>
      </w:r>
      <w:r>
        <w:rPr>
          <w:szCs w:val="21"/>
        </w:rPr>
        <w:t>冬雨季施工</w:t>
      </w:r>
      <w:r>
        <w:rPr>
          <w:rFonts w:hint="eastAsia"/>
          <w:szCs w:val="21"/>
        </w:rPr>
        <w:t>、</w:t>
      </w:r>
      <w:r>
        <w:rPr>
          <w:szCs w:val="21"/>
        </w:rPr>
        <w:t>工程进度、技术组织</w:t>
      </w:r>
      <w:r>
        <w:rPr>
          <w:rFonts w:hint="eastAsia"/>
          <w:szCs w:val="21"/>
        </w:rPr>
        <w:t>等主要措施</w:t>
      </w:r>
      <w:r>
        <w:rPr>
          <w:szCs w:val="21"/>
        </w:rPr>
        <w:t>。</w:t>
      </w:r>
      <w:r>
        <w:rPr>
          <w:rFonts w:hint="eastAsia"/>
          <w:szCs w:val="21"/>
        </w:rPr>
        <w:t>用图表形式阐明</w:t>
      </w:r>
      <w:r>
        <w:rPr>
          <w:szCs w:val="21"/>
        </w:rPr>
        <w:t>本</w:t>
      </w:r>
      <w:r>
        <w:rPr>
          <w:rFonts w:hint="eastAsia"/>
          <w:szCs w:val="21"/>
        </w:rPr>
        <w:t>项目</w:t>
      </w:r>
      <w:r>
        <w:rPr>
          <w:szCs w:val="21"/>
        </w:rPr>
        <w:t>的</w:t>
      </w:r>
      <w:r>
        <w:rPr>
          <w:rFonts w:hint="eastAsia"/>
          <w:szCs w:val="21"/>
        </w:rPr>
        <w:t>施工总平面、进度计划以及</w:t>
      </w:r>
      <w:r>
        <w:rPr>
          <w:szCs w:val="21"/>
        </w:rPr>
        <w:t>拟投入主要施工设备、劳动力</w:t>
      </w:r>
      <w:r>
        <w:rPr>
          <w:rFonts w:hint="eastAsia"/>
          <w:szCs w:val="21"/>
        </w:rPr>
        <w:t>、项目管理机构</w:t>
      </w:r>
      <w:r>
        <w:rPr>
          <w:szCs w:val="21"/>
        </w:rPr>
        <w:t>等</w:t>
      </w:r>
      <w:r>
        <w:rPr>
          <w:rFonts w:hint="eastAsia"/>
          <w:szCs w:val="21"/>
        </w:rPr>
        <w:t>。</w:t>
      </w:r>
    </w:p>
    <w:p>
      <w:pPr>
        <w:tabs>
          <w:tab w:val="left" w:pos="720"/>
        </w:tabs>
        <w:spacing w:line="440" w:lineRule="exact"/>
        <w:ind w:firstLine="420" w:firstLineChars="200"/>
        <w:rPr>
          <w:szCs w:val="21"/>
        </w:rPr>
      </w:pPr>
      <w:r>
        <w:rPr>
          <w:szCs w:val="21"/>
        </w:rPr>
        <w:t>2.图表及格式要求</w:t>
      </w:r>
      <w:r>
        <w:rPr>
          <w:rFonts w:hint="eastAsia"/>
          <w:szCs w:val="21"/>
        </w:rPr>
        <w:t>：</w:t>
      </w:r>
    </w:p>
    <w:p>
      <w:pPr>
        <w:tabs>
          <w:tab w:val="left" w:pos="720"/>
        </w:tabs>
        <w:spacing w:line="440" w:lineRule="exact"/>
        <w:ind w:firstLine="756" w:firstLineChars="360"/>
        <w:rPr>
          <w:szCs w:val="21"/>
        </w:rPr>
      </w:pPr>
      <w:r>
        <w:rPr>
          <w:szCs w:val="21"/>
        </w:rPr>
        <w:t>附表一  拟投入的主要施工设备表</w:t>
      </w:r>
    </w:p>
    <w:p>
      <w:pPr>
        <w:tabs>
          <w:tab w:val="left" w:pos="720"/>
        </w:tabs>
        <w:spacing w:line="440" w:lineRule="exact"/>
        <w:ind w:firstLine="756" w:firstLineChars="360"/>
        <w:rPr>
          <w:szCs w:val="21"/>
        </w:rPr>
      </w:pPr>
      <w:r>
        <w:rPr>
          <w:szCs w:val="21"/>
        </w:rPr>
        <w:t>附表</w:t>
      </w:r>
      <w:r>
        <w:rPr>
          <w:rFonts w:hint="eastAsia"/>
          <w:szCs w:val="21"/>
        </w:rPr>
        <w:t>二</w:t>
      </w:r>
      <w:r>
        <w:rPr>
          <w:szCs w:val="21"/>
        </w:rPr>
        <w:t xml:space="preserve">  劳动力计划表</w:t>
      </w:r>
    </w:p>
    <w:p>
      <w:pPr>
        <w:tabs>
          <w:tab w:val="left" w:pos="720"/>
        </w:tabs>
        <w:spacing w:line="440" w:lineRule="exact"/>
        <w:ind w:firstLine="756" w:firstLineChars="360"/>
        <w:rPr>
          <w:szCs w:val="21"/>
        </w:rPr>
      </w:pPr>
      <w:r>
        <w:rPr>
          <w:szCs w:val="21"/>
        </w:rPr>
        <w:t>附表</w:t>
      </w:r>
      <w:r>
        <w:rPr>
          <w:rFonts w:hint="eastAsia"/>
          <w:szCs w:val="21"/>
        </w:rPr>
        <w:t>三</w:t>
      </w:r>
      <w:r>
        <w:rPr>
          <w:szCs w:val="21"/>
        </w:rPr>
        <w:t xml:space="preserve">  进度</w:t>
      </w:r>
      <w:r>
        <w:rPr>
          <w:rFonts w:hint="eastAsia"/>
          <w:szCs w:val="21"/>
        </w:rPr>
        <w:t>计划</w:t>
      </w:r>
    </w:p>
    <w:p>
      <w:pPr>
        <w:tabs>
          <w:tab w:val="left" w:pos="720"/>
        </w:tabs>
        <w:spacing w:line="440" w:lineRule="exact"/>
        <w:ind w:firstLine="756" w:firstLineChars="360"/>
        <w:rPr>
          <w:szCs w:val="21"/>
        </w:rPr>
      </w:pPr>
      <w:r>
        <w:rPr>
          <w:szCs w:val="21"/>
        </w:rPr>
        <w:t>附表</w:t>
      </w:r>
      <w:r>
        <w:rPr>
          <w:rFonts w:hint="eastAsia"/>
          <w:szCs w:val="21"/>
        </w:rPr>
        <w:t>四</w:t>
      </w:r>
      <w:r>
        <w:rPr>
          <w:szCs w:val="21"/>
        </w:rPr>
        <w:t xml:space="preserve">  施工总平面图</w:t>
      </w:r>
    </w:p>
    <w:p>
      <w:pPr>
        <w:spacing w:line="440" w:lineRule="exact"/>
        <w:rPr>
          <w:sz w:val="20"/>
          <w:szCs w:val="20"/>
        </w:rPr>
      </w:pPr>
      <w:r>
        <w:rPr>
          <w:rFonts w:eastAsia="黑体"/>
          <w:sz w:val="20"/>
          <w:szCs w:val="20"/>
        </w:rPr>
        <w:br w:type="page"/>
      </w:r>
    </w:p>
    <w:p>
      <w:pPr>
        <w:pStyle w:val="4"/>
      </w:pPr>
      <w:bookmarkStart w:id="1184" w:name="_Toc246997108"/>
      <w:bookmarkStart w:id="1185" w:name="_Toc247085883"/>
      <w:bookmarkStart w:id="1186" w:name="_Toc11074"/>
      <w:bookmarkStart w:id="1187" w:name="_Toc179632817"/>
      <w:bookmarkStart w:id="1188" w:name="_Toc152045797"/>
      <w:bookmarkStart w:id="1189" w:name="_Toc144974865"/>
      <w:bookmarkStart w:id="1190" w:name="_Toc246996365"/>
      <w:bookmarkStart w:id="1191" w:name="_Toc152042586"/>
      <w:r>
        <w:t>附表一：拟投入本</w:t>
      </w:r>
      <w:r>
        <w:rPr>
          <w:rFonts w:hint="eastAsia"/>
        </w:rPr>
        <w:t>项目</w:t>
      </w:r>
      <w:r>
        <w:t>的主要施工设备表</w:t>
      </w:r>
      <w:bookmarkEnd w:id="1184"/>
      <w:bookmarkEnd w:id="1185"/>
      <w:bookmarkEnd w:id="1186"/>
      <w:bookmarkEnd w:id="1187"/>
      <w:bookmarkEnd w:id="1188"/>
      <w:bookmarkEnd w:id="1189"/>
      <w:bookmarkEnd w:id="1190"/>
      <w:bookmarkEnd w:id="1191"/>
    </w:p>
    <w:tbl>
      <w:tblPr>
        <w:tblStyle w:val="41"/>
        <w:tblW w:w="874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5"/>
        <w:gridCol w:w="1086"/>
        <w:gridCol w:w="761"/>
        <w:gridCol w:w="990"/>
        <w:gridCol w:w="672"/>
        <w:gridCol w:w="738"/>
        <w:gridCol w:w="1212"/>
        <w:gridCol w:w="874"/>
        <w:gridCol w:w="1055"/>
        <w:gridCol w:w="6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65" w:type="dxa"/>
            <w:vAlign w:val="center"/>
          </w:tcPr>
          <w:p>
            <w:pPr>
              <w:spacing w:line="440" w:lineRule="exact"/>
              <w:rPr>
                <w:szCs w:val="21"/>
              </w:rPr>
            </w:pPr>
            <w:r>
              <w:rPr>
                <w:szCs w:val="21"/>
              </w:rPr>
              <w:t>序号</w:t>
            </w:r>
          </w:p>
        </w:tc>
        <w:tc>
          <w:tcPr>
            <w:tcW w:w="1086" w:type="dxa"/>
            <w:vAlign w:val="center"/>
          </w:tcPr>
          <w:p>
            <w:pPr>
              <w:spacing w:line="440" w:lineRule="exact"/>
              <w:jc w:val="center"/>
              <w:rPr>
                <w:szCs w:val="21"/>
              </w:rPr>
            </w:pPr>
            <w:r>
              <w:rPr>
                <w:szCs w:val="21"/>
              </w:rPr>
              <w:t>设备名称</w:t>
            </w:r>
          </w:p>
        </w:tc>
        <w:tc>
          <w:tcPr>
            <w:tcW w:w="761" w:type="dxa"/>
            <w:vAlign w:val="center"/>
          </w:tcPr>
          <w:p>
            <w:pPr>
              <w:spacing w:line="440" w:lineRule="exact"/>
              <w:jc w:val="center"/>
              <w:rPr>
                <w:szCs w:val="21"/>
              </w:rPr>
            </w:pPr>
            <w:r>
              <w:rPr>
                <w:szCs w:val="21"/>
              </w:rPr>
              <w:t>型号</w:t>
            </w:r>
          </w:p>
          <w:p>
            <w:pPr>
              <w:spacing w:line="440" w:lineRule="exact"/>
              <w:jc w:val="center"/>
              <w:rPr>
                <w:szCs w:val="21"/>
              </w:rPr>
            </w:pPr>
            <w:r>
              <w:rPr>
                <w:szCs w:val="21"/>
              </w:rPr>
              <w:t>规格</w:t>
            </w:r>
          </w:p>
        </w:tc>
        <w:tc>
          <w:tcPr>
            <w:tcW w:w="990" w:type="dxa"/>
            <w:vAlign w:val="center"/>
          </w:tcPr>
          <w:p>
            <w:pPr>
              <w:spacing w:line="440" w:lineRule="exact"/>
              <w:jc w:val="center"/>
              <w:rPr>
                <w:szCs w:val="21"/>
              </w:rPr>
            </w:pPr>
            <w:r>
              <w:rPr>
                <w:szCs w:val="21"/>
              </w:rPr>
              <w:t>数量</w:t>
            </w:r>
          </w:p>
        </w:tc>
        <w:tc>
          <w:tcPr>
            <w:tcW w:w="672" w:type="dxa"/>
            <w:vAlign w:val="center"/>
          </w:tcPr>
          <w:p>
            <w:pPr>
              <w:spacing w:line="440" w:lineRule="exact"/>
              <w:jc w:val="center"/>
              <w:rPr>
                <w:szCs w:val="21"/>
              </w:rPr>
            </w:pPr>
            <w:r>
              <w:rPr>
                <w:szCs w:val="21"/>
              </w:rPr>
              <w:t>国别</w:t>
            </w:r>
          </w:p>
          <w:p>
            <w:pPr>
              <w:spacing w:line="440" w:lineRule="exact"/>
              <w:jc w:val="center"/>
              <w:rPr>
                <w:szCs w:val="21"/>
              </w:rPr>
            </w:pPr>
            <w:r>
              <w:rPr>
                <w:szCs w:val="21"/>
              </w:rPr>
              <w:t>产地</w:t>
            </w:r>
          </w:p>
        </w:tc>
        <w:tc>
          <w:tcPr>
            <w:tcW w:w="738" w:type="dxa"/>
            <w:vAlign w:val="center"/>
          </w:tcPr>
          <w:p>
            <w:pPr>
              <w:spacing w:line="440" w:lineRule="exact"/>
              <w:jc w:val="center"/>
              <w:rPr>
                <w:szCs w:val="21"/>
              </w:rPr>
            </w:pPr>
            <w:r>
              <w:rPr>
                <w:szCs w:val="21"/>
              </w:rPr>
              <w:t>制造</w:t>
            </w:r>
          </w:p>
          <w:p>
            <w:pPr>
              <w:spacing w:line="440" w:lineRule="exact"/>
              <w:jc w:val="center"/>
              <w:rPr>
                <w:szCs w:val="21"/>
              </w:rPr>
            </w:pPr>
            <w:r>
              <w:rPr>
                <w:szCs w:val="21"/>
              </w:rPr>
              <w:t>年份</w:t>
            </w:r>
          </w:p>
        </w:tc>
        <w:tc>
          <w:tcPr>
            <w:tcW w:w="1212" w:type="dxa"/>
            <w:vAlign w:val="center"/>
          </w:tcPr>
          <w:p>
            <w:pPr>
              <w:spacing w:line="440" w:lineRule="exact"/>
              <w:jc w:val="center"/>
              <w:rPr>
                <w:szCs w:val="21"/>
              </w:rPr>
            </w:pPr>
            <w:r>
              <w:rPr>
                <w:szCs w:val="21"/>
              </w:rPr>
              <w:t>额定功率（</w:t>
            </w:r>
            <w:r>
              <w:rPr>
                <w:rFonts w:hint="eastAsia"/>
                <w:szCs w:val="21"/>
              </w:rPr>
              <w:t>k</w:t>
            </w:r>
            <w:r>
              <w:rPr>
                <w:szCs w:val="21"/>
              </w:rPr>
              <w:t>W）</w:t>
            </w:r>
          </w:p>
        </w:tc>
        <w:tc>
          <w:tcPr>
            <w:tcW w:w="874" w:type="dxa"/>
            <w:vAlign w:val="center"/>
          </w:tcPr>
          <w:p>
            <w:pPr>
              <w:spacing w:line="440" w:lineRule="exact"/>
              <w:jc w:val="center"/>
              <w:rPr>
                <w:szCs w:val="21"/>
              </w:rPr>
            </w:pPr>
            <w:r>
              <w:rPr>
                <w:szCs w:val="21"/>
              </w:rPr>
              <w:t>生产</w:t>
            </w:r>
          </w:p>
          <w:p>
            <w:pPr>
              <w:spacing w:line="440" w:lineRule="exact"/>
              <w:jc w:val="center"/>
              <w:rPr>
                <w:szCs w:val="21"/>
              </w:rPr>
            </w:pPr>
            <w:r>
              <w:rPr>
                <w:szCs w:val="21"/>
              </w:rPr>
              <w:t>能力</w:t>
            </w:r>
          </w:p>
        </w:tc>
        <w:tc>
          <w:tcPr>
            <w:tcW w:w="1055" w:type="dxa"/>
            <w:vAlign w:val="center"/>
          </w:tcPr>
          <w:p>
            <w:pPr>
              <w:spacing w:line="440" w:lineRule="exact"/>
              <w:jc w:val="center"/>
              <w:rPr>
                <w:szCs w:val="21"/>
              </w:rPr>
            </w:pPr>
            <w:r>
              <w:rPr>
                <w:szCs w:val="21"/>
              </w:rPr>
              <w:t>用于施工部位</w:t>
            </w:r>
          </w:p>
        </w:tc>
        <w:tc>
          <w:tcPr>
            <w:tcW w:w="691" w:type="dxa"/>
            <w:vAlign w:val="center"/>
          </w:tcPr>
          <w:p>
            <w:pPr>
              <w:spacing w:line="440" w:lineRule="exact"/>
              <w:jc w:val="center"/>
              <w:rPr>
                <w:szCs w:val="21"/>
              </w:rPr>
            </w:pPr>
            <w:r>
              <w:rPr>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65" w:type="dxa"/>
            <w:vAlign w:val="center"/>
          </w:tcPr>
          <w:p>
            <w:pPr>
              <w:spacing w:line="440" w:lineRule="exact"/>
              <w:jc w:val="center"/>
              <w:rPr>
                <w:szCs w:val="21"/>
              </w:rPr>
            </w:pPr>
          </w:p>
        </w:tc>
        <w:tc>
          <w:tcPr>
            <w:tcW w:w="1086" w:type="dxa"/>
            <w:vAlign w:val="center"/>
          </w:tcPr>
          <w:p>
            <w:pPr>
              <w:spacing w:line="440" w:lineRule="exact"/>
              <w:jc w:val="center"/>
              <w:rPr>
                <w:szCs w:val="21"/>
              </w:rPr>
            </w:pPr>
          </w:p>
        </w:tc>
        <w:tc>
          <w:tcPr>
            <w:tcW w:w="761" w:type="dxa"/>
            <w:vAlign w:val="center"/>
          </w:tcPr>
          <w:p>
            <w:pPr>
              <w:spacing w:line="440" w:lineRule="exact"/>
              <w:jc w:val="center"/>
              <w:rPr>
                <w:szCs w:val="21"/>
              </w:rPr>
            </w:pPr>
          </w:p>
        </w:tc>
        <w:tc>
          <w:tcPr>
            <w:tcW w:w="990" w:type="dxa"/>
            <w:vAlign w:val="center"/>
          </w:tcPr>
          <w:p>
            <w:pPr>
              <w:spacing w:line="440" w:lineRule="exact"/>
              <w:jc w:val="center"/>
              <w:rPr>
                <w:szCs w:val="21"/>
              </w:rPr>
            </w:pPr>
          </w:p>
        </w:tc>
        <w:tc>
          <w:tcPr>
            <w:tcW w:w="672" w:type="dxa"/>
            <w:vAlign w:val="center"/>
          </w:tcPr>
          <w:p>
            <w:pPr>
              <w:spacing w:line="440" w:lineRule="exact"/>
              <w:jc w:val="center"/>
              <w:rPr>
                <w:szCs w:val="21"/>
              </w:rPr>
            </w:pPr>
          </w:p>
        </w:tc>
        <w:tc>
          <w:tcPr>
            <w:tcW w:w="738" w:type="dxa"/>
            <w:vAlign w:val="center"/>
          </w:tcPr>
          <w:p>
            <w:pPr>
              <w:spacing w:line="440" w:lineRule="exact"/>
              <w:jc w:val="center"/>
              <w:rPr>
                <w:szCs w:val="21"/>
              </w:rPr>
            </w:pPr>
          </w:p>
        </w:tc>
        <w:tc>
          <w:tcPr>
            <w:tcW w:w="1212" w:type="dxa"/>
            <w:vAlign w:val="center"/>
          </w:tcPr>
          <w:p>
            <w:pPr>
              <w:spacing w:line="440" w:lineRule="exact"/>
              <w:jc w:val="center"/>
              <w:rPr>
                <w:szCs w:val="21"/>
              </w:rPr>
            </w:pPr>
          </w:p>
        </w:tc>
        <w:tc>
          <w:tcPr>
            <w:tcW w:w="874" w:type="dxa"/>
            <w:vAlign w:val="center"/>
          </w:tcPr>
          <w:p>
            <w:pPr>
              <w:spacing w:line="440" w:lineRule="exact"/>
              <w:jc w:val="center"/>
              <w:rPr>
                <w:szCs w:val="21"/>
              </w:rPr>
            </w:pPr>
          </w:p>
        </w:tc>
        <w:tc>
          <w:tcPr>
            <w:tcW w:w="1055" w:type="dxa"/>
            <w:vAlign w:val="center"/>
          </w:tcPr>
          <w:p>
            <w:pPr>
              <w:spacing w:line="440" w:lineRule="exact"/>
              <w:jc w:val="center"/>
              <w:rPr>
                <w:szCs w:val="21"/>
              </w:rPr>
            </w:pPr>
          </w:p>
        </w:tc>
        <w:tc>
          <w:tcPr>
            <w:tcW w:w="691" w:type="dxa"/>
            <w:vAlign w:val="center"/>
          </w:tcPr>
          <w:p>
            <w:pPr>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65" w:type="dxa"/>
            <w:vAlign w:val="center"/>
          </w:tcPr>
          <w:p>
            <w:pPr>
              <w:spacing w:line="440" w:lineRule="exact"/>
              <w:jc w:val="center"/>
              <w:rPr>
                <w:szCs w:val="21"/>
              </w:rPr>
            </w:pPr>
          </w:p>
        </w:tc>
        <w:tc>
          <w:tcPr>
            <w:tcW w:w="1086" w:type="dxa"/>
            <w:vAlign w:val="center"/>
          </w:tcPr>
          <w:p>
            <w:pPr>
              <w:spacing w:line="440" w:lineRule="exact"/>
              <w:jc w:val="center"/>
              <w:rPr>
                <w:szCs w:val="21"/>
              </w:rPr>
            </w:pPr>
          </w:p>
        </w:tc>
        <w:tc>
          <w:tcPr>
            <w:tcW w:w="761" w:type="dxa"/>
            <w:vAlign w:val="center"/>
          </w:tcPr>
          <w:p>
            <w:pPr>
              <w:spacing w:line="440" w:lineRule="exact"/>
              <w:jc w:val="center"/>
              <w:rPr>
                <w:szCs w:val="21"/>
              </w:rPr>
            </w:pPr>
          </w:p>
        </w:tc>
        <w:tc>
          <w:tcPr>
            <w:tcW w:w="990" w:type="dxa"/>
            <w:vAlign w:val="center"/>
          </w:tcPr>
          <w:p>
            <w:pPr>
              <w:spacing w:line="440" w:lineRule="exact"/>
              <w:jc w:val="center"/>
              <w:rPr>
                <w:szCs w:val="21"/>
              </w:rPr>
            </w:pPr>
          </w:p>
        </w:tc>
        <w:tc>
          <w:tcPr>
            <w:tcW w:w="672" w:type="dxa"/>
            <w:vAlign w:val="center"/>
          </w:tcPr>
          <w:p>
            <w:pPr>
              <w:spacing w:line="440" w:lineRule="exact"/>
              <w:jc w:val="center"/>
              <w:rPr>
                <w:szCs w:val="21"/>
              </w:rPr>
            </w:pPr>
          </w:p>
        </w:tc>
        <w:tc>
          <w:tcPr>
            <w:tcW w:w="738" w:type="dxa"/>
            <w:vAlign w:val="center"/>
          </w:tcPr>
          <w:p>
            <w:pPr>
              <w:spacing w:line="440" w:lineRule="exact"/>
              <w:jc w:val="center"/>
              <w:rPr>
                <w:szCs w:val="21"/>
              </w:rPr>
            </w:pPr>
          </w:p>
        </w:tc>
        <w:tc>
          <w:tcPr>
            <w:tcW w:w="1212" w:type="dxa"/>
            <w:vAlign w:val="center"/>
          </w:tcPr>
          <w:p>
            <w:pPr>
              <w:spacing w:line="440" w:lineRule="exact"/>
              <w:jc w:val="center"/>
              <w:rPr>
                <w:szCs w:val="21"/>
              </w:rPr>
            </w:pPr>
          </w:p>
        </w:tc>
        <w:tc>
          <w:tcPr>
            <w:tcW w:w="874" w:type="dxa"/>
            <w:vAlign w:val="center"/>
          </w:tcPr>
          <w:p>
            <w:pPr>
              <w:spacing w:line="440" w:lineRule="exact"/>
              <w:jc w:val="center"/>
              <w:rPr>
                <w:szCs w:val="21"/>
              </w:rPr>
            </w:pPr>
          </w:p>
        </w:tc>
        <w:tc>
          <w:tcPr>
            <w:tcW w:w="1055" w:type="dxa"/>
            <w:vAlign w:val="center"/>
          </w:tcPr>
          <w:p>
            <w:pPr>
              <w:spacing w:line="440" w:lineRule="exact"/>
              <w:jc w:val="center"/>
              <w:rPr>
                <w:szCs w:val="21"/>
              </w:rPr>
            </w:pPr>
          </w:p>
        </w:tc>
        <w:tc>
          <w:tcPr>
            <w:tcW w:w="691" w:type="dxa"/>
            <w:vAlign w:val="center"/>
          </w:tcPr>
          <w:p>
            <w:pPr>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65" w:type="dxa"/>
            <w:vAlign w:val="top"/>
          </w:tcPr>
          <w:p>
            <w:pPr>
              <w:spacing w:line="440" w:lineRule="exact"/>
              <w:jc w:val="center"/>
              <w:rPr>
                <w:szCs w:val="21"/>
              </w:rPr>
            </w:pPr>
          </w:p>
        </w:tc>
        <w:tc>
          <w:tcPr>
            <w:tcW w:w="1086" w:type="dxa"/>
            <w:vAlign w:val="top"/>
          </w:tcPr>
          <w:p>
            <w:pPr>
              <w:spacing w:line="440" w:lineRule="exact"/>
              <w:jc w:val="center"/>
              <w:rPr>
                <w:szCs w:val="21"/>
              </w:rPr>
            </w:pPr>
          </w:p>
        </w:tc>
        <w:tc>
          <w:tcPr>
            <w:tcW w:w="761" w:type="dxa"/>
            <w:vAlign w:val="top"/>
          </w:tcPr>
          <w:p>
            <w:pPr>
              <w:spacing w:line="440" w:lineRule="exact"/>
              <w:jc w:val="center"/>
              <w:rPr>
                <w:szCs w:val="21"/>
              </w:rPr>
            </w:pPr>
          </w:p>
        </w:tc>
        <w:tc>
          <w:tcPr>
            <w:tcW w:w="990" w:type="dxa"/>
            <w:vAlign w:val="top"/>
          </w:tcPr>
          <w:p>
            <w:pPr>
              <w:spacing w:line="440" w:lineRule="exact"/>
              <w:jc w:val="center"/>
              <w:rPr>
                <w:szCs w:val="21"/>
              </w:rPr>
            </w:pPr>
          </w:p>
        </w:tc>
        <w:tc>
          <w:tcPr>
            <w:tcW w:w="672" w:type="dxa"/>
            <w:vAlign w:val="top"/>
          </w:tcPr>
          <w:p>
            <w:pPr>
              <w:spacing w:line="440" w:lineRule="exact"/>
              <w:jc w:val="center"/>
              <w:rPr>
                <w:szCs w:val="21"/>
              </w:rPr>
            </w:pPr>
          </w:p>
        </w:tc>
        <w:tc>
          <w:tcPr>
            <w:tcW w:w="738" w:type="dxa"/>
            <w:vAlign w:val="top"/>
          </w:tcPr>
          <w:p>
            <w:pPr>
              <w:spacing w:line="440" w:lineRule="exact"/>
              <w:jc w:val="center"/>
              <w:rPr>
                <w:szCs w:val="21"/>
              </w:rPr>
            </w:pPr>
          </w:p>
        </w:tc>
        <w:tc>
          <w:tcPr>
            <w:tcW w:w="1212" w:type="dxa"/>
            <w:vAlign w:val="top"/>
          </w:tcPr>
          <w:p>
            <w:pPr>
              <w:spacing w:line="440" w:lineRule="exact"/>
              <w:jc w:val="center"/>
              <w:rPr>
                <w:szCs w:val="21"/>
              </w:rPr>
            </w:pPr>
          </w:p>
        </w:tc>
        <w:tc>
          <w:tcPr>
            <w:tcW w:w="874" w:type="dxa"/>
            <w:vAlign w:val="top"/>
          </w:tcPr>
          <w:p>
            <w:pPr>
              <w:spacing w:line="440" w:lineRule="exact"/>
              <w:jc w:val="center"/>
              <w:rPr>
                <w:szCs w:val="21"/>
              </w:rPr>
            </w:pPr>
          </w:p>
        </w:tc>
        <w:tc>
          <w:tcPr>
            <w:tcW w:w="1055" w:type="dxa"/>
            <w:vAlign w:val="top"/>
          </w:tcPr>
          <w:p>
            <w:pPr>
              <w:spacing w:line="440" w:lineRule="exact"/>
              <w:jc w:val="center"/>
              <w:rPr>
                <w:szCs w:val="21"/>
              </w:rPr>
            </w:pPr>
          </w:p>
        </w:tc>
        <w:tc>
          <w:tcPr>
            <w:tcW w:w="691" w:type="dxa"/>
            <w:vAlign w:val="top"/>
          </w:tcPr>
          <w:p>
            <w:pPr>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65" w:type="dxa"/>
            <w:vAlign w:val="top"/>
          </w:tcPr>
          <w:p>
            <w:pPr>
              <w:spacing w:line="440" w:lineRule="exact"/>
              <w:jc w:val="center"/>
              <w:rPr>
                <w:szCs w:val="21"/>
              </w:rPr>
            </w:pPr>
          </w:p>
        </w:tc>
        <w:tc>
          <w:tcPr>
            <w:tcW w:w="1086" w:type="dxa"/>
            <w:vAlign w:val="top"/>
          </w:tcPr>
          <w:p>
            <w:pPr>
              <w:spacing w:line="440" w:lineRule="exact"/>
              <w:jc w:val="center"/>
              <w:rPr>
                <w:szCs w:val="21"/>
              </w:rPr>
            </w:pPr>
          </w:p>
        </w:tc>
        <w:tc>
          <w:tcPr>
            <w:tcW w:w="761" w:type="dxa"/>
            <w:vAlign w:val="top"/>
          </w:tcPr>
          <w:p>
            <w:pPr>
              <w:spacing w:line="440" w:lineRule="exact"/>
              <w:jc w:val="center"/>
              <w:rPr>
                <w:szCs w:val="21"/>
              </w:rPr>
            </w:pPr>
          </w:p>
        </w:tc>
        <w:tc>
          <w:tcPr>
            <w:tcW w:w="990" w:type="dxa"/>
            <w:vAlign w:val="top"/>
          </w:tcPr>
          <w:p>
            <w:pPr>
              <w:spacing w:line="440" w:lineRule="exact"/>
              <w:jc w:val="center"/>
              <w:rPr>
                <w:szCs w:val="21"/>
              </w:rPr>
            </w:pPr>
          </w:p>
        </w:tc>
        <w:tc>
          <w:tcPr>
            <w:tcW w:w="672" w:type="dxa"/>
            <w:vAlign w:val="top"/>
          </w:tcPr>
          <w:p>
            <w:pPr>
              <w:spacing w:line="440" w:lineRule="exact"/>
              <w:jc w:val="center"/>
              <w:rPr>
                <w:szCs w:val="21"/>
              </w:rPr>
            </w:pPr>
          </w:p>
        </w:tc>
        <w:tc>
          <w:tcPr>
            <w:tcW w:w="738" w:type="dxa"/>
            <w:vAlign w:val="top"/>
          </w:tcPr>
          <w:p>
            <w:pPr>
              <w:spacing w:line="440" w:lineRule="exact"/>
              <w:jc w:val="center"/>
              <w:rPr>
                <w:szCs w:val="21"/>
              </w:rPr>
            </w:pPr>
          </w:p>
        </w:tc>
        <w:tc>
          <w:tcPr>
            <w:tcW w:w="1212" w:type="dxa"/>
            <w:vAlign w:val="top"/>
          </w:tcPr>
          <w:p>
            <w:pPr>
              <w:spacing w:line="440" w:lineRule="exact"/>
              <w:jc w:val="center"/>
              <w:rPr>
                <w:szCs w:val="21"/>
              </w:rPr>
            </w:pPr>
          </w:p>
        </w:tc>
        <w:tc>
          <w:tcPr>
            <w:tcW w:w="874" w:type="dxa"/>
            <w:vAlign w:val="top"/>
          </w:tcPr>
          <w:p>
            <w:pPr>
              <w:spacing w:line="440" w:lineRule="exact"/>
              <w:jc w:val="center"/>
              <w:rPr>
                <w:szCs w:val="21"/>
              </w:rPr>
            </w:pPr>
          </w:p>
        </w:tc>
        <w:tc>
          <w:tcPr>
            <w:tcW w:w="1055" w:type="dxa"/>
            <w:vAlign w:val="top"/>
          </w:tcPr>
          <w:p>
            <w:pPr>
              <w:spacing w:line="440" w:lineRule="exact"/>
              <w:jc w:val="center"/>
              <w:rPr>
                <w:szCs w:val="21"/>
              </w:rPr>
            </w:pPr>
          </w:p>
        </w:tc>
        <w:tc>
          <w:tcPr>
            <w:tcW w:w="691" w:type="dxa"/>
            <w:vAlign w:val="top"/>
          </w:tcPr>
          <w:p>
            <w:pPr>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65" w:type="dxa"/>
            <w:vAlign w:val="top"/>
          </w:tcPr>
          <w:p>
            <w:pPr>
              <w:spacing w:line="440" w:lineRule="exact"/>
              <w:jc w:val="center"/>
              <w:rPr>
                <w:szCs w:val="21"/>
              </w:rPr>
            </w:pPr>
          </w:p>
        </w:tc>
        <w:tc>
          <w:tcPr>
            <w:tcW w:w="1086" w:type="dxa"/>
            <w:vAlign w:val="top"/>
          </w:tcPr>
          <w:p>
            <w:pPr>
              <w:spacing w:line="440" w:lineRule="exact"/>
              <w:jc w:val="center"/>
              <w:rPr>
                <w:szCs w:val="21"/>
              </w:rPr>
            </w:pPr>
          </w:p>
        </w:tc>
        <w:tc>
          <w:tcPr>
            <w:tcW w:w="761" w:type="dxa"/>
            <w:vAlign w:val="top"/>
          </w:tcPr>
          <w:p>
            <w:pPr>
              <w:spacing w:line="440" w:lineRule="exact"/>
              <w:jc w:val="center"/>
              <w:rPr>
                <w:szCs w:val="21"/>
              </w:rPr>
            </w:pPr>
          </w:p>
        </w:tc>
        <w:tc>
          <w:tcPr>
            <w:tcW w:w="990" w:type="dxa"/>
            <w:vAlign w:val="top"/>
          </w:tcPr>
          <w:p>
            <w:pPr>
              <w:spacing w:line="440" w:lineRule="exact"/>
              <w:jc w:val="center"/>
              <w:rPr>
                <w:szCs w:val="21"/>
              </w:rPr>
            </w:pPr>
          </w:p>
        </w:tc>
        <w:tc>
          <w:tcPr>
            <w:tcW w:w="672" w:type="dxa"/>
            <w:vAlign w:val="top"/>
          </w:tcPr>
          <w:p>
            <w:pPr>
              <w:spacing w:line="440" w:lineRule="exact"/>
              <w:jc w:val="center"/>
              <w:rPr>
                <w:szCs w:val="21"/>
              </w:rPr>
            </w:pPr>
          </w:p>
        </w:tc>
        <w:tc>
          <w:tcPr>
            <w:tcW w:w="738" w:type="dxa"/>
            <w:vAlign w:val="top"/>
          </w:tcPr>
          <w:p>
            <w:pPr>
              <w:spacing w:line="440" w:lineRule="exact"/>
              <w:jc w:val="center"/>
              <w:rPr>
                <w:szCs w:val="21"/>
              </w:rPr>
            </w:pPr>
          </w:p>
        </w:tc>
        <w:tc>
          <w:tcPr>
            <w:tcW w:w="1212" w:type="dxa"/>
            <w:vAlign w:val="top"/>
          </w:tcPr>
          <w:p>
            <w:pPr>
              <w:spacing w:line="440" w:lineRule="exact"/>
              <w:jc w:val="center"/>
              <w:rPr>
                <w:szCs w:val="21"/>
              </w:rPr>
            </w:pPr>
          </w:p>
        </w:tc>
        <w:tc>
          <w:tcPr>
            <w:tcW w:w="874" w:type="dxa"/>
            <w:vAlign w:val="top"/>
          </w:tcPr>
          <w:p>
            <w:pPr>
              <w:spacing w:line="440" w:lineRule="exact"/>
              <w:jc w:val="center"/>
              <w:rPr>
                <w:szCs w:val="21"/>
              </w:rPr>
            </w:pPr>
          </w:p>
        </w:tc>
        <w:tc>
          <w:tcPr>
            <w:tcW w:w="1055" w:type="dxa"/>
            <w:vAlign w:val="top"/>
          </w:tcPr>
          <w:p>
            <w:pPr>
              <w:spacing w:line="440" w:lineRule="exact"/>
              <w:jc w:val="center"/>
              <w:rPr>
                <w:szCs w:val="21"/>
              </w:rPr>
            </w:pPr>
          </w:p>
        </w:tc>
        <w:tc>
          <w:tcPr>
            <w:tcW w:w="691" w:type="dxa"/>
            <w:vAlign w:val="top"/>
          </w:tcPr>
          <w:p>
            <w:pPr>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65" w:type="dxa"/>
            <w:vAlign w:val="top"/>
          </w:tcPr>
          <w:p>
            <w:pPr>
              <w:spacing w:line="440" w:lineRule="exact"/>
              <w:jc w:val="center"/>
              <w:rPr>
                <w:szCs w:val="21"/>
              </w:rPr>
            </w:pPr>
          </w:p>
        </w:tc>
        <w:tc>
          <w:tcPr>
            <w:tcW w:w="1086" w:type="dxa"/>
            <w:vAlign w:val="top"/>
          </w:tcPr>
          <w:p>
            <w:pPr>
              <w:spacing w:line="440" w:lineRule="exact"/>
              <w:jc w:val="center"/>
              <w:rPr>
                <w:szCs w:val="21"/>
              </w:rPr>
            </w:pPr>
          </w:p>
        </w:tc>
        <w:tc>
          <w:tcPr>
            <w:tcW w:w="761" w:type="dxa"/>
            <w:vAlign w:val="top"/>
          </w:tcPr>
          <w:p>
            <w:pPr>
              <w:spacing w:line="440" w:lineRule="exact"/>
              <w:jc w:val="center"/>
              <w:rPr>
                <w:szCs w:val="21"/>
              </w:rPr>
            </w:pPr>
          </w:p>
        </w:tc>
        <w:tc>
          <w:tcPr>
            <w:tcW w:w="990" w:type="dxa"/>
            <w:vAlign w:val="top"/>
          </w:tcPr>
          <w:p>
            <w:pPr>
              <w:spacing w:line="440" w:lineRule="exact"/>
              <w:jc w:val="center"/>
              <w:rPr>
                <w:szCs w:val="21"/>
              </w:rPr>
            </w:pPr>
          </w:p>
        </w:tc>
        <w:tc>
          <w:tcPr>
            <w:tcW w:w="672" w:type="dxa"/>
            <w:vAlign w:val="top"/>
          </w:tcPr>
          <w:p>
            <w:pPr>
              <w:spacing w:line="440" w:lineRule="exact"/>
              <w:jc w:val="center"/>
              <w:rPr>
                <w:szCs w:val="21"/>
              </w:rPr>
            </w:pPr>
          </w:p>
        </w:tc>
        <w:tc>
          <w:tcPr>
            <w:tcW w:w="738" w:type="dxa"/>
            <w:vAlign w:val="top"/>
          </w:tcPr>
          <w:p>
            <w:pPr>
              <w:spacing w:line="440" w:lineRule="exact"/>
              <w:jc w:val="center"/>
              <w:rPr>
                <w:szCs w:val="21"/>
              </w:rPr>
            </w:pPr>
          </w:p>
        </w:tc>
        <w:tc>
          <w:tcPr>
            <w:tcW w:w="1212" w:type="dxa"/>
            <w:vAlign w:val="top"/>
          </w:tcPr>
          <w:p>
            <w:pPr>
              <w:spacing w:line="440" w:lineRule="exact"/>
              <w:jc w:val="center"/>
              <w:rPr>
                <w:szCs w:val="21"/>
              </w:rPr>
            </w:pPr>
          </w:p>
        </w:tc>
        <w:tc>
          <w:tcPr>
            <w:tcW w:w="874" w:type="dxa"/>
            <w:vAlign w:val="top"/>
          </w:tcPr>
          <w:p>
            <w:pPr>
              <w:spacing w:line="440" w:lineRule="exact"/>
              <w:jc w:val="center"/>
              <w:rPr>
                <w:szCs w:val="21"/>
              </w:rPr>
            </w:pPr>
          </w:p>
        </w:tc>
        <w:tc>
          <w:tcPr>
            <w:tcW w:w="1055" w:type="dxa"/>
            <w:vAlign w:val="top"/>
          </w:tcPr>
          <w:p>
            <w:pPr>
              <w:spacing w:line="440" w:lineRule="exact"/>
              <w:jc w:val="center"/>
              <w:rPr>
                <w:szCs w:val="21"/>
              </w:rPr>
            </w:pPr>
          </w:p>
        </w:tc>
        <w:tc>
          <w:tcPr>
            <w:tcW w:w="691" w:type="dxa"/>
            <w:vAlign w:val="top"/>
          </w:tcPr>
          <w:p>
            <w:pPr>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65" w:type="dxa"/>
            <w:vAlign w:val="top"/>
          </w:tcPr>
          <w:p>
            <w:pPr>
              <w:spacing w:line="440" w:lineRule="exact"/>
              <w:jc w:val="center"/>
              <w:rPr>
                <w:szCs w:val="21"/>
              </w:rPr>
            </w:pPr>
          </w:p>
        </w:tc>
        <w:tc>
          <w:tcPr>
            <w:tcW w:w="1086" w:type="dxa"/>
            <w:vAlign w:val="top"/>
          </w:tcPr>
          <w:p>
            <w:pPr>
              <w:spacing w:line="440" w:lineRule="exact"/>
              <w:jc w:val="center"/>
              <w:rPr>
                <w:szCs w:val="21"/>
              </w:rPr>
            </w:pPr>
          </w:p>
        </w:tc>
        <w:tc>
          <w:tcPr>
            <w:tcW w:w="761" w:type="dxa"/>
            <w:vAlign w:val="top"/>
          </w:tcPr>
          <w:p>
            <w:pPr>
              <w:spacing w:line="440" w:lineRule="exact"/>
              <w:jc w:val="center"/>
              <w:rPr>
                <w:szCs w:val="21"/>
              </w:rPr>
            </w:pPr>
          </w:p>
        </w:tc>
        <w:tc>
          <w:tcPr>
            <w:tcW w:w="990" w:type="dxa"/>
            <w:vAlign w:val="top"/>
          </w:tcPr>
          <w:p>
            <w:pPr>
              <w:spacing w:line="440" w:lineRule="exact"/>
              <w:jc w:val="center"/>
              <w:rPr>
                <w:szCs w:val="21"/>
              </w:rPr>
            </w:pPr>
          </w:p>
        </w:tc>
        <w:tc>
          <w:tcPr>
            <w:tcW w:w="672" w:type="dxa"/>
            <w:vAlign w:val="top"/>
          </w:tcPr>
          <w:p>
            <w:pPr>
              <w:spacing w:line="440" w:lineRule="exact"/>
              <w:jc w:val="center"/>
              <w:rPr>
                <w:szCs w:val="21"/>
              </w:rPr>
            </w:pPr>
          </w:p>
        </w:tc>
        <w:tc>
          <w:tcPr>
            <w:tcW w:w="738" w:type="dxa"/>
            <w:vAlign w:val="top"/>
          </w:tcPr>
          <w:p>
            <w:pPr>
              <w:spacing w:line="440" w:lineRule="exact"/>
              <w:jc w:val="center"/>
              <w:rPr>
                <w:szCs w:val="21"/>
              </w:rPr>
            </w:pPr>
          </w:p>
        </w:tc>
        <w:tc>
          <w:tcPr>
            <w:tcW w:w="1212" w:type="dxa"/>
            <w:vAlign w:val="top"/>
          </w:tcPr>
          <w:p>
            <w:pPr>
              <w:spacing w:line="440" w:lineRule="exact"/>
              <w:jc w:val="center"/>
              <w:rPr>
                <w:szCs w:val="21"/>
              </w:rPr>
            </w:pPr>
          </w:p>
        </w:tc>
        <w:tc>
          <w:tcPr>
            <w:tcW w:w="874" w:type="dxa"/>
            <w:vAlign w:val="top"/>
          </w:tcPr>
          <w:p>
            <w:pPr>
              <w:spacing w:line="440" w:lineRule="exact"/>
              <w:jc w:val="center"/>
              <w:rPr>
                <w:szCs w:val="21"/>
              </w:rPr>
            </w:pPr>
          </w:p>
        </w:tc>
        <w:tc>
          <w:tcPr>
            <w:tcW w:w="1055" w:type="dxa"/>
            <w:vAlign w:val="top"/>
          </w:tcPr>
          <w:p>
            <w:pPr>
              <w:spacing w:line="440" w:lineRule="exact"/>
              <w:jc w:val="center"/>
              <w:rPr>
                <w:szCs w:val="21"/>
              </w:rPr>
            </w:pPr>
          </w:p>
        </w:tc>
        <w:tc>
          <w:tcPr>
            <w:tcW w:w="691" w:type="dxa"/>
            <w:vAlign w:val="top"/>
          </w:tcPr>
          <w:p>
            <w:pPr>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65" w:type="dxa"/>
            <w:vAlign w:val="top"/>
          </w:tcPr>
          <w:p>
            <w:pPr>
              <w:spacing w:line="440" w:lineRule="exact"/>
              <w:jc w:val="center"/>
              <w:rPr>
                <w:szCs w:val="21"/>
              </w:rPr>
            </w:pPr>
          </w:p>
        </w:tc>
        <w:tc>
          <w:tcPr>
            <w:tcW w:w="1086" w:type="dxa"/>
            <w:vAlign w:val="top"/>
          </w:tcPr>
          <w:p>
            <w:pPr>
              <w:spacing w:line="440" w:lineRule="exact"/>
              <w:jc w:val="center"/>
              <w:rPr>
                <w:szCs w:val="21"/>
              </w:rPr>
            </w:pPr>
          </w:p>
        </w:tc>
        <w:tc>
          <w:tcPr>
            <w:tcW w:w="761" w:type="dxa"/>
            <w:vAlign w:val="top"/>
          </w:tcPr>
          <w:p>
            <w:pPr>
              <w:spacing w:line="440" w:lineRule="exact"/>
              <w:jc w:val="center"/>
              <w:rPr>
                <w:szCs w:val="21"/>
              </w:rPr>
            </w:pPr>
          </w:p>
        </w:tc>
        <w:tc>
          <w:tcPr>
            <w:tcW w:w="990" w:type="dxa"/>
            <w:vAlign w:val="top"/>
          </w:tcPr>
          <w:p>
            <w:pPr>
              <w:spacing w:line="440" w:lineRule="exact"/>
              <w:jc w:val="center"/>
              <w:rPr>
                <w:szCs w:val="21"/>
              </w:rPr>
            </w:pPr>
          </w:p>
        </w:tc>
        <w:tc>
          <w:tcPr>
            <w:tcW w:w="672" w:type="dxa"/>
            <w:vAlign w:val="top"/>
          </w:tcPr>
          <w:p>
            <w:pPr>
              <w:spacing w:line="440" w:lineRule="exact"/>
              <w:jc w:val="center"/>
              <w:rPr>
                <w:szCs w:val="21"/>
              </w:rPr>
            </w:pPr>
          </w:p>
        </w:tc>
        <w:tc>
          <w:tcPr>
            <w:tcW w:w="738" w:type="dxa"/>
            <w:vAlign w:val="top"/>
          </w:tcPr>
          <w:p>
            <w:pPr>
              <w:spacing w:line="440" w:lineRule="exact"/>
              <w:jc w:val="center"/>
              <w:rPr>
                <w:szCs w:val="21"/>
              </w:rPr>
            </w:pPr>
          </w:p>
        </w:tc>
        <w:tc>
          <w:tcPr>
            <w:tcW w:w="1212" w:type="dxa"/>
            <w:vAlign w:val="top"/>
          </w:tcPr>
          <w:p>
            <w:pPr>
              <w:spacing w:line="440" w:lineRule="exact"/>
              <w:jc w:val="center"/>
              <w:rPr>
                <w:szCs w:val="21"/>
              </w:rPr>
            </w:pPr>
          </w:p>
        </w:tc>
        <w:tc>
          <w:tcPr>
            <w:tcW w:w="874" w:type="dxa"/>
            <w:vAlign w:val="top"/>
          </w:tcPr>
          <w:p>
            <w:pPr>
              <w:spacing w:line="440" w:lineRule="exact"/>
              <w:jc w:val="center"/>
              <w:rPr>
                <w:szCs w:val="21"/>
              </w:rPr>
            </w:pPr>
          </w:p>
        </w:tc>
        <w:tc>
          <w:tcPr>
            <w:tcW w:w="1055" w:type="dxa"/>
            <w:vAlign w:val="top"/>
          </w:tcPr>
          <w:p>
            <w:pPr>
              <w:spacing w:line="440" w:lineRule="exact"/>
              <w:jc w:val="center"/>
              <w:rPr>
                <w:szCs w:val="21"/>
              </w:rPr>
            </w:pPr>
          </w:p>
        </w:tc>
        <w:tc>
          <w:tcPr>
            <w:tcW w:w="691" w:type="dxa"/>
            <w:vAlign w:val="top"/>
          </w:tcPr>
          <w:p>
            <w:pPr>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65" w:type="dxa"/>
            <w:vAlign w:val="top"/>
          </w:tcPr>
          <w:p>
            <w:pPr>
              <w:spacing w:line="440" w:lineRule="exact"/>
              <w:jc w:val="center"/>
              <w:rPr>
                <w:szCs w:val="21"/>
              </w:rPr>
            </w:pPr>
          </w:p>
        </w:tc>
        <w:tc>
          <w:tcPr>
            <w:tcW w:w="1086" w:type="dxa"/>
            <w:vAlign w:val="top"/>
          </w:tcPr>
          <w:p>
            <w:pPr>
              <w:spacing w:line="440" w:lineRule="exact"/>
              <w:jc w:val="center"/>
              <w:rPr>
                <w:szCs w:val="21"/>
              </w:rPr>
            </w:pPr>
          </w:p>
        </w:tc>
        <w:tc>
          <w:tcPr>
            <w:tcW w:w="761" w:type="dxa"/>
            <w:vAlign w:val="top"/>
          </w:tcPr>
          <w:p>
            <w:pPr>
              <w:spacing w:line="440" w:lineRule="exact"/>
              <w:jc w:val="center"/>
              <w:rPr>
                <w:szCs w:val="21"/>
              </w:rPr>
            </w:pPr>
          </w:p>
        </w:tc>
        <w:tc>
          <w:tcPr>
            <w:tcW w:w="990" w:type="dxa"/>
            <w:vAlign w:val="top"/>
          </w:tcPr>
          <w:p>
            <w:pPr>
              <w:spacing w:line="440" w:lineRule="exact"/>
              <w:jc w:val="center"/>
              <w:rPr>
                <w:szCs w:val="21"/>
              </w:rPr>
            </w:pPr>
          </w:p>
        </w:tc>
        <w:tc>
          <w:tcPr>
            <w:tcW w:w="672" w:type="dxa"/>
            <w:vAlign w:val="top"/>
          </w:tcPr>
          <w:p>
            <w:pPr>
              <w:spacing w:line="440" w:lineRule="exact"/>
              <w:jc w:val="center"/>
              <w:rPr>
                <w:szCs w:val="21"/>
              </w:rPr>
            </w:pPr>
          </w:p>
        </w:tc>
        <w:tc>
          <w:tcPr>
            <w:tcW w:w="738" w:type="dxa"/>
            <w:vAlign w:val="top"/>
          </w:tcPr>
          <w:p>
            <w:pPr>
              <w:spacing w:line="440" w:lineRule="exact"/>
              <w:jc w:val="center"/>
              <w:rPr>
                <w:szCs w:val="21"/>
              </w:rPr>
            </w:pPr>
          </w:p>
        </w:tc>
        <w:tc>
          <w:tcPr>
            <w:tcW w:w="1212" w:type="dxa"/>
            <w:vAlign w:val="top"/>
          </w:tcPr>
          <w:p>
            <w:pPr>
              <w:spacing w:line="440" w:lineRule="exact"/>
              <w:jc w:val="center"/>
              <w:rPr>
                <w:szCs w:val="21"/>
              </w:rPr>
            </w:pPr>
          </w:p>
        </w:tc>
        <w:tc>
          <w:tcPr>
            <w:tcW w:w="874" w:type="dxa"/>
            <w:vAlign w:val="top"/>
          </w:tcPr>
          <w:p>
            <w:pPr>
              <w:spacing w:line="440" w:lineRule="exact"/>
              <w:jc w:val="center"/>
              <w:rPr>
                <w:szCs w:val="21"/>
              </w:rPr>
            </w:pPr>
          </w:p>
        </w:tc>
        <w:tc>
          <w:tcPr>
            <w:tcW w:w="1055" w:type="dxa"/>
            <w:vAlign w:val="top"/>
          </w:tcPr>
          <w:p>
            <w:pPr>
              <w:spacing w:line="440" w:lineRule="exact"/>
              <w:jc w:val="center"/>
              <w:rPr>
                <w:szCs w:val="21"/>
              </w:rPr>
            </w:pPr>
          </w:p>
        </w:tc>
        <w:tc>
          <w:tcPr>
            <w:tcW w:w="691" w:type="dxa"/>
            <w:vAlign w:val="top"/>
          </w:tcPr>
          <w:p>
            <w:pPr>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65" w:type="dxa"/>
            <w:vAlign w:val="top"/>
          </w:tcPr>
          <w:p>
            <w:pPr>
              <w:spacing w:line="440" w:lineRule="exact"/>
              <w:jc w:val="center"/>
              <w:rPr>
                <w:szCs w:val="21"/>
              </w:rPr>
            </w:pPr>
          </w:p>
        </w:tc>
        <w:tc>
          <w:tcPr>
            <w:tcW w:w="1086" w:type="dxa"/>
            <w:vAlign w:val="top"/>
          </w:tcPr>
          <w:p>
            <w:pPr>
              <w:spacing w:line="440" w:lineRule="exact"/>
              <w:jc w:val="center"/>
              <w:rPr>
                <w:szCs w:val="21"/>
              </w:rPr>
            </w:pPr>
          </w:p>
        </w:tc>
        <w:tc>
          <w:tcPr>
            <w:tcW w:w="761" w:type="dxa"/>
            <w:vAlign w:val="top"/>
          </w:tcPr>
          <w:p>
            <w:pPr>
              <w:spacing w:line="440" w:lineRule="exact"/>
              <w:jc w:val="center"/>
              <w:rPr>
                <w:szCs w:val="21"/>
              </w:rPr>
            </w:pPr>
          </w:p>
        </w:tc>
        <w:tc>
          <w:tcPr>
            <w:tcW w:w="990" w:type="dxa"/>
            <w:vAlign w:val="top"/>
          </w:tcPr>
          <w:p>
            <w:pPr>
              <w:spacing w:line="440" w:lineRule="exact"/>
              <w:jc w:val="center"/>
              <w:rPr>
                <w:szCs w:val="21"/>
              </w:rPr>
            </w:pPr>
          </w:p>
        </w:tc>
        <w:tc>
          <w:tcPr>
            <w:tcW w:w="672" w:type="dxa"/>
            <w:vAlign w:val="top"/>
          </w:tcPr>
          <w:p>
            <w:pPr>
              <w:spacing w:line="440" w:lineRule="exact"/>
              <w:jc w:val="center"/>
              <w:rPr>
                <w:szCs w:val="21"/>
              </w:rPr>
            </w:pPr>
          </w:p>
        </w:tc>
        <w:tc>
          <w:tcPr>
            <w:tcW w:w="738" w:type="dxa"/>
            <w:vAlign w:val="top"/>
          </w:tcPr>
          <w:p>
            <w:pPr>
              <w:spacing w:line="440" w:lineRule="exact"/>
              <w:jc w:val="center"/>
              <w:rPr>
                <w:szCs w:val="21"/>
              </w:rPr>
            </w:pPr>
          </w:p>
        </w:tc>
        <w:tc>
          <w:tcPr>
            <w:tcW w:w="1212" w:type="dxa"/>
            <w:vAlign w:val="top"/>
          </w:tcPr>
          <w:p>
            <w:pPr>
              <w:spacing w:line="440" w:lineRule="exact"/>
              <w:jc w:val="center"/>
              <w:rPr>
                <w:szCs w:val="21"/>
              </w:rPr>
            </w:pPr>
          </w:p>
        </w:tc>
        <w:tc>
          <w:tcPr>
            <w:tcW w:w="874" w:type="dxa"/>
            <w:vAlign w:val="top"/>
          </w:tcPr>
          <w:p>
            <w:pPr>
              <w:spacing w:line="440" w:lineRule="exact"/>
              <w:jc w:val="center"/>
              <w:rPr>
                <w:szCs w:val="21"/>
              </w:rPr>
            </w:pPr>
          </w:p>
        </w:tc>
        <w:tc>
          <w:tcPr>
            <w:tcW w:w="1055" w:type="dxa"/>
            <w:vAlign w:val="top"/>
          </w:tcPr>
          <w:p>
            <w:pPr>
              <w:spacing w:line="440" w:lineRule="exact"/>
              <w:jc w:val="center"/>
              <w:rPr>
                <w:szCs w:val="21"/>
              </w:rPr>
            </w:pPr>
          </w:p>
        </w:tc>
        <w:tc>
          <w:tcPr>
            <w:tcW w:w="691" w:type="dxa"/>
            <w:vAlign w:val="top"/>
          </w:tcPr>
          <w:p>
            <w:pPr>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65" w:type="dxa"/>
            <w:vAlign w:val="top"/>
          </w:tcPr>
          <w:p>
            <w:pPr>
              <w:spacing w:line="440" w:lineRule="exact"/>
              <w:jc w:val="center"/>
              <w:rPr>
                <w:szCs w:val="21"/>
              </w:rPr>
            </w:pPr>
          </w:p>
        </w:tc>
        <w:tc>
          <w:tcPr>
            <w:tcW w:w="1086" w:type="dxa"/>
            <w:vAlign w:val="top"/>
          </w:tcPr>
          <w:p>
            <w:pPr>
              <w:spacing w:line="440" w:lineRule="exact"/>
              <w:jc w:val="center"/>
              <w:rPr>
                <w:szCs w:val="21"/>
              </w:rPr>
            </w:pPr>
          </w:p>
        </w:tc>
        <w:tc>
          <w:tcPr>
            <w:tcW w:w="761" w:type="dxa"/>
            <w:vAlign w:val="top"/>
          </w:tcPr>
          <w:p>
            <w:pPr>
              <w:spacing w:line="440" w:lineRule="exact"/>
              <w:jc w:val="center"/>
              <w:rPr>
                <w:szCs w:val="21"/>
              </w:rPr>
            </w:pPr>
          </w:p>
        </w:tc>
        <w:tc>
          <w:tcPr>
            <w:tcW w:w="990" w:type="dxa"/>
            <w:vAlign w:val="top"/>
          </w:tcPr>
          <w:p>
            <w:pPr>
              <w:spacing w:line="440" w:lineRule="exact"/>
              <w:jc w:val="center"/>
              <w:rPr>
                <w:szCs w:val="21"/>
              </w:rPr>
            </w:pPr>
          </w:p>
        </w:tc>
        <w:tc>
          <w:tcPr>
            <w:tcW w:w="672" w:type="dxa"/>
            <w:vAlign w:val="top"/>
          </w:tcPr>
          <w:p>
            <w:pPr>
              <w:spacing w:line="440" w:lineRule="exact"/>
              <w:jc w:val="center"/>
              <w:rPr>
                <w:szCs w:val="21"/>
              </w:rPr>
            </w:pPr>
          </w:p>
        </w:tc>
        <w:tc>
          <w:tcPr>
            <w:tcW w:w="738" w:type="dxa"/>
            <w:vAlign w:val="top"/>
          </w:tcPr>
          <w:p>
            <w:pPr>
              <w:spacing w:line="440" w:lineRule="exact"/>
              <w:jc w:val="center"/>
              <w:rPr>
                <w:szCs w:val="21"/>
              </w:rPr>
            </w:pPr>
          </w:p>
        </w:tc>
        <w:tc>
          <w:tcPr>
            <w:tcW w:w="1212" w:type="dxa"/>
            <w:vAlign w:val="top"/>
          </w:tcPr>
          <w:p>
            <w:pPr>
              <w:spacing w:line="440" w:lineRule="exact"/>
              <w:jc w:val="center"/>
              <w:rPr>
                <w:szCs w:val="21"/>
              </w:rPr>
            </w:pPr>
          </w:p>
        </w:tc>
        <w:tc>
          <w:tcPr>
            <w:tcW w:w="874" w:type="dxa"/>
            <w:vAlign w:val="top"/>
          </w:tcPr>
          <w:p>
            <w:pPr>
              <w:spacing w:line="440" w:lineRule="exact"/>
              <w:jc w:val="center"/>
              <w:rPr>
                <w:szCs w:val="21"/>
              </w:rPr>
            </w:pPr>
          </w:p>
        </w:tc>
        <w:tc>
          <w:tcPr>
            <w:tcW w:w="1055" w:type="dxa"/>
            <w:vAlign w:val="top"/>
          </w:tcPr>
          <w:p>
            <w:pPr>
              <w:spacing w:line="440" w:lineRule="exact"/>
              <w:jc w:val="center"/>
              <w:rPr>
                <w:szCs w:val="21"/>
              </w:rPr>
            </w:pPr>
          </w:p>
        </w:tc>
        <w:tc>
          <w:tcPr>
            <w:tcW w:w="691" w:type="dxa"/>
            <w:vAlign w:val="top"/>
          </w:tcPr>
          <w:p>
            <w:pPr>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65" w:type="dxa"/>
            <w:vAlign w:val="top"/>
          </w:tcPr>
          <w:p>
            <w:pPr>
              <w:spacing w:line="440" w:lineRule="exact"/>
              <w:jc w:val="center"/>
              <w:rPr>
                <w:szCs w:val="21"/>
              </w:rPr>
            </w:pPr>
          </w:p>
        </w:tc>
        <w:tc>
          <w:tcPr>
            <w:tcW w:w="1086" w:type="dxa"/>
            <w:vAlign w:val="top"/>
          </w:tcPr>
          <w:p>
            <w:pPr>
              <w:spacing w:line="440" w:lineRule="exact"/>
              <w:jc w:val="center"/>
              <w:rPr>
                <w:szCs w:val="21"/>
              </w:rPr>
            </w:pPr>
          </w:p>
        </w:tc>
        <w:tc>
          <w:tcPr>
            <w:tcW w:w="761" w:type="dxa"/>
            <w:vAlign w:val="top"/>
          </w:tcPr>
          <w:p>
            <w:pPr>
              <w:spacing w:line="440" w:lineRule="exact"/>
              <w:jc w:val="center"/>
              <w:rPr>
                <w:szCs w:val="21"/>
              </w:rPr>
            </w:pPr>
          </w:p>
        </w:tc>
        <w:tc>
          <w:tcPr>
            <w:tcW w:w="990" w:type="dxa"/>
            <w:vAlign w:val="top"/>
          </w:tcPr>
          <w:p>
            <w:pPr>
              <w:spacing w:line="440" w:lineRule="exact"/>
              <w:jc w:val="center"/>
              <w:rPr>
                <w:szCs w:val="21"/>
              </w:rPr>
            </w:pPr>
          </w:p>
        </w:tc>
        <w:tc>
          <w:tcPr>
            <w:tcW w:w="672" w:type="dxa"/>
            <w:vAlign w:val="top"/>
          </w:tcPr>
          <w:p>
            <w:pPr>
              <w:spacing w:line="440" w:lineRule="exact"/>
              <w:jc w:val="center"/>
              <w:rPr>
                <w:szCs w:val="21"/>
              </w:rPr>
            </w:pPr>
          </w:p>
        </w:tc>
        <w:tc>
          <w:tcPr>
            <w:tcW w:w="738" w:type="dxa"/>
            <w:vAlign w:val="top"/>
          </w:tcPr>
          <w:p>
            <w:pPr>
              <w:spacing w:line="440" w:lineRule="exact"/>
              <w:jc w:val="center"/>
              <w:rPr>
                <w:szCs w:val="21"/>
              </w:rPr>
            </w:pPr>
          </w:p>
        </w:tc>
        <w:tc>
          <w:tcPr>
            <w:tcW w:w="1212" w:type="dxa"/>
            <w:vAlign w:val="top"/>
          </w:tcPr>
          <w:p>
            <w:pPr>
              <w:spacing w:line="440" w:lineRule="exact"/>
              <w:jc w:val="center"/>
              <w:rPr>
                <w:szCs w:val="21"/>
              </w:rPr>
            </w:pPr>
          </w:p>
        </w:tc>
        <w:tc>
          <w:tcPr>
            <w:tcW w:w="874" w:type="dxa"/>
            <w:vAlign w:val="top"/>
          </w:tcPr>
          <w:p>
            <w:pPr>
              <w:spacing w:line="440" w:lineRule="exact"/>
              <w:jc w:val="center"/>
              <w:rPr>
                <w:szCs w:val="21"/>
              </w:rPr>
            </w:pPr>
          </w:p>
        </w:tc>
        <w:tc>
          <w:tcPr>
            <w:tcW w:w="1055" w:type="dxa"/>
            <w:vAlign w:val="top"/>
          </w:tcPr>
          <w:p>
            <w:pPr>
              <w:spacing w:line="440" w:lineRule="exact"/>
              <w:jc w:val="center"/>
              <w:rPr>
                <w:szCs w:val="21"/>
              </w:rPr>
            </w:pPr>
          </w:p>
        </w:tc>
        <w:tc>
          <w:tcPr>
            <w:tcW w:w="691" w:type="dxa"/>
            <w:vAlign w:val="top"/>
          </w:tcPr>
          <w:p>
            <w:pPr>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65" w:type="dxa"/>
            <w:vAlign w:val="top"/>
          </w:tcPr>
          <w:p>
            <w:pPr>
              <w:spacing w:line="440" w:lineRule="exact"/>
              <w:jc w:val="center"/>
              <w:rPr>
                <w:szCs w:val="21"/>
              </w:rPr>
            </w:pPr>
          </w:p>
        </w:tc>
        <w:tc>
          <w:tcPr>
            <w:tcW w:w="1086" w:type="dxa"/>
            <w:vAlign w:val="top"/>
          </w:tcPr>
          <w:p>
            <w:pPr>
              <w:spacing w:line="440" w:lineRule="exact"/>
              <w:jc w:val="center"/>
              <w:rPr>
                <w:szCs w:val="21"/>
              </w:rPr>
            </w:pPr>
          </w:p>
        </w:tc>
        <w:tc>
          <w:tcPr>
            <w:tcW w:w="761" w:type="dxa"/>
            <w:vAlign w:val="top"/>
          </w:tcPr>
          <w:p>
            <w:pPr>
              <w:spacing w:line="440" w:lineRule="exact"/>
              <w:jc w:val="center"/>
              <w:rPr>
                <w:szCs w:val="21"/>
              </w:rPr>
            </w:pPr>
          </w:p>
        </w:tc>
        <w:tc>
          <w:tcPr>
            <w:tcW w:w="990" w:type="dxa"/>
            <w:vAlign w:val="top"/>
          </w:tcPr>
          <w:p>
            <w:pPr>
              <w:spacing w:line="440" w:lineRule="exact"/>
              <w:jc w:val="center"/>
              <w:rPr>
                <w:szCs w:val="21"/>
              </w:rPr>
            </w:pPr>
          </w:p>
        </w:tc>
        <w:tc>
          <w:tcPr>
            <w:tcW w:w="672" w:type="dxa"/>
            <w:vAlign w:val="top"/>
          </w:tcPr>
          <w:p>
            <w:pPr>
              <w:spacing w:line="440" w:lineRule="exact"/>
              <w:jc w:val="center"/>
              <w:rPr>
                <w:szCs w:val="21"/>
              </w:rPr>
            </w:pPr>
          </w:p>
        </w:tc>
        <w:tc>
          <w:tcPr>
            <w:tcW w:w="738" w:type="dxa"/>
            <w:vAlign w:val="top"/>
          </w:tcPr>
          <w:p>
            <w:pPr>
              <w:spacing w:line="440" w:lineRule="exact"/>
              <w:jc w:val="center"/>
              <w:rPr>
                <w:szCs w:val="21"/>
              </w:rPr>
            </w:pPr>
          </w:p>
        </w:tc>
        <w:tc>
          <w:tcPr>
            <w:tcW w:w="1212" w:type="dxa"/>
            <w:vAlign w:val="top"/>
          </w:tcPr>
          <w:p>
            <w:pPr>
              <w:spacing w:line="440" w:lineRule="exact"/>
              <w:jc w:val="center"/>
              <w:rPr>
                <w:szCs w:val="21"/>
              </w:rPr>
            </w:pPr>
          </w:p>
        </w:tc>
        <w:tc>
          <w:tcPr>
            <w:tcW w:w="874" w:type="dxa"/>
            <w:vAlign w:val="top"/>
          </w:tcPr>
          <w:p>
            <w:pPr>
              <w:spacing w:line="440" w:lineRule="exact"/>
              <w:jc w:val="center"/>
              <w:rPr>
                <w:szCs w:val="21"/>
              </w:rPr>
            </w:pPr>
          </w:p>
        </w:tc>
        <w:tc>
          <w:tcPr>
            <w:tcW w:w="1055" w:type="dxa"/>
            <w:vAlign w:val="top"/>
          </w:tcPr>
          <w:p>
            <w:pPr>
              <w:spacing w:line="440" w:lineRule="exact"/>
              <w:jc w:val="center"/>
              <w:rPr>
                <w:szCs w:val="21"/>
              </w:rPr>
            </w:pPr>
          </w:p>
        </w:tc>
        <w:tc>
          <w:tcPr>
            <w:tcW w:w="691" w:type="dxa"/>
            <w:vAlign w:val="top"/>
          </w:tcPr>
          <w:p>
            <w:pPr>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65" w:type="dxa"/>
            <w:vAlign w:val="top"/>
          </w:tcPr>
          <w:p>
            <w:pPr>
              <w:spacing w:line="440" w:lineRule="exact"/>
              <w:jc w:val="center"/>
              <w:rPr>
                <w:szCs w:val="21"/>
              </w:rPr>
            </w:pPr>
          </w:p>
        </w:tc>
        <w:tc>
          <w:tcPr>
            <w:tcW w:w="1086" w:type="dxa"/>
            <w:vAlign w:val="top"/>
          </w:tcPr>
          <w:p>
            <w:pPr>
              <w:spacing w:line="440" w:lineRule="exact"/>
              <w:jc w:val="center"/>
              <w:rPr>
                <w:szCs w:val="21"/>
              </w:rPr>
            </w:pPr>
          </w:p>
        </w:tc>
        <w:tc>
          <w:tcPr>
            <w:tcW w:w="761" w:type="dxa"/>
            <w:vAlign w:val="top"/>
          </w:tcPr>
          <w:p>
            <w:pPr>
              <w:spacing w:line="440" w:lineRule="exact"/>
              <w:jc w:val="center"/>
              <w:rPr>
                <w:szCs w:val="21"/>
              </w:rPr>
            </w:pPr>
          </w:p>
        </w:tc>
        <w:tc>
          <w:tcPr>
            <w:tcW w:w="990" w:type="dxa"/>
            <w:vAlign w:val="top"/>
          </w:tcPr>
          <w:p>
            <w:pPr>
              <w:spacing w:line="440" w:lineRule="exact"/>
              <w:jc w:val="center"/>
              <w:rPr>
                <w:szCs w:val="21"/>
              </w:rPr>
            </w:pPr>
          </w:p>
        </w:tc>
        <w:tc>
          <w:tcPr>
            <w:tcW w:w="672" w:type="dxa"/>
            <w:vAlign w:val="top"/>
          </w:tcPr>
          <w:p>
            <w:pPr>
              <w:spacing w:line="440" w:lineRule="exact"/>
              <w:jc w:val="center"/>
              <w:rPr>
                <w:szCs w:val="21"/>
              </w:rPr>
            </w:pPr>
          </w:p>
        </w:tc>
        <w:tc>
          <w:tcPr>
            <w:tcW w:w="738" w:type="dxa"/>
            <w:vAlign w:val="top"/>
          </w:tcPr>
          <w:p>
            <w:pPr>
              <w:spacing w:line="440" w:lineRule="exact"/>
              <w:jc w:val="center"/>
              <w:rPr>
                <w:szCs w:val="21"/>
              </w:rPr>
            </w:pPr>
          </w:p>
        </w:tc>
        <w:tc>
          <w:tcPr>
            <w:tcW w:w="1212" w:type="dxa"/>
            <w:vAlign w:val="top"/>
          </w:tcPr>
          <w:p>
            <w:pPr>
              <w:spacing w:line="440" w:lineRule="exact"/>
              <w:jc w:val="center"/>
              <w:rPr>
                <w:szCs w:val="21"/>
              </w:rPr>
            </w:pPr>
          </w:p>
        </w:tc>
        <w:tc>
          <w:tcPr>
            <w:tcW w:w="874" w:type="dxa"/>
            <w:vAlign w:val="top"/>
          </w:tcPr>
          <w:p>
            <w:pPr>
              <w:spacing w:line="440" w:lineRule="exact"/>
              <w:jc w:val="center"/>
              <w:rPr>
                <w:szCs w:val="21"/>
              </w:rPr>
            </w:pPr>
          </w:p>
        </w:tc>
        <w:tc>
          <w:tcPr>
            <w:tcW w:w="1055" w:type="dxa"/>
            <w:vAlign w:val="top"/>
          </w:tcPr>
          <w:p>
            <w:pPr>
              <w:spacing w:line="440" w:lineRule="exact"/>
              <w:jc w:val="center"/>
              <w:rPr>
                <w:szCs w:val="21"/>
              </w:rPr>
            </w:pPr>
          </w:p>
        </w:tc>
        <w:tc>
          <w:tcPr>
            <w:tcW w:w="691" w:type="dxa"/>
            <w:vAlign w:val="top"/>
          </w:tcPr>
          <w:p>
            <w:pPr>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65" w:type="dxa"/>
            <w:vAlign w:val="top"/>
          </w:tcPr>
          <w:p>
            <w:pPr>
              <w:spacing w:line="440" w:lineRule="exact"/>
              <w:jc w:val="center"/>
              <w:rPr>
                <w:szCs w:val="21"/>
              </w:rPr>
            </w:pPr>
          </w:p>
        </w:tc>
        <w:tc>
          <w:tcPr>
            <w:tcW w:w="1086" w:type="dxa"/>
            <w:vAlign w:val="top"/>
          </w:tcPr>
          <w:p>
            <w:pPr>
              <w:spacing w:line="440" w:lineRule="exact"/>
              <w:jc w:val="center"/>
              <w:rPr>
                <w:szCs w:val="21"/>
              </w:rPr>
            </w:pPr>
          </w:p>
        </w:tc>
        <w:tc>
          <w:tcPr>
            <w:tcW w:w="761" w:type="dxa"/>
            <w:vAlign w:val="top"/>
          </w:tcPr>
          <w:p>
            <w:pPr>
              <w:spacing w:line="440" w:lineRule="exact"/>
              <w:jc w:val="center"/>
              <w:rPr>
                <w:szCs w:val="21"/>
              </w:rPr>
            </w:pPr>
          </w:p>
        </w:tc>
        <w:tc>
          <w:tcPr>
            <w:tcW w:w="990" w:type="dxa"/>
            <w:vAlign w:val="top"/>
          </w:tcPr>
          <w:p>
            <w:pPr>
              <w:spacing w:line="440" w:lineRule="exact"/>
              <w:jc w:val="center"/>
              <w:rPr>
                <w:szCs w:val="21"/>
              </w:rPr>
            </w:pPr>
          </w:p>
        </w:tc>
        <w:tc>
          <w:tcPr>
            <w:tcW w:w="672" w:type="dxa"/>
            <w:vAlign w:val="top"/>
          </w:tcPr>
          <w:p>
            <w:pPr>
              <w:spacing w:line="440" w:lineRule="exact"/>
              <w:jc w:val="center"/>
              <w:rPr>
                <w:szCs w:val="21"/>
              </w:rPr>
            </w:pPr>
          </w:p>
        </w:tc>
        <w:tc>
          <w:tcPr>
            <w:tcW w:w="738" w:type="dxa"/>
            <w:vAlign w:val="top"/>
          </w:tcPr>
          <w:p>
            <w:pPr>
              <w:spacing w:line="440" w:lineRule="exact"/>
              <w:jc w:val="center"/>
              <w:rPr>
                <w:szCs w:val="21"/>
              </w:rPr>
            </w:pPr>
          </w:p>
        </w:tc>
        <w:tc>
          <w:tcPr>
            <w:tcW w:w="1212" w:type="dxa"/>
            <w:vAlign w:val="top"/>
          </w:tcPr>
          <w:p>
            <w:pPr>
              <w:spacing w:line="440" w:lineRule="exact"/>
              <w:jc w:val="center"/>
              <w:rPr>
                <w:szCs w:val="21"/>
              </w:rPr>
            </w:pPr>
          </w:p>
        </w:tc>
        <w:tc>
          <w:tcPr>
            <w:tcW w:w="874" w:type="dxa"/>
            <w:vAlign w:val="top"/>
          </w:tcPr>
          <w:p>
            <w:pPr>
              <w:spacing w:line="440" w:lineRule="exact"/>
              <w:jc w:val="center"/>
              <w:rPr>
                <w:szCs w:val="21"/>
              </w:rPr>
            </w:pPr>
          </w:p>
        </w:tc>
        <w:tc>
          <w:tcPr>
            <w:tcW w:w="1055" w:type="dxa"/>
            <w:vAlign w:val="top"/>
          </w:tcPr>
          <w:p>
            <w:pPr>
              <w:spacing w:line="440" w:lineRule="exact"/>
              <w:jc w:val="center"/>
              <w:rPr>
                <w:szCs w:val="21"/>
              </w:rPr>
            </w:pPr>
          </w:p>
        </w:tc>
        <w:tc>
          <w:tcPr>
            <w:tcW w:w="691" w:type="dxa"/>
            <w:vAlign w:val="top"/>
          </w:tcPr>
          <w:p>
            <w:pPr>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65" w:type="dxa"/>
            <w:vAlign w:val="top"/>
          </w:tcPr>
          <w:p>
            <w:pPr>
              <w:spacing w:line="440" w:lineRule="exact"/>
              <w:jc w:val="center"/>
              <w:rPr>
                <w:szCs w:val="21"/>
              </w:rPr>
            </w:pPr>
          </w:p>
        </w:tc>
        <w:tc>
          <w:tcPr>
            <w:tcW w:w="1086" w:type="dxa"/>
            <w:vAlign w:val="top"/>
          </w:tcPr>
          <w:p>
            <w:pPr>
              <w:spacing w:line="440" w:lineRule="exact"/>
              <w:jc w:val="center"/>
              <w:rPr>
                <w:szCs w:val="21"/>
              </w:rPr>
            </w:pPr>
          </w:p>
        </w:tc>
        <w:tc>
          <w:tcPr>
            <w:tcW w:w="761" w:type="dxa"/>
            <w:vAlign w:val="top"/>
          </w:tcPr>
          <w:p>
            <w:pPr>
              <w:spacing w:line="440" w:lineRule="exact"/>
              <w:jc w:val="center"/>
              <w:rPr>
                <w:szCs w:val="21"/>
              </w:rPr>
            </w:pPr>
          </w:p>
        </w:tc>
        <w:tc>
          <w:tcPr>
            <w:tcW w:w="990" w:type="dxa"/>
            <w:vAlign w:val="top"/>
          </w:tcPr>
          <w:p>
            <w:pPr>
              <w:spacing w:line="440" w:lineRule="exact"/>
              <w:jc w:val="center"/>
              <w:rPr>
                <w:szCs w:val="21"/>
              </w:rPr>
            </w:pPr>
          </w:p>
        </w:tc>
        <w:tc>
          <w:tcPr>
            <w:tcW w:w="672" w:type="dxa"/>
            <w:vAlign w:val="top"/>
          </w:tcPr>
          <w:p>
            <w:pPr>
              <w:spacing w:line="440" w:lineRule="exact"/>
              <w:jc w:val="center"/>
              <w:rPr>
                <w:szCs w:val="21"/>
              </w:rPr>
            </w:pPr>
          </w:p>
        </w:tc>
        <w:tc>
          <w:tcPr>
            <w:tcW w:w="738" w:type="dxa"/>
            <w:vAlign w:val="top"/>
          </w:tcPr>
          <w:p>
            <w:pPr>
              <w:spacing w:line="440" w:lineRule="exact"/>
              <w:jc w:val="center"/>
              <w:rPr>
                <w:szCs w:val="21"/>
              </w:rPr>
            </w:pPr>
          </w:p>
        </w:tc>
        <w:tc>
          <w:tcPr>
            <w:tcW w:w="1212" w:type="dxa"/>
            <w:vAlign w:val="top"/>
          </w:tcPr>
          <w:p>
            <w:pPr>
              <w:spacing w:line="440" w:lineRule="exact"/>
              <w:jc w:val="center"/>
              <w:rPr>
                <w:szCs w:val="21"/>
              </w:rPr>
            </w:pPr>
          </w:p>
        </w:tc>
        <w:tc>
          <w:tcPr>
            <w:tcW w:w="874" w:type="dxa"/>
            <w:vAlign w:val="top"/>
          </w:tcPr>
          <w:p>
            <w:pPr>
              <w:spacing w:line="440" w:lineRule="exact"/>
              <w:jc w:val="center"/>
              <w:rPr>
                <w:szCs w:val="21"/>
              </w:rPr>
            </w:pPr>
          </w:p>
        </w:tc>
        <w:tc>
          <w:tcPr>
            <w:tcW w:w="1055" w:type="dxa"/>
            <w:vAlign w:val="top"/>
          </w:tcPr>
          <w:p>
            <w:pPr>
              <w:spacing w:line="440" w:lineRule="exact"/>
              <w:jc w:val="center"/>
              <w:rPr>
                <w:szCs w:val="21"/>
              </w:rPr>
            </w:pPr>
          </w:p>
        </w:tc>
        <w:tc>
          <w:tcPr>
            <w:tcW w:w="691" w:type="dxa"/>
            <w:vAlign w:val="top"/>
          </w:tcPr>
          <w:p>
            <w:pPr>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65" w:type="dxa"/>
            <w:vAlign w:val="top"/>
          </w:tcPr>
          <w:p>
            <w:pPr>
              <w:spacing w:line="440" w:lineRule="exact"/>
              <w:jc w:val="center"/>
              <w:rPr>
                <w:szCs w:val="21"/>
              </w:rPr>
            </w:pPr>
          </w:p>
        </w:tc>
        <w:tc>
          <w:tcPr>
            <w:tcW w:w="1086" w:type="dxa"/>
            <w:vAlign w:val="top"/>
          </w:tcPr>
          <w:p>
            <w:pPr>
              <w:spacing w:line="440" w:lineRule="exact"/>
              <w:jc w:val="center"/>
              <w:rPr>
                <w:szCs w:val="21"/>
              </w:rPr>
            </w:pPr>
          </w:p>
        </w:tc>
        <w:tc>
          <w:tcPr>
            <w:tcW w:w="761" w:type="dxa"/>
            <w:vAlign w:val="top"/>
          </w:tcPr>
          <w:p>
            <w:pPr>
              <w:spacing w:line="440" w:lineRule="exact"/>
              <w:jc w:val="center"/>
              <w:rPr>
                <w:szCs w:val="21"/>
              </w:rPr>
            </w:pPr>
          </w:p>
        </w:tc>
        <w:tc>
          <w:tcPr>
            <w:tcW w:w="990" w:type="dxa"/>
            <w:vAlign w:val="top"/>
          </w:tcPr>
          <w:p>
            <w:pPr>
              <w:spacing w:line="440" w:lineRule="exact"/>
              <w:jc w:val="center"/>
              <w:rPr>
                <w:szCs w:val="21"/>
              </w:rPr>
            </w:pPr>
          </w:p>
        </w:tc>
        <w:tc>
          <w:tcPr>
            <w:tcW w:w="672" w:type="dxa"/>
            <w:vAlign w:val="top"/>
          </w:tcPr>
          <w:p>
            <w:pPr>
              <w:spacing w:line="440" w:lineRule="exact"/>
              <w:jc w:val="center"/>
              <w:rPr>
                <w:szCs w:val="21"/>
              </w:rPr>
            </w:pPr>
          </w:p>
        </w:tc>
        <w:tc>
          <w:tcPr>
            <w:tcW w:w="738" w:type="dxa"/>
            <w:vAlign w:val="top"/>
          </w:tcPr>
          <w:p>
            <w:pPr>
              <w:spacing w:line="440" w:lineRule="exact"/>
              <w:jc w:val="center"/>
              <w:rPr>
                <w:szCs w:val="21"/>
              </w:rPr>
            </w:pPr>
          </w:p>
        </w:tc>
        <w:tc>
          <w:tcPr>
            <w:tcW w:w="1212" w:type="dxa"/>
            <w:vAlign w:val="top"/>
          </w:tcPr>
          <w:p>
            <w:pPr>
              <w:spacing w:line="440" w:lineRule="exact"/>
              <w:jc w:val="center"/>
              <w:rPr>
                <w:szCs w:val="21"/>
              </w:rPr>
            </w:pPr>
          </w:p>
        </w:tc>
        <w:tc>
          <w:tcPr>
            <w:tcW w:w="874" w:type="dxa"/>
            <w:vAlign w:val="top"/>
          </w:tcPr>
          <w:p>
            <w:pPr>
              <w:spacing w:line="440" w:lineRule="exact"/>
              <w:jc w:val="center"/>
              <w:rPr>
                <w:szCs w:val="21"/>
              </w:rPr>
            </w:pPr>
          </w:p>
        </w:tc>
        <w:tc>
          <w:tcPr>
            <w:tcW w:w="1055" w:type="dxa"/>
            <w:vAlign w:val="top"/>
          </w:tcPr>
          <w:p>
            <w:pPr>
              <w:spacing w:line="440" w:lineRule="exact"/>
              <w:jc w:val="center"/>
              <w:rPr>
                <w:szCs w:val="21"/>
              </w:rPr>
            </w:pPr>
          </w:p>
        </w:tc>
        <w:tc>
          <w:tcPr>
            <w:tcW w:w="691" w:type="dxa"/>
            <w:vAlign w:val="top"/>
          </w:tcPr>
          <w:p>
            <w:pPr>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65" w:type="dxa"/>
            <w:vAlign w:val="top"/>
          </w:tcPr>
          <w:p>
            <w:pPr>
              <w:spacing w:line="440" w:lineRule="exact"/>
              <w:jc w:val="center"/>
              <w:rPr>
                <w:szCs w:val="21"/>
              </w:rPr>
            </w:pPr>
          </w:p>
        </w:tc>
        <w:tc>
          <w:tcPr>
            <w:tcW w:w="1086" w:type="dxa"/>
            <w:vAlign w:val="top"/>
          </w:tcPr>
          <w:p>
            <w:pPr>
              <w:spacing w:line="440" w:lineRule="exact"/>
              <w:jc w:val="center"/>
              <w:rPr>
                <w:szCs w:val="21"/>
              </w:rPr>
            </w:pPr>
          </w:p>
        </w:tc>
        <w:tc>
          <w:tcPr>
            <w:tcW w:w="761" w:type="dxa"/>
            <w:vAlign w:val="top"/>
          </w:tcPr>
          <w:p>
            <w:pPr>
              <w:spacing w:line="440" w:lineRule="exact"/>
              <w:jc w:val="center"/>
              <w:rPr>
                <w:szCs w:val="21"/>
              </w:rPr>
            </w:pPr>
          </w:p>
        </w:tc>
        <w:tc>
          <w:tcPr>
            <w:tcW w:w="990" w:type="dxa"/>
            <w:vAlign w:val="top"/>
          </w:tcPr>
          <w:p>
            <w:pPr>
              <w:spacing w:line="440" w:lineRule="exact"/>
              <w:jc w:val="center"/>
              <w:rPr>
                <w:szCs w:val="21"/>
              </w:rPr>
            </w:pPr>
          </w:p>
        </w:tc>
        <w:tc>
          <w:tcPr>
            <w:tcW w:w="672" w:type="dxa"/>
            <w:vAlign w:val="top"/>
          </w:tcPr>
          <w:p>
            <w:pPr>
              <w:spacing w:line="440" w:lineRule="exact"/>
              <w:jc w:val="center"/>
              <w:rPr>
                <w:szCs w:val="21"/>
              </w:rPr>
            </w:pPr>
          </w:p>
        </w:tc>
        <w:tc>
          <w:tcPr>
            <w:tcW w:w="738" w:type="dxa"/>
            <w:vAlign w:val="top"/>
          </w:tcPr>
          <w:p>
            <w:pPr>
              <w:spacing w:line="440" w:lineRule="exact"/>
              <w:jc w:val="center"/>
              <w:rPr>
                <w:szCs w:val="21"/>
              </w:rPr>
            </w:pPr>
          </w:p>
        </w:tc>
        <w:tc>
          <w:tcPr>
            <w:tcW w:w="1212" w:type="dxa"/>
            <w:vAlign w:val="top"/>
          </w:tcPr>
          <w:p>
            <w:pPr>
              <w:spacing w:line="440" w:lineRule="exact"/>
              <w:jc w:val="center"/>
              <w:rPr>
                <w:szCs w:val="21"/>
              </w:rPr>
            </w:pPr>
          </w:p>
        </w:tc>
        <w:tc>
          <w:tcPr>
            <w:tcW w:w="874" w:type="dxa"/>
            <w:vAlign w:val="top"/>
          </w:tcPr>
          <w:p>
            <w:pPr>
              <w:spacing w:line="440" w:lineRule="exact"/>
              <w:jc w:val="center"/>
              <w:rPr>
                <w:szCs w:val="21"/>
              </w:rPr>
            </w:pPr>
          </w:p>
        </w:tc>
        <w:tc>
          <w:tcPr>
            <w:tcW w:w="1055" w:type="dxa"/>
            <w:vAlign w:val="top"/>
          </w:tcPr>
          <w:p>
            <w:pPr>
              <w:spacing w:line="440" w:lineRule="exact"/>
              <w:jc w:val="center"/>
              <w:rPr>
                <w:szCs w:val="21"/>
              </w:rPr>
            </w:pPr>
          </w:p>
        </w:tc>
        <w:tc>
          <w:tcPr>
            <w:tcW w:w="691" w:type="dxa"/>
            <w:vAlign w:val="top"/>
          </w:tcPr>
          <w:p>
            <w:pPr>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65" w:type="dxa"/>
            <w:vAlign w:val="top"/>
          </w:tcPr>
          <w:p>
            <w:pPr>
              <w:spacing w:line="440" w:lineRule="exact"/>
              <w:jc w:val="center"/>
              <w:rPr>
                <w:szCs w:val="21"/>
              </w:rPr>
            </w:pPr>
          </w:p>
        </w:tc>
        <w:tc>
          <w:tcPr>
            <w:tcW w:w="1086" w:type="dxa"/>
            <w:vAlign w:val="top"/>
          </w:tcPr>
          <w:p>
            <w:pPr>
              <w:spacing w:line="440" w:lineRule="exact"/>
              <w:jc w:val="center"/>
              <w:rPr>
                <w:szCs w:val="21"/>
              </w:rPr>
            </w:pPr>
          </w:p>
        </w:tc>
        <w:tc>
          <w:tcPr>
            <w:tcW w:w="761" w:type="dxa"/>
            <w:vAlign w:val="top"/>
          </w:tcPr>
          <w:p>
            <w:pPr>
              <w:spacing w:line="440" w:lineRule="exact"/>
              <w:jc w:val="center"/>
              <w:rPr>
                <w:szCs w:val="21"/>
              </w:rPr>
            </w:pPr>
          </w:p>
        </w:tc>
        <w:tc>
          <w:tcPr>
            <w:tcW w:w="990" w:type="dxa"/>
            <w:vAlign w:val="top"/>
          </w:tcPr>
          <w:p>
            <w:pPr>
              <w:spacing w:line="440" w:lineRule="exact"/>
              <w:jc w:val="center"/>
              <w:rPr>
                <w:szCs w:val="21"/>
              </w:rPr>
            </w:pPr>
          </w:p>
        </w:tc>
        <w:tc>
          <w:tcPr>
            <w:tcW w:w="672" w:type="dxa"/>
            <w:vAlign w:val="top"/>
          </w:tcPr>
          <w:p>
            <w:pPr>
              <w:spacing w:line="440" w:lineRule="exact"/>
              <w:jc w:val="center"/>
              <w:rPr>
                <w:szCs w:val="21"/>
              </w:rPr>
            </w:pPr>
          </w:p>
        </w:tc>
        <w:tc>
          <w:tcPr>
            <w:tcW w:w="738" w:type="dxa"/>
            <w:vAlign w:val="top"/>
          </w:tcPr>
          <w:p>
            <w:pPr>
              <w:spacing w:line="440" w:lineRule="exact"/>
              <w:jc w:val="center"/>
              <w:rPr>
                <w:szCs w:val="21"/>
              </w:rPr>
            </w:pPr>
          </w:p>
        </w:tc>
        <w:tc>
          <w:tcPr>
            <w:tcW w:w="1212" w:type="dxa"/>
            <w:vAlign w:val="top"/>
          </w:tcPr>
          <w:p>
            <w:pPr>
              <w:spacing w:line="440" w:lineRule="exact"/>
              <w:jc w:val="center"/>
              <w:rPr>
                <w:szCs w:val="21"/>
              </w:rPr>
            </w:pPr>
          </w:p>
        </w:tc>
        <w:tc>
          <w:tcPr>
            <w:tcW w:w="874" w:type="dxa"/>
            <w:vAlign w:val="top"/>
          </w:tcPr>
          <w:p>
            <w:pPr>
              <w:spacing w:line="440" w:lineRule="exact"/>
              <w:jc w:val="center"/>
              <w:rPr>
                <w:szCs w:val="21"/>
              </w:rPr>
            </w:pPr>
          </w:p>
        </w:tc>
        <w:tc>
          <w:tcPr>
            <w:tcW w:w="1055" w:type="dxa"/>
            <w:vAlign w:val="top"/>
          </w:tcPr>
          <w:p>
            <w:pPr>
              <w:spacing w:line="440" w:lineRule="exact"/>
              <w:jc w:val="center"/>
              <w:rPr>
                <w:szCs w:val="21"/>
              </w:rPr>
            </w:pPr>
          </w:p>
        </w:tc>
        <w:tc>
          <w:tcPr>
            <w:tcW w:w="691" w:type="dxa"/>
            <w:vAlign w:val="top"/>
          </w:tcPr>
          <w:p>
            <w:pPr>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65" w:type="dxa"/>
            <w:vAlign w:val="top"/>
          </w:tcPr>
          <w:p>
            <w:pPr>
              <w:spacing w:line="440" w:lineRule="exact"/>
              <w:jc w:val="center"/>
              <w:rPr>
                <w:szCs w:val="21"/>
              </w:rPr>
            </w:pPr>
          </w:p>
        </w:tc>
        <w:tc>
          <w:tcPr>
            <w:tcW w:w="1086" w:type="dxa"/>
            <w:vAlign w:val="top"/>
          </w:tcPr>
          <w:p>
            <w:pPr>
              <w:spacing w:line="440" w:lineRule="exact"/>
              <w:jc w:val="center"/>
              <w:rPr>
                <w:szCs w:val="21"/>
              </w:rPr>
            </w:pPr>
          </w:p>
        </w:tc>
        <w:tc>
          <w:tcPr>
            <w:tcW w:w="761" w:type="dxa"/>
            <w:vAlign w:val="top"/>
          </w:tcPr>
          <w:p>
            <w:pPr>
              <w:spacing w:line="440" w:lineRule="exact"/>
              <w:jc w:val="center"/>
              <w:rPr>
                <w:szCs w:val="21"/>
              </w:rPr>
            </w:pPr>
          </w:p>
        </w:tc>
        <w:tc>
          <w:tcPr>
            <w:tcW w:w="990" w:type="dxa"/>
            <w:vAlign w:val="top"/>
          </w:tcPr>
          <w:p>
            <w:pPr>
              <w:spacing w:line="440" w:lineRule="exact"/>
              <w:jc w:val="center"/>
              <w:rPr>
                <w:szCs w:val="21"/>
              </w:rPr>
            </w:pPr>
          </w:p>
        </w:tc>
        <w:tc>
          <w:tcPr>
            <w:tcW w:w="672" w:type="dxa"/>
            <w:vAlign w:val="top"/>
          </w:tcPr>
          <w:p>
            <w:pPr>
              <w:spacing w:line="440" w:lineRule="exact"/>
              <w:jc w:val="center"/>
              <w:rPr>
                <w:szCs w:val="21"/>
              </w:rPr>
            </w:pPr>
          </w:p>
        </w:tc>
        <w:tc>
          <w:tcPr>
            <w:tcW w:w="738" w:type="dxa"/>
            <w:vAlign w:val="top"/>
          </w:tcPr>
          <w:p>
            <w:pPr>
              <w:spacing w:line="440" w:lineRule="exact"/>
              <w:jc w:val="center"/>
              <w:rPr>
                <w:szCs w:val="21"/>
              </w:rPr>
            </w:pPr>
          </w:p>
        </w:tc>
        <w:tc>
          <w:tcPr>
            <w:tcW w:w="1212" w:type="dxa"/>
            <w:vAlign w:val="top"/>
          </w:tcPr>
          <w:p>
            <w:pPr>
              <w:spacing w:line="440" w:lineRule="exact"/>
              <w:jc w:val="center"/>
              <w:rPr>
                <w:szCs w:val="21"/>
              </w:rPr>
            </w:pPr>
          </w:p>
        </w:tc>
        <w:tc>
          <w:tcPr>
            <w:tcW w:w="874" w:type="dxa"/>
            <w:vAlign w:val="top"/>
          </w:tcPr>
          <w:p>
            <w:pPr>
              <w:spacing w:line="440" w:lineRule="exact"/>
              <w:jc w:val="center"/>
              <w:rPr>
                <w:szCs w:val="21"/>
              </w:rPr>
            </w:pPr>
          </w:p>
        </w:tc>
        <w:tc>
          <w:tcPr>
            <w:tcW w:w="1055" w:type="dxa"/>
            <w:vAlign w:val="top"/>
          </w:tcPr>
          <w:p>
            <w:pPr>
              <w:spacing w:line="440" w:lineRule="exact"/>
              <w:jc w:val="center"/>
              <w:rPr>
                <w:szCs w:val="21"/>
              </w:rPr>
            </w:pPr>
          </w:p>
        </w:tc>
        <w:tc>
          <w:tcPr>
            <w:tcW w:w="691" w:type="dxa"/>
            <w:vAlign w:val="top"/>
          </w:tcPr>
          <w:p>
            <w:pPr>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65" w:type="dxa"/>
            <w:vAlign w:val="top"/>
          </w:tcPr>
          <w:p>
            <w:pPr>
              <w:spacing w:line="440" w:lineRule="exact"/>
              <w:jc w:val="center"/>
              <w:rPr>
                <w:szCs w:val="21"/>
              </w:rPr>
            </w:pPr>
          </w:p>
        </w:tc>
        <w:tc>
          <w:tcPr>
            <w:tcW w:w="1086" w:type="dxa"/>
            <w:vAlign w:val="top"/>
          </w:tcPr>
          <w:p>
            <w:pPr>
              <w:spacing w:line="440" w:lineRule="exact"/>
              <w:jc w:val="center"/>
              <w:rPr>
                <w:szCs w:val="21"/>
              </w:rPr>
            </w:pPr>
          </w:p>
        </w:tc>
        <w:tc>
          <w:tcPr>
            <w:tcW w:w="761" w:type="dxa"/>
            <w:vAlign w:val="top"/>
          </w:tcPr>
          <w:p>
            <w:pPr>
              <w:spacing w:line="440" w:lineRule="exact"/>
              <w:jc w:val="center"/>
              <w:rPr>
                <w:szCs w:val="21"/>
              </w:rPr>
            </w:pPr>
          </w:p>
        </w:tc>
        <w:tc>
          <w:tcPr>
            <w:tcW w:w="990" w:type="dxa"/>
            <w:vAlign w:val="top"/>
          </w:tcPr>
          <w:p>
            <w:pPr>
              <w:spacing w:line="440" w:lineRule="exact"/>
              <w:jc w:val="center"/>
              <w:rPr>
                <w:szCs w:val="21"/>
              </w:rPr>
            </w:pPr>
          </w:p>
        </w:tc>
        <w:tc>
          <w:tcPr>
            <w:tcW w:w="672" w:type="dxa"/>
            <w:vAlign w:val="top"/>
          </w:tcPr>
          <w:p>
            <w:pPr>
              <w:spacing w:line="440" w:lineRule="exact"/>
              <w:jc w:val="center"/>
              <w:rPr>
                <w:szCs w:val="21"/>
              </w:rPr>
            </w:pPr>
          </w:p>
        </w:tc>
        <w:tc>
          <w:tcPr>
            <w:tcW w:w="738" w:type="dxa"/>
            <w:vAlign w:val="top"/>
          </w:tcPr>
          <w:p>
            <w:pPr>
              <w:spacing w:line="440" w:lineRule="exact"/>
              <w:jc w:val="center"/>
              <w:rPr>
                <w:szCs w:val="21"/>
              </w:rPr>
            </w:pPr>
          </w:p>
        </w:tc>
        <w:tc>
          <w:tcPr>
            <w:tcW w:w="1212" w:type="dxa"/>
            <w:vAlign w:val="top"/>
          </w:tcPr>
          <w:p>
            <w:pPr>
              <w:spacing w:line="440" w:lineRule="exact"/>
              <w:jc w:val="center"/>
              <w:rPr>
                <w:szCs w:val="21"/>
              </w:rPr>
            </w:pPr>
          </w:p>
        </w:tc>
        <w:tc>
          <w:tcPr>
            <w:tcW w:w="874" w:type="dxa"/>
            <w:vAlign w:val="top"/>
          </w:tcPr>
          <w:p>
            <w:pPr>
              <w:spacing w:line="440" w:lineRule="exact"/>
              <w:jc w:val="center"/>
              <w:rPr>
                <w:szCs w:val="21"/>
              </w:rPr>
            </w:pPr>
          </w:p>
        </w:tc>
        <w:tc>
          <w:tcPr>
            <w:tcW w:w="1055" w:type="dxa"/>
            <w:vAlign w:val="top"/>
          </w:tcPr>
          <w:p>
            <w:pPr>
              <w:spacing w:line="440" w:lineRule="exact"/>
              <w:jc w:val="center"/>
              <w:rPr>
                <w:szCs w:val="21"/>
              </w:rPr>
            </w:pPr>
          </w:p>
        </w:tc>
        <w:tc>
          <w:tcPr>
            <w:tcW w:w="691" w:type="dxa"/>
            <w:vAlign w:val="top"/>
          </w:tcPr>
          <w:p>
            <w:pPr>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65" w:type="dxa"/>
            <w:vAlign w:val="top"/>
          </w:tcPr>
          <w:p>
            <w:pPr>
              <w:spacing w:line="440" w:lineRule="exact"/>
              <w:jc w:val="center"/>
              <w:rPr>
                <w:szCs w:val="21"/>
              </w:rPr>
            </w:pPr>
          </w:p>
        </w:tc>
        <w:tc>
          <w:tcPr>
            <w:tcW w:w="1086" w:type="dxa"/>
            <w:vAlign w:val="top"/>
          </w:tcPr>
          <w:p>
            <w:pPr>
              <w:spacing w:line="440" w:lineRule="exact"/>
              <w:jc w:val="center"/>
              <w:rPr>
                <w:szCs w:val="21"/>
              </w:rPr>
            </w:pPr>
          </w:p>
        </w:tc>
        <w:tc>
          <w:tcPr>
            <w:tcW w:w="761" w:type="dxa"/>
            <w:vAlign w:val="top"/>
          </w:tcPr>
          <w:p>
            <w:pPr>
              <w:spacing w:line="440" w:lineRule="exact"/>
              <w:jc w:val="center"/>
              <w:rPr>
                <w:szCs w:val="21"/>
              </w:rPr>
            </w:pPr>
          </w:p>
        </w:tc>
        <w:tc>
          <w:tcPr>
            <w:tcW w:w="990" w:type="dxa"/>
            <w:vAlign w:val="top"/>
          </w:tcPr>
          <w:p>
            <w:pPr>
              <w:spacing w:line="440" w:lineRule="exact"/>
              <w:jc w:val="center"/>
              <w:rPr>
                <w:szCs w:val="21"/>
              </w:rPr>
            </w:pPr>
          </w:p>
        </w:tc>
        <w:tc>
          <w:tcPr>
            <w:tcW w:w="672" w:type="dxa"/>
            <w:vAlign w:val="top"/>
          </w:tcPr>
          <w:p>
            <w:pPr>
              <w:spacing w:line="440" w:lineRule="exact"/>
              <w:jc w:val="center"/>
              <w:rPr>
                <w:szCs w:val="21"/>
              </w:rPr>
            </w:pPr>
          </w:p>
        </w:tc>
        <w:tc>
          <w:tcPr>
            <w:tcW w:w="738" w:type="dxa"/>
            <w:vAlign w:val="top"/>
          </w:tcPr>
          <w:p>
            <w:pPr>
              <w:spacing w:line="440" w:lineRule="exact"/>
              <w:jc w:val="center"/>
              <w:rPr>
                <w:szCs w:val="21"/>
              </w:rPr>
            </w:pPr>
          </w:p>
        </w:tc>
        <w:tc>
          <w:tcPr>
            <w:tcW w:w="1212" w:type="dxa"/>
            <w:vAlign w:val="top"/>
          </w:tcPr>
          <w:p>
            <w:pPr>
              <w:spacing w:line="440" w:lineRule="exact"/>
              <w:jc w:val="center"/>
              <w:rPr>
                <w:szCs w:val="21"/>
              </w:rPr>
            </w:pPr>
          </w:p>
        </w:tc>
        <w:tc>
          <w:tcPr>
            <w:tcW w:w="874" w:type="dxa"/>
            <w:vAlign w:val="top"/>
          </w:tcPr>
          <w:p>
            <w:pPr>
              <w:spacing w:line="440" w:lineRule="exact"/>
              <w:jc w:val="center"/>
              <w:rPr>
                <w:szCs w:val="21"/>
              </w:rPr>
            </w:pPr>
          </w:p>
        </w:tc>
        <w:tc>
          <w:tcPr>
            <w:tcW w:w="1055" w:type="dxa"/>
            <w:vAlign w:val="top"/>
          </w:tcPr>
          <w:p>
            <w:pPr>
              <w:spacing w:line="440" w:lineRule="exact"/>
              <w:jc w:val="center"/>
              <w:rPr>
                <w:szCs w:val="21"/>
              </w:rPr>
            </w:pPr>
          </w:p>
        </w:tc>
        <w:tc>
          <w:tcPr>
            <w:tcW w:w="691" w:type="dxa"/>
            <w:vAlign w:val="top"/>
          </w:tcPr>
          <w:p>
            <w:pPr>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65" w:type="dxa"/>
            <w:vAlign w:val="top"/>
          </w:tcPr>
          <w:p>
            <w:pPr>
              <w:spacing w:line="440" w:lineRule="exact"/>
              <w:jc w:val="center"/>
              <w:rPr>
                <w:szCs w:val="21"/>
              </w:rPr>
            </w:pPr>
          </w:p>
        </w:tc>
        <w:tc>
          <w:tcPr>
            <w:tcW w:w="1086" w:type="dxa"/>
            <w:vAlign w:val="top"/>
          </w:tcPr>
          <w:p>
            <w:pPr>
              <w:spacing w:line="440" w:lineRule="exact"/>
              <w:jc w:val="center"/>
              <w:rPr>
                <w:szCs w:val="21"/>
              </w:rPr>
            </w:pPr>
          </w:p>
        </w:tc>
        <w:tc>
          <w:tcPr>
            <w:tcW w:w="761" w:type="dxa"/>
            <w:vAlign w:val="top"/>
          </w:tcPr>
          <w:p>
            <w:pPr>
              <w:spacing w:line="440" w:lineRule="exact"/>
              <w:jc w:val="center"/>
              <w:rPr>
                <w:szCs w:val="21"/>
              </w:rPr>
            </w:pPr>
          </w:p>
        </w:tc>
        <w:tc>
          <w:tcPr>
            <w:tcW w:w="990" w:type="dxa"/>
            <w:vAlign w:val="top"/>
          </w:tcPr>
          <w:p>
            <w:pPr>
              <w:spacing w:line="440" w:lineRule="exact"/>
              <w:jc w:val="center"/>
              <w:rPr>
                <w:szCs w:val="21"/>
              </w:rPr>
            </w:pPr>
          </w:p>
        </w:tc>
        <w:tc>
          <w:tcPr>
            <w:tcW w:w="672" w:type="dxa"/>
            <w:vAlign w:val="top"/>
          </w:tcPr>
          <w:p>
            <w:pPr>
              <w:spacing w:line="440" w:lineRule="exact"/>
              <w:jc w:val="center"/>
              <w:rPr>
                <w:szCs w:val="21"/>
              </w:rPr>
            </w:pPr>
          </w:p>
        </w:tc>
        <w:tc>
          <w:tcPr>
            <w:tcW w:w="738" w:type="dxa"/>
            <w:vAlign w:val="top"/>
          </w:tcPr>
          <w:p>
            <w:pPr>
              <w:spacing w:line="440" w:lineRule="exact"/>
              <w:jc w:val="center"/>
              <w:rPr>
                <w:szCs w:val="21"/>
              </w:rPr>
            </w:pPr>
          </w:p>
        </w:tc>
        <w:tc>
          <w:tcPr>
            <w:tcW w:w="1212" w:type="dxa"/>
            <w:vAlign w:val="top"/>
          </w:tcPr>
          <w:p>
            <w:pPr>
              <w:spacing w:line="440" w:lineRule="exact"/>
              <w:jc w:val="center"/>
              <w:rPr>
                <w:szCs w:val="21"/>
              </w:rPr>
            </w:pPr>
          </w:p>
        </w:tc>
        <w:tc>
          <w:tcPr>
            <w:tcW w:w="874" w:type="dxa"/>
            <w:vAlign w:val="top"/>
          </w:tcPr>
          <w:p>
            <w:pPr>
              <w:spacing w:line="440" w:lineRule="exact"/>
              <w:jc w:val="center"/>
              <w:rPr>
                <w:szCs w:val="21"/>
              </w:rPr>
            </w:pPr>
          </w:p>
        </w:tc>
        <w:tc>
          <w:tcPr>
            <w:tcW w:w="1055" w:type="dxa"/>
            <w:vAlign w:val="top"/>
          </w:tcPr>
          <w:p>
            <w:pPr>
              <w:spacing w:line="440" w:lineRule="exact"/>
              <w:jc w:val="center"/>
              <w:rPr>
                <w:szCs w:val="21"/>
              </w:rPr>
            </w:pPr>
          </w:p>
        </w:tc>
        <w:tc>
          <w:tcPr>
            <w:tcW w:w="691" w:type="dxa"/>
            <w:vAlign w:val="top"/>
          </w:tcPr>
          <w:p>
            <w:pPr>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65" w:type="dxa"/>
            <w:vAlign w:val="top"/>
          </w:tcPr>
          <w:p>
            <w:pPr>
              <w:spacing w:line="440" w:lineRule="exact"/>
              <w:jc w:val="center"/>
              <w:rPr>
                <w:szCs w:val="21"/>
              </w:rPr>
            </w:pPr>
          </w:p>
        </w:tc>
        <w:tc>
          <w:tcPr>
            <w:tcW w:w="1086" w:type="dxa"/>
            <w:vAlign w:val="top"/>
          </w:tcPr>
          <w:p>
            <w:pPr>
              <w:spacing w:line="440" w:lineRule="exact"/>
              <w:jc w:val="center"/>
              <w:rPr>
                <w:szCs w:val="21"/>
              </w:rPr>
            </w:pPr>
          </w:p>
        </w:tc>
        <w:tc>
          <w:tcPr>
            <w:tcW w:w="761" w:type="dxa"/>
            <w:vAlign w:val="top"/>
          </w:tcPr>
          <w:p>
            <w:pPr>
              <w:spacing w:line="440" w:lineRule="exact"/>
              <w:jc w:val="center"/>
              <w:rPr>
                <w:szCs w:val="21"/>
              </w:rPr>
            </w:pPr>
          </w:p>
        </w:tc>
        <w:tc>
          <w:tcPr>
            <w:tcW w:w="990" w:type="dxa"/>
            <w:vAlign w:val="top"/>
          </w:tcPr>
          <w:p>
            <w:pPr>
              <w:spacing w:line="440" w:lineRule="exact"/>
              <w:jc w:val="center"/>
              <w:rPr>
                <w:szCs w:val="21"/>
              </w:rPr>
            </w:pPr>
          </w:p>
        </w:tc>
        <w:tc>
          <w:tcPr>
            <w:tcW w:w="672" w:type="dxa"/>
            <w:vAlign w:val="top"/>
          </w:tcPr>
          <w:p>
            <w:pPr>
              <w:spacing w:line="440" w:lineRule="exact"/>
              <w:jc w:val="center"/>
              <w:rPr>
                <w:szCs w:val="21"/>
              </w:rPr>
            </w:pPr>
          </w:p>
        </w:tc>
        <w:tc>
          <w:tcPr>
            <w:tcW w:w="738" w:type="dxa"/>
            <w:vAlign w:val="top"/>
          </w:tcPr>
          <w:p>
            <w:pPr>
              <w:spacing w:line="440" w:lineRule="exact"/>
              <w:jc w:val="center"/>
              <w:rPr>
                <w:szCs w:val="21"/>
              </w:rPr>
            </w:pPr>
          </w:p>
        </w:tc>
        <w:tc>
          <w:tcPr>
            <w:tcW w:w="1212" w:type="dxa"/>
            <w:vAlign w:val="top"/>
          </w:tcPr>
          <w:p>
            <w:pPr>
              <w:spacing w:line="440" w:lineRule="exact"/>
              <w:jc w:val="center"/>
              <w:rPr>
                <w:szCs w:val="21"/>
              </w:rPr>
            </w:pPr>
          </w:p>
        </w:tc>
        <w:tc>
          <w:tcPr>
            <w:tcW w:w="874" w:type="dxa"/>
            <w:vAlign w:val="top"/>
          </w:tcPr>
          <w:p>
            <w:pPr>
              <w:spacing w:line="440" w:lineRule="exact"/>
              <w:jc w:val="center"/>
              <w:rPr>
                <w:szCs w:val="21"/>
              </w:rPr>
            </w:pPr>
          </w:p>
        </w:tc>
        <w:tc>
          <w:tcPr>
            <w:tcW w:w="1055" w:type="dxa"/>
            <w:vAlign w:val="top"/>
          </w:tcPr>
          <w:p>
            <w:pPr>
              <w:spacing w:line="440" w:lineRule="exact"/>
              <w:jc w:val="center"/>
              <w:rPr>
                <w:szCs w:val="21"/>
              </w:rPr>
            </w:pPr>
          </w:p>
        </w:tc>
        <w:tc>
          <w:tcPr>
            <w:tcW w:w="691" w:type="dxa"/>
            <w:vAlign w:val="top"/>
          </w:tcPr>
          <w:p>
            <w:pPr>
              <w:spacing w:line="440" w:lineRule="exact"/>
              <w:jc w:val="center"/>
              <w:rPr>
                <w:szCs w:val="21"/>
              </w:rPr>
            </w:pPr>
          </w:p>
        </w:tc>
      </w:tr>
    </w:tbl>
    <w:p>
      <w:pPr>
        <w:spacing w:line="440" w:lineRule="exact"/>
        <w:rPr>
          <w:rFonts w:eastAsia="黑体"/>
          <w:sz w:val="20"/>
          <w:szCs w:val="20"/>
        </w:rPr>
      </w:pPr>
    </w:p>
    <w:p>
      <w:pPr>
        <w:spacing w:line="440" w:lineRule="exact"/>
        <w:rPr>
          <w:rFonts w:eastAsia="黑体"/>
          <w:sz w:val="20"/>
          <w:szCs w:val="20"/>
        </w:rPr>
      </w:pPr>
      <w:r>
        <w:rPr>
          <w:rFonts w:eastAsia="黑体"/>
          <w:sz w:val="20"/>
          <w:szCs w:val="20"/>
        </w:rPr>
        <w:br w:type="page"/>
      </w:r>
    </w:p>
    <w:p>
      <w:pPr>
        <w:pStyle w:val="4"/>
      </w:pPr>
      <w:bookmarkStart w:id="1192" w:name="_Toc152042588"/>
      <w:bookmarkStart w:id="1193" w:name="_Toc144974867"/>
      <w:bookmarkStart w:id="1194" w:name="_Toc152045799"/>
      <w:bookmarkStart w:id="1195" w:name="_Toc179632819"/>
      <w:bookmarkStart w:id="1196" w:name="_Toc13209"/>
      <w:bookmarkStart w:id="1197" w:name="_Toc247085884"/>
      <w:bookmarkStart w:id="1198" w:name="_Toc246996366"/>
      <w:bookmarkStart w:id="1199" w:name="_Toc246997109"/>
      <w:r>
        <w:t>附表</w:t>
      </w:r>
      <w:r>
        <w:rPr>
          <w:rFonts w:hint="eastAsia"/>
        </w:rPr>
        <w:t>二</w:t>
      </w:r>
      <w:r>
        <w:t>：劳动力计划表</w:t>
      </w:r>
      <w:bookmarkEnd w:id="1192"/>
      <w:bookmarkEnd w:id="1193"/>
      <w:bookmarkEnd w:id="1194"/>
      <w:bookmarkEnd w:id="1195"/>
      <w:bookmarkEnd w:id="1196"/>
      <w:bookmarkEnd w:id="1197"/>
      <w:bookmarkEnd w:id="1198"/>
      <w:bookmarkEnd w:id="1199"/>
    </w:p>
    <w:p>
      <w:pPr>
        <w:spacing w:line="440" w:lineRule="exact"/>
        <w:ind w:right="200"/>
        <w:jc w:val="right"/>
        <w:rPr>
          <w:rFonts w:eastAsia="黑体"/>
          <w:szCs w:val="21"/>
        </w:rPr>
      </w:pPr>
      <w:r>
        <w:rPr>
          <w:rFonts w:eastAsia="黑体"/>
          <w:szCs w:val="21"/>
        </w:rPr>
        <w:t>单位：人</w:t>
      </w:r>
    </w:p>
    <w:tbl>
      <w:tblPr>
        <w:tblStyle w:val="41"/>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
        <w:gridCol w:w="1304"/>
        <w:gridCol w:w="1065"/>
        <w:gridCol w:w="1065"/>
        <w:gridCol w:w="1065"/>
        <w:gridCol w:w="1065"/>
        <w:gridCol w:w="1065"/>
        <w:gridCol w:w="10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9" w:type="dxa"/>
            <w:vAlign w:val="center"/>
          </w:tcPr>
          <w:p>
            <w:pPr>
              <w:spacing w:line="440" w:lineRule="exact"/>
              <w:jc w:val="center"/>
              <w:rPr>
                <w:szCs w:val="21"/>
              </w:rPr>
            </w:pPr>
            <w:r>
              <w:rPr>
                <w:szCs w:val="21"/>
              </w:rPr>
              <w:t>工种</w:t>
            </w:r>
          </w:p>
        </w:tc>
        <w:tc>
          <w:tcPr>
            <w:tcW w:w="7693" w:type="dxa"/>
            <w:gridSpan w:val="7"/>
            <w:vAlign w:val="center"/>
          </w:tcPr>
          <w:p>
            <w:pPr>
              <w:spacing w:line="440" w:lineRule="exact"/>
              <w:jc w:val="center"/>
              <w:rPr>
                <w:szCs w:val="21"/>
              </w:rPr>
            </w:pPr>
            <w:r>
              <w:rPr>
                <w:szCs w:val="21"/>
              </w:rPr>
              <w:t>按工程施工阶段投入劳动力情况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9" w:type="dxa"/>
            <w:vAlign w:val="center"/>
          </w:tcPr>
          <w:p>
            <w:pPr>
              <w:spacing w:line="440" w:lineRule="exact"/>
              <w:jc w:val="center"/>
              <w:rPr>
                <w:szCs w:val="21"/>
              </w:rPr>
            </w:pPr>
          </w:p>
        </w:tc>
        <w:tc>
          <w:tcPr>
            <w:tcW w:w="1304" w:type="dxa"/>
            <w:vAlign w:val="center"/>
          </w:tcPr>
          <w:p>
            <w:pPr>
              <w:spacing w:line="440" w:lineRule="exact"/>
              <w:jc w:val="center"/>
              <w:rPr>
                <w:szCs w:val="21"/>
              </w:rPr>
            </w:pPr>
          </w:p>
        </w:tc>
        <w:tc>
          <w:tcPr>
            <w:tcW w:w="1065" w:type="dxa"/>
            <w:vAlign w:val="center"/>
          </w:tcPr>
          <w:p>
            <w:pPr>
              <w:spacing w:line="440" w:lineRule="exact"/>
              <w:jc w:val="center"/>
              <w:rPr>
                <w:szCs w:val="21"/>
              </w:rPr>
            </w:pPr>
          </w:p>
        </w:tc>
        <w:tc>
          <w:tcPr>
            <w:tcW w:w="1065" w:type="dxa"/>
            <w:vAlign w:val="center"/>
          </w:tcPr>
          <w:p>
            <w:pPr>
              <w:spacing w:line="440" w:lineRule="exact"/>
              <w:jc w:val="center"/>
              <w:rPr>
                <w:szCs w:val="21"/>
              </w:rPr>
            </w:pPr>
          </w:p>
        </w:tc>
        <w:tc>
          <w:tcPr>
            <w:tcW w:w="1065" w:type="dxa"/>
            <w:vAlign w:val="center"/>
          </w:tcPr>
          <w:p>
            <w:pPr>
              <w:spacing w:line="440" w:lineRule="exact"/>
              <w:jc w:val="center"/>
              <w:rPr>
                <w:szCs w:val="21"/>
              </w:rPr>
            </w:pPr>
          </w:p>
        </w:tc>
        <w:tc>
          <w:tcPr>
            <w:tcW w:w="1065" w:type="dxa"/>
            <w:vAlign w:val="center"/>
          </w:tcPr>
          <w:p>
            <w:pPr>
              <w:spacing w:line="440" w:lineRule="exact"/>
              <w:jc w:val="center"/>
              <w:rPr>
                <w:szCs w:val="21"/>
              </w:rPr>
            </w:pPr>
          </w:p>
        </w:tc>
        <w:tc>
          <w:tcPr>
            <w:tcW w:w="1065" w:type="dxa"/>
            <w:vAlign w:val="center"/>
          </w:tcPr>
          <w:p>
            <w:pPr>
              <w:spacing w:line="440" w:lineRule="exact"/>
              <w:jc w:val="center"/>
              <w:rPr>
                <w:szCs w:val="21"/>
              </w:rPr>
            </w:pPr>
          </w:p>
        </w:tc>
        <w:tc>
          <w:tcPr>
            <w:tcW w:w="1064" w:type="dxa"/>
            <w:vAlign w:val="center"/>
          </w:tcPr>
          <w:p>
            <w:pPr>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9" w:type="dxa"/>
            <w:vAlign w:val="center"/>
          </w:tcPr>
          <w:p>
            <w:pPr>
              <w:spacing w:line="440" w:lineRule="exact"/>
              <w:jc w:val="center"/>
              <w:rPr>
                <w:szCs w:val="21"/>
              </w:rPr>
            </w:pPr>
          </w:p>
        </w:tc>
        <w:tc>
          <w:tcPr>
            <w:tcW w:w="1304" w:type="dxa"/>
            <w:vAlign w:val="center"/>
          </w:tcPr>
          <w:p>
            <w:pPr>
              <w:spacing w:line="440" w:lineRule="exact"/>
              <w:jc w:val="center"/>
              <w:rPr>
                <w:szCs w:val="21"/>
              </w:rPr>
            </w:pPr>
          </w:p>
        </w:tc>
        <w:tc>
          <w:tcPr>
            <w:tcW w:w="1065" w:type="dxa"/>
            <w:vAlign w:val="center"/>
          </w:tcPr>
          <w:p>
            <w:pPr>
              <w:spacing w:line="440" w:lineRule="exact"/>
              <w:jc w:val="center"/>
              <w:rPr>
                <w:szCs w:val="21"/>
              </w:rPr>
            </w:pPr>
          </w:p>
        </w:tc>
        <w:tc>
          <w:tcPr>
            <w:tcW w:w="1065" w:type="dxa"/>
            <w:vAlign w:val="center"/>
          </w:tcPr>
          <w:p>
            <w:pPr>
              <w:spacing w:line="440" w:lineRule="exact"/>
              <w:jc w:val="center"/>
              <w:rPr>
                <w:szCs w:val="21"/>
              </w:rPr>
            </w:pPr>
          </w:p>
        </w:tc>
        <w:tc>
          <w:tcPr>
            <w:tcW w:w="1065" w:type="dxa"/>
            <w:vAlign w:val="center"/>
          </w:tcPr>
          <w:p>
            <w:pPr>
              <w:spacing w:line="440" w:lineRule="exact"/>
              <w:jc w:val="center"/>
              <w:rPr>
                <w:szCs w:val="21"/>
              </w:rPr>
            </w:pPr>
          </w:p>
        </w:tc>
        <w:tc>
          <w:tcPr>
            <w:tcW w:w="1065" w:type="dxa"/>
            <w:vAlign w:val="center"/>
          </w:tcPr>
          <w:p>
            <w:pPr>
              <w:spacing w:line="440" w:lineRule="exact"/>
              <w:jc w:val="center"/>
              <w:rPr>
                <w:szCs w:val="21"/>
              </w:rPr>
            </w:pPr>
          </w:p>
        </w:tc>
        <w:tc>
          <w:tcPr>
            <w:tcW w:w="1065" w:type="dxa"/>
            <w:vAlign w:val="center"/>
          </w:tcPr>
          <w:p>
            <w:pPr>
              <w:spacing w:line="440" w:lineRule="exact"/>
              <w:jc w:val="center"/>
              <w:rPr>
                <w:szCs w:val="21"/>
              </w:rPr>
            </w:pPr>
          </w:p>
        </w:tc>
        <w:tc>
          <w:tcPr>
            <w:tcW w:w="1064" w:type="dxa"/>
            <w:vAlign w:val="center"/>
          </w:tcPr>
          <w:p>
            <w:pPr>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9" w:type="dxa"/>
            <w:vAlign w:val="top"/>
          </w:tcPr>
          <w:p>
            <w:pPr>
              <w:spacing w:line="440" w:lineRule="exact"/>
              <w:jc w:val="center"/>
              <w:rPr>
                <w:szCs w:val="21"/>
              </w:rPr>
            </w:pPr>
          </w:p>
        </w:tc>
        <w:tc>
          <w:tcPr>
            <w:tcW w:w="1304" w:type="dxa"/>
            <w:vAlign w:val="top"/>
          </w:tcPr>
          <w:p>
            <w:pPr>
              <w:spacing w:line="440" w:lineRule="exact"/>
              <w:jc w:val="center"/>
              <w:rPr>
                <w:szCs w:val="21"/>
              </w:rPr>
            </w:pPr>
          </w:p>
        </w:tc>
        <w:tc>
          <w:tcPr>
            <w:tcW w:w="1065" w:type="dxa"/>
            <w:vAlign w:val="top"/>
          </w:tcPr>
          <w:p>
            <w:pPr>
              <w:spacing w:line="440" w:lineRule="exact"/>
              <w:jc w:val="center"/>
              <w:rPr>
                <w:szCs w:val="21"/>
              </w:rPr>
            </w:pPr>
          </w:p>
        </w:tc>
        <w:tc>
          <w:tcPr>
            <w:tcW w:w="1065" w:type="dxa"/>
            <w:vAlign w:val="top"/>
          </w:tcPr>
          <w:p>
            <w:pPr>
              <w:spacing w:line="440" w:lineRule="exact"/>
              <w:jc w:val="center"/>
              <w:rPr>
                <w:szCs w:val="21"/>
              </w:rPr>
            </w:pPr>
          </w:p>
        </w:tc>
        <w:tc>
          <w:tcPr>
            <w:tcW w:w="1065" w:type="dxa"/>
            <w:vAlign w:val="top"/>
          </w:tcPr>
          <w:p>
            <w:pPr>
              <w:spacing w:line="440" w:lineRule="exact"/>
              <w:jc w:val="center"/>
              <w:rPr>
                <w:szCs w:val="21"/>
              </w:rPr>
            </w:pPr>
          </w:p>
        </w:tc>
        <w:tc>
          <w:tcPr>
            <w:tcW w:w="1065" w:type="dxa"/>
            <w:vAlign w:val="top"/>
          </w:tcPr>
          <w:p>
            <w:pPr>
              <w:spacing w:line="440" w:lineRule="exact"/>
              <w:jc w:val="center"/>
              <w:rPr>
                <w:szCs w:val="21"/>
              </w:rPr>
            </w:pPr>
          </w:p>
        </w:tc>
        <w:tc>
          <w:tcPr>
            <w:tcW w:w="1065" w:type="dxa"/>
            <w:vAlign w:val="top"/>
          </w:tcPr>
          <w:p>
            <w:pPr>
              <w:spacing w:line="440" w:lineRule="exact"/>
              <w:jc w:val="center"/>
              <w:rPr>
                <w:szCs w:val="21"/>
              </w:rPr>
            </w:pPr>
          </w:p>
        </w:tc>
        <w:tc>
          <w:tcPr>
            <w:tcW w:w="1064" w:type="dxa"/>
            <w:vAlign w:val="top"/>
          </w:tcPr>
          <w:p>
            <w:pPr>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9" w:type="dxa"/>
            <w:vAlign w:val="top"/>
          </w:tcPr>
          <w:p>
            <w:pPr>
              <w:spacing w:line="440" w:lineRule="exact"/>
              <w:jc w:val="center"/>
              <w:rPr>
                <w:szCs w:val="21"/>
              </w:rPr>
            </w:pPr>
          </w:p>
        </w:tc>
        <w:tc>
          <w:tcPr>
            <w:tcW w:w="1304" w:type="dxa"/>
            <w:vAlign w:val="top"/>
          </w:tcPr>
          <w:p>
            <w:pPr>
              <w:spacing w:line="440" w:lineRule="exact"/>
              <w:jc w:val="center"/>
              <w:rPr>
                <w:szCs w:val="21"/>
              </w:rPr>
            </w:pPr>
          </w:p>
        </w:tc>
        <w:tc>
          <w:tcPr>
            <w:tcW w:w="1065" w:type="dxa"/>
            <w:vAlign w:val="top"/>
          </w:tcPr>
          <w:p>
            <w:pPr>
              <w:spacing w:line="440" w:lineRule="exact"/>
              <w:jc w:val="center"/>
              <w:rPr>
                <w:szCs w:val="21"/>
              </w:rPr>
            </w:pPr>
          </w:p>
        </w:tc>
        <w:tc>
          <w:tcPr>
            <w:tcW w:w="1065" w:type="dxa"/>
            <w:vAlign w:val="top"/>
          </w:tcPr>
          <w:p>
            <w:pPr>
              <w:spacing w:line="440" w:lineRule="exact"/>
              <w:jc w:val="center"/>
              <w:rPr>
                <w:szCs w:val="21"/>
              </w:rPr>
            </w:pPr>
          </w:p>
        </w:tc>
        <w:tc>
          <w:tcPr>
            <w:tcW w:w="1065" w:type="dxa"/>
            <w:vAlign w:val="top"/>
          </w:tcPr>
          <w:p>
            <w:pPr>
              <w:spacing w:line="440" w:lineRule="exact"/>
              <w:jc w:val="center"/>
              <w:rPr>
                <w:szCs w:val="21"/>
              </w:rPr>
            </w:pPr>
          </w:p>
        </w:tc>
        <w:tc>
          <w:tcPr>
            <w:tcW w:w="1065" w:type="dxa"/>
            <w:vAlign w:val="top"/>
          </w:tcPr>
          <w:p>
            <w:pPr>
              <w:spacing w:line="440" w:lineRule="exact"/>
              <w:jc w:val="center"/>
              <w:rPr>
                <w:szCs w:val="21"/>
              </w:rPr>
            </w:pPr>
          </w:p>
        </w:tc>
        <w:tc>
          <w:tcPr>
            <w:tcW w:w="1065" w:type="dxa"/>
            <w:vAlign w:val="top"/>
          </w:tcPr>
          <w:p>
            <w:pPr>
              <w:spacing w:line="440" w:lineRule="exact"/>
              <w:jc w:val="center"/>
              <w:rPr>
                <w:szCs w:val="21"/>
              </w:rPr>
            </w:pPr>
          </w:p>
        </w:tc>
        <w:tc>
          <w:tcPr>
            <w:tcW w:w="1064" w:type="dxa"/>
            <w:vAlign w:val="top"/>
          </w:tcPr>
          <w:p>
            <w:pPr>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9" w:type="dxa"/>
            <w:vAlign w:val="top"/>
          </w:tcPr>
          <w:p>
            <w:pPr>
              <w:spacing w:line="440" w:lineRule="exact"/>
              <w:jc w:val="center"/>
              <w:rPr>
                <w:szCs w:val="21"/>
              </w:rPr>
            </w:pPr>
          </w:p>
        </w:tc>
        <w:tc>
          <w:tcPr>
            <w:tcW w:w="1304" w:type="dxa"/>
            <w:vAlign w:val="top"/>
          </w:tcPr>
          <w:p>
            <w:pPr>
              <w:spacing w:line="440" w:lineRule="exact"/>
              <w:jc w:val="center"/>
              <w:rPr>
                <w:szCs w:val="21"/>
              </w:rPr>
            </w:pPr>
          </w:p>
        </w:tc>
        <w:tc>
          <w:tcPr>
            <w:tcW w:w="1065" w:type="dxa"/>
            <w:vAlign w:val="top"/>
          </w:tcPr>
          <w:p>
            <w:pPr>
              <w:spacing w:line="440" w:lineRule="exact"/>
              <w:jc w:val="center"/>
              <w:rPr>
                <w:szCs w:val="21"/>
              </w:rPr>
            </w:pPr>
          </w:p>
        </w:tc>
        <w:tc>
          <w:tcPr>
            <w:tcW w:w="1065" w:type="dxa"/>
            <w:vAlign w:val="top"/>
          </w:tcPr>
          <w:p>
            <w:pPr>
              <w:spacing w:line="440" w:lineRule="exact"/>
              <w:jc w:val="center"/>
              <w:rPr>
                <w:szCs w:val="21"/>
              </w:rPr>
            </w:pPr>
          </w:p>
        </w:tc>
        <w:tc>
          <w:tcPr>
            <w:tcW w:w="1065" w:type="dxa"/>
            <w:vAlign w:val="top"/>
          </w:tcPr>
          <w:p>
            <w:pPr>
              <w:spacing w:line="440" w:lineRule="exact"/>
              <w:jc w:val="center"/>
              <w:rPr>
                <w:szCs w:val="21"/>
              </w:rPr>
            </w:pPr>
          </w:p>
        </w:tc>
        <w:tc>
          <w:tcPr>
            <w:tcW w:w="1065" w:type="dxa"/>
            <w:vAlign w:val="top"/>
          </w:tcPr>
          <w:p>
            <w:pPr>
              <w:spacing w:line="440" w:lineRule="exact"/>
              <w:jc w:val="center"/>
              <w:rPr>
                <w:szCs w:val="21"/>
              </w:rPr>
            </w:pPr>
          </w:p>
        </w:tc>
        <w:tc>
          <w:tcPr>
            <w:tcW w:w="1065" w:type="dxa"/>
            <w:vAlign w:val="top"/>
          </w:tcPr>
          <w:p>
            <w:pPr>
              <w:spacing w:line="440" w:lineRule="exact"/>
              <w:jc w:val="center"/>
              <w:rPr>
                <w:szCs w:val="21"/>
              </w:rPr>
            </w:pPr>
          </w:p>
        </w:tc>
        <w:tc>
          <w:tcPr>
            <w:tcW w:w="1064" w:type="dxa"/>
            <w:vAlign w:val="top"/>
          </w:tcPr>
          <w:p>
            <w:pPr>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9" w:type="dxa"/>
            <w:vAlign w:val="top"/>
          </w:tcPr>
          <w:p>
            <w:pPr>
              <w:spacing w:line="440" w:lineRule="exact"/>
              <w:jc w:val="center"/>
              <w:rPr>
                <w:szCs w:val="21"/>
              </w:rPr>
            </w:pPr>
          </w:p>
        </w:tc>
        <w:tc>
          <w:tcPr>
            <w:tcW w:w="1304" w:type="dxa"/>
            <w:vAlign w:val="top"/>
          </w:tcPr>
          <w:p>
            <w:pPr>
              <w:spacing w:line="440" w:lineRule="exact"/>
              <w:jc w:val="center"/>
              <w:rPr>
                <w:szCs w:val="21"/>
              </w:rPr>
            </w:pPr>
          </w:p>
        </w:tc>
        <w:tc>
          <w:tcPr>
            <w:tcW w:w="1065" w:type="dxa"/>
            <w:vAlign w:val="top"/>
          </w:tcPr>
          <w:p>
            <w:pPr>
              <w:spacing w:line="440" w:lineRule="exact"/>
              <w:jc w:val="center"/>
              <w:rPr>
                <w:szCs w:val="21"/>
              </w:rPr>
            </w:pPr>
          </w:p>
        </w:tc>
        <w:tc>
          <w:tcPr>
            <w:tcW w:w="1065" w:type="dxa"/>
            <w:vAlign w:val="top"/>
          </w:tcPr>
          <w:p>
            <w:pPr>
              <w:spacing w:line="440" w:lineRule="exact"/>
              <w:jc w:val="center"/>
              <w:rPr>
                <w:szCs w:val="21"/>
              </w:rPr>
            </w:pPr>
          </w:p>
        </w:tc>
        <w:tc>
          <w:tcPr>
            <w:tcW w:w="1065" w:type="dxa"/>
            <w:vAlign w:val="top"/>
          </w:tcPr>
          <w:p>
            <w:pPr>
              <w:spacing w:line="440" w:lineRule="exact"/>
              <w:jc w:val="center"/>
              <w:rPr>
                <w:szCs w:val="21"/>
              </w:rPr>
            </w:pPr>
          </w:p>
        </w:tc>
        <w:tc>
          <w:tcPr>
            <w:tcW w:w="1065" w:type="dxa"/>
            <w:vAlign w:val="top"/>
          </w:tcPr>
          <w:p>
            <w:pPr>
              <w:spacing w:line="440" w:lineRule="exact"/>
              <w:jc w:val="center"/>
              <w:rPr>
                <w:szCs w:val="21"/>
              </w:rPr>
            </w:pPr>
          </w:p>
        </w:tc>
        <w:tc>
          <w:tcPr>
            <w:tcW w:w="1065" w:type="dxa"/>
            <w:vAlign w:val="top"/>
          </w:tcPr>
          <w:p>
            <w:pPr>
              <w:spacing w:line="440" w:lineRule="exact"/>
              <w:jc w:val="center"/>
              <w:rPr>
                <w:szCs w:val="21"/>
              </w:rPr>
            </w:pPr>
          </w:p>
        </w:tc>
        <w:tc>
          <w:tcPr>
            <w:tcW w:w="1064" w:type="dxa"/>
            <w:vAlign w:val="top"/>
          </w:tcPr>
          <w:p>
            <w:pPr>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9" w:type="dxa"/>
            <w:vAlign w:val="top"/>
          </w:tcPr>
          <w:p>
            <w:pPr>
              <w:spacing w:line="440" w:lineRule="exact"/>
              <w:jc w:val="center"/>
              <w:rPr>
                <w:szCs w:val="21"/>
              </w:rPr>
            </w:pPr>
          </w:p>
        </w:tc>
        <w:tc>
          <w:tcPr>
            <w:tcW w:w="1304" w:type="dxa"/>
            <w:vAlign w:val="top"/>
          </w:tcPr>
          <w:p>
            <w:pPr>
              <w:spacing w:line="440" w:lineRule="exact"/>
              <w:jc w:val="center"/>
              <w:rPr>
                <w:szCs w:val="21"/>
              </w:rPr>
            </w:pPr>
          </w:p>
        </w:tc>
        <w:tc>
          <w:tcPr>
            <w:tcW w:w="1065" w:type="dxa"/>
            <w:vAlign w:val="top"/>
          </w:tcPr>
          <w:p>
            <w:pPr>
              <w:spacing w:line="440" w:lineRule="exact"/>
              <w:jc w:val="center"/>
              <w:rPr>
                <w:szCs w:val="21"/>
              </w:rPr>
            </w:pPr>
          </w:p>
        </w:tc>
        <w:tc>
          <w:tcPr>
            <w:tcW w:w="1065" w:type="dxa"/>
            <w:vAlign w:val="top"/>
          </w:tcPr>
          <w:p>
            <w:pPr>
              <w:spacing w:line="440" w:lineRule="exact"/>
              <w:jc w:val="center"/>
              <w:rPr>
                <w:szCs w:val="21"/>
              </w:rPr>
            </w:pPr>
          </w:p>
        </w:tc>
        <w:tc>
          <w:tcPr>
            <w:tcW w:w="1065" w:type="dxa"/>
            <w:vAlign w:val="top"/>
          </w:tcPr>
          <w:p>
            <w:pPr>
              <w:spacing w:line="440" w:lineRule="exact"/>
              <w:jc w:val="center"/>
              <w:rPr>
                <w:szCs w:val="21"/>
              </w:rPr>
            </w:pPr>
          </w:p>
        </w:tc>
        <w:tc>
          <w:tcPr>
            <w:tcW w:w="1065" w:type="dxa"/>
            <w:vAlign w:val="top"/>
          </w:tcPr>
          <w:p>
            <w:pPr>
              <w:spacing w:line="440" w:lineRule="exact"/>
              <w:jc w:val="center"/>
              <w:rPr>
                <w:szCs w:val="21"/>
              </w:rPr>
            </w:pPr>
          </w:p>
        </w:tc>
        <w:tc>
          <w:tcPr>
            <w:tcW w:w="1065" w:type="dxa"/>
            <w:vAlign w:val="top"/>
          </w:tcPr>
          <w:p>
            <w:pPr>
              <w:spacing w:line="440" w:lineRule="exact"/>
              <w:jc w:val="center"/>
              <w:rPr>
                <w:szCs w:val="21"/>
              </w:rPr>
            </w:pPr>
          </w:p>
        </w:tc>
        <w:tc>
          <w:tcPr>
            <w:tcW w:w="1064" w:type="dxa"/>
            <w:vAlign w:val="top"/>
          </w:tcPr>
          <w:p>
            <w:pPr>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9" w:type="dxa"/>
            <w:vAlign w:val="top"/>
          </w:tcPr>
          <w:p>
            <w:pPr>
              <w:spacing w:line="440" w:lineRule="exact"/>
              <w:jc w:val="center"/>
              <w:rPr>
                <w:szCs w:val="21"/>
              </w:rPr>
            </w:pPr>
          </w:p>
        </w:tc>
        <w:tc>
          <w:tcPr>
            <w:tcW w:w="1304" w:type="dxa"/>
            <w:vAlign w:val="top"/>
          </w:tcPr>
          <w:p>
            <w:pPr>
              <w:spacing w:line="440" w:lineRule="exact"/>
              <w:jc w:val="center"/>
              <w:rPr>
                <w:szCs w:val="21"/>
              </w:rPr>
            </w:pPr>
          </w:p>
        </w:tc>
        <w:tc>
          <w:tcPr>
            <w:tcW w:w="1065" w:type="dxa"/>
            <w:vAlign w:val="top"/>
          </w:tcPr>
          <w:p>
            <w:pPr>
              <w:spacing w:line="440" w:lineRule="exact"/>
              <w:jc w:val="center"/>
              <w:rPr>
                <w:szCs w:val="21"/>
              </w:rPr>
            </w:pPr>
          </w:p>
        </w:tc>
        <w:tc>
          <w:tcPr>
            <w:tcW w:w="1065" w:type="dxa"/>
            <w:vAlign w:val="top"/>
          </w:tcPr>
          <w:p>
            <w:pPr>
              <w:spacing w:line="440" w:lineRule="exact"/>
              <w:jc w:val="center"/>
              <w:rPr>
                <w:szCs w:val="21"/>
              </w:rPr>
            </w:pPr>
          </w:p>
        </w:tc>
        <w:tc>
          <w:tcPr>
            <w:tcW w:w="1065" w:type="dxa"/>
            <w:vAlign w:val="top"/>
          </w:tcPr>
          <w:p>
            <w:pPr>
              <w:spacing w:line="440" w:lineRule="exact"/>
              <w:jc w:val="center"/>
              <w:rPr>
                <w:szCs w:val="21"/>
              </w:rPr>
            </w:pPr>
          </w:p>
        </w:tc>
        <w:tc>
          <w:tcPr>
            <w:tcW w:w="1065" w:type="dxa"/>
            <w:vAlign w:val="top"/>
          </w:tcPr>
          <w:p>
            <w:pPr>
              <w:spacing w:line="440" w:lineRule="exact"/>
              <w:jc w:val="center"/>
              <w:rPr>
                <w:szCs w:val="21"/>
              </w:rPr>
            </w:pPr>
          </w:p>
        </w:tc>
        <w:tc>
          <w:tcPr>
            <w:tcW w:w="1065" w:type="dxa"/>
            <w:vAlign w:val="top"/>
          </w:tcPr>
          <w:p>
            <w:pPr>
              <w:spacing w:line="440" w:lineRule="exact"/>
              <w:jc w:val="center"/>
              <w:rPr>
                <w:szCs w:val="21"/>
              </w:rPr>
            </w:pPr>
          </w:p>
        </w:tc>
        <w:tc>
          <w:tcPr>
            <w:tcW w:w="1064" w:type="dxa"/>
            <w:vAlign w:val="top"/>
          </w:tcPr>
          <w:p>
            <w:pPr>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9" w:type="dxa"/>
            <w:vAlign w:val="top"/>
          </w:tcPr>
          <w:p>
            <w:pPr>
              <w:spacing w:line="440" w:lineRule="exact"/>
              <w:jc w:val="center"/>
              <w:rPr>
                <w:szCs w:val="21"/>
              </w:rPr>
            </w:pPr>
          </w:p>
        </w:tc>
        <w:tc>
          <w:tcPr>
            <w:tcW w:w="1304" w:type="dxa"/>
            <w:vAlign w:val="top"/>
          </w:tcPr>
          <w:p>
            <w:pPr>
              <w:spacing w:line="440" w:lineRule="exact"/>
              <w:jc w:val="center"/>
              <w:rPr>
                <w:szCs w:val="21"/>
              </w:rPr>
            </w:pPr>
          </w:p>
        </w:tc>
        <w:tc>
          <w:tcPr>
            <w:tcW w:w="1065" w:type="dxa"/>
            <w:vAlign w:val="top"/>
          </w:tcPr>
          <w:p>
            <w:pPr>
              <w:spacing w:line="440" w:lineRule="exact"/>
              <w:jc w:val="center"/>
              <w:rPr>
                <w:szCs w:val="21"/>
              </w:rPr>
            </w:pPr>
          </w:p>
        </w:tc>
        <w:tc>
          <w:tcPr>
            <w:tcW w:w="1065" w:type="dxa"/>
            <w:vAlign w:val="top"/>
          </w:tcPr>
          <w:p>
            <w:pPr>
              <w:spacing w:line="440" w:lineRule="exact"/>
              <w:jc w:val="center"/>
              <w:rPr>
                <w:szCs w:val="21"/>
              </w:rPr>
            </w:pPr>
          </w:p>
        </w:tc>
        <w:tc>
          <w:tcPr>
            <w:tcW w:w="1065" w:type="dxa"/>
            <w:vAlign w:val="top"/>
          </w:tcPr>
          <w:p>
            <w:pPr>
              <w:spacing w:line="440" w:lineRule="exact"/>
              <w:jc w:val="center"/>
              <w:rPr>
                <w:szCs w:val="21"/>
              </w:rPr>
            </w:pPr>
          </w:p>
        </w:tc>
        <w:tc>
          <w:tcPr>
            <w:tcW w:w="1065" w:type="dxa"/>
            <w:vAlign w:val="top"/>
          </w:tcPr>
          <w:p>
            <w:pPr>
              <w:spacing w:line="440" w:lineRule="exact"/>
              <w:jc w:val="center"/>
              <w:rPr>
                <w:szCs w:val="21"/>
              </w:rPr>
            </w:pPr>
          </w:p>
        </w:tc>
        <w:tc>
          <w:tcPr>
            <w:tcW w:w="1065" w:type="dxa"/>
            <w:vAlign w:val="top"/>
          </w:tcPr>
          <w:p>
            <w:pPr>
              <w:spacing w:line="440" w:lineRule="exact"/>
              <w:jc w:val="center"/>
              <w:rPr>
                <w:szCs w:val="21"/>
              </w:rPr>
            </w:pPr>
          </w:p>
        </w:tc>
        <w:tc>
          <w:tcPr>
            <w:tcW w:w="1064" w:type="dxa"/>
            <w:vAlign w:val="top"/>
          </w:tcPr>
          <w:p>
            <w:pPr>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9" w:type="dxa"/>
            <w:vAlign w:val="top"/>
          </w:tcPr>
          <w:p>
            <w:pPr>
              <w:spacing w:line="440" w:lineRule="exact"/>
              <w:jc w:val="center"/>
              <w:rPr>
                <w:szCs w:val="21"/>
              </w:rPr>
            </w:pPr>
          </w:p>
        </w:tc>
        <w:tc>
          <w:tcPr>
            <w:tcW w:w="1304" w:type="dxa"/>
            <w:vAlign w:val="top"/>
          </w:tcPr>
          <w:p>
            <w:pPr>
              <w:spacing w:line="440" w:lineRule="exact"/>
              <w:jc w:val="center"/>
              <w:rPr>
                <w:szCs w:val="21"/>
              </w:rPr>
            </w:pPr>
          </w:p>
        </w:tc>
        <w:tc>
          <w:tcPr>
            <w:tcW w:w="1065" w:type="dxa"/>
            <w:vAlign w:val="top"/>
          </w:tcPr>
          <w:p>
            <w:pPr>
              <w:spacing w:line="440" w:lineRule="exact"/>
              <w:jc w:val="center"/>
              <w:rPr>
                <w:szCs w:val="21"/>
              </w:rPr>
            </w:pPr>
          </w:p>
        </w:tc>
        <w:tc>
          <w:tcPr>
            <w:tcW w:w="1065" w:type="dxa"/>
            <w:vAlign w:val="top"/>
          </w:tcPr>
          <w:p>
            <w:pPr>
              <w:spacing w:line="440" w:lineRule="exact"/>
              <w:jc w:val="center"/>
              <w:rPr>
                <w:szCs w:val="21"/>
              </w:rPr>
            </w:pPr>
          </w:p>
        </w:tc>
        <w:tc>
          <w:tcPr>
            <w:tcW w:w="1065" w:type="dxa"/>
            <w:vAlign w:val="top"/>
          </w:tcPr>
          <w:p>
            <w:pPr>
              <w:spacing w:line="440" w:lineRule="exact"/>
              <w:jc w:val="center"/>
              <w:rPr>
                <w:szCs w:val="21"/>
              </w:rPr>
            </w:pPr>
          </w:p>
        </w:tc>
        <w:tc>
          <w:tcPr>
            <w:tcW w:w="1065" w:type="dxa"/>
            <w:vAlign w:val="top"/>
          </w:tcPr>
          <w:p>
            <w:pPr>
              <w:spacing w:line="440" w:lineRule="exact"/>
              <w:jc w:val="center"/>
              <w:rPr>
                <w:szCs w:val="21"/>
              </w:rPr>
            </w:pPr>
          </w:p>
        </w:tc>
        <w:tc>
          <w:tcPr>
            <w:tcW w:w="1065" w:type="dxa"/>
            <w:vAlign w:val="top"/>
          </w:tcPr>
          <w:p>
            <w:pPr>
              <w:spacing w:line="440" w:lineRule="exact"/>
              <w:jc w:val="center"/>
              <w:rPr>
                <w:szCs w:val="21"/>
              </w:rPr>
            </w:pPr>
          </w:p>
        </w:tc>
        <w:tc>
          <w:tcPr>
            <w:tcW w:w="1064" w:type="dxa"/>
            <w:vAlign w:val="top"/>
          </w:tcPr>
          <w:p>
            <w:pPr>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9" w:type="dxa"/>
            <w:vAlign w:val="top"/>
          </w:tcPr>
          <w:p>
            <w:pPr>
              <w:spacing w:line="440" w:lineRule="exact"/>
              <w:jc w:val="center"/>
              <w:rPr>
                <w:szCs w:val="21"/>
              </w:rPr>
            </w:pPr>
          </w:p>
        </w:tc>
        <w:tc>
          <w:tcPr>
            <w:tcW w:w="1304" w:type="dxa"/>
            <w:vAlign w:val="top"/>
          </w:tcPr>
          <w:p>
            <w:pPr>
              <w:spacing w:line="440" w:lineRule="exact"/>
              <w:jc w:val="center"/>
              <w:rPr>
                <w:szCs w:val="21"/>
              </w:rPr>
            </w:pPr>
          </w:p>
        </w:tc>
        <w:tc>
          <w:tcPr>
            <w:tcW w:w="1065" w:type="dxa"/>
            <w:vAlign w:val="top"/>
          </w:tcPr>
          <w:p>
            <w:pPr>
              <w:spacing w:line="440" w:lineRule="exact"/>
              <w:jc w:val="center"/>
              <w:rPr>
                <w:szCs w:val="21"/>
              </w:rPr>
            </w:pPr>
          </w:p>
        </w:tc>
        <w:tc>
          <w:tcPr>
            <w:tcW w:w="1065" w:type="dxa"/>
            <w:vAlign w:val="top"/>
          </w:tcPr>
          <w:p>
            <w:pPr>
              <w:spacing w:line="440" w:lineRule="exact"/>
              <w:jc w:val="center"/>
              <w:rPr>
                <w:szCs w:val="21"/>
              </w:rPr>
            </w:pPr>
          </w:p>
        </w:tc>
        <w:tc>
          <w:tcPr>
            <w:tcW w:w="1065" w:type="dxa"/>
            <w:vAlign w:val="top"/>
          </w:tcPr>
          <w:p>
            <w:pPr>
              <w:spacing w:line="440" w:lineRule="exact"/>
              <w:jc w:val="center"/>
              <w:rPr>
                <w:szCs w:val="21"/>
              </w:rPr>
            </w:pPr>
          </w:p>
        </w:tc>
        <w:tc>
          <w:tcPr>
            <w:tcW w:w="1065" w:type="dxa"/>
            <w:vAlign w:val="top"/>
          </w:tcPr>
          <w:p>
            <w:pPr>
              <w:spacing w:line="440" w:lineRule="exact"/>
              <w:jc w:val="center"/>
              <w:rPr>
                <w:szCs w:val="21"/>
              </w:rPr>
            </w:pPr>
          </w:p>
        </w:tc>
        <w:tc>
          <w:tcPr>
            <w:tcW w:w="1065" w:type="dxa"/>
            <w:vAlign w:val="top"/>
          </w:tcPr>
          <w:p>
            <w:pPr>
              <w:spacing w:line="440" w:lineRule="exact"/>
              <w:jc w:val="center"/>
              <w:rPr>
                <w:szCs w:val="21"/>
              </w:rPr>
            </w:pPr>
          </w:p>
        </w:tc>
        <w:tc>
          <w:tcPr>
            <w:tcW w:w="1064" w:type="dxa"/>
            <w:vAlign w:val="top"/>
          </w:tcPr>
          <w:p>
            <w:pPr>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9" w:type="dxa"/>
            <w:vAlign w:val="top"/>
          </w:tcPr>
          <w:p>
            <w:pPr>
              <w:spacing w:line="440" w:lineRule="exact"/>
              <w:jc w:val="center"/>
              <w:rPr>
                <w:szCs w:val="21"/>
              </w:rPr>
            </w:pPr>
          </w:p>
        </w:tc>
        <w:tc>
          <w:tcPr>
            <w:tcW w:w="1304" w:type="dxa"/>
            <w:vAlign w:val="top"/>
          </w:tcPr>
          <w:p>
            <w:pPr>
              <w:spacing w:line="440" w:lineRule="exact"/>
              <w:jc w:val="center"/>
              <w:rPr>
                <w:szCs w:val="21"/>
              </w:rPr>
            </w:pPr>
          </w:p>
        </w:tc>
        <w:tc>
          <w:tcPr>
            <w:tcW w:w="1065" w:type="dxa"/>
            <w:vAlign w:val="top"/>
          </w:tcPr>
          <w:p>
            <w:pPr>
              <w:spacing w:line="440" w:lineRule="exact"/>
              <w:jc w:val="center"/>
              <w:rPr>
                <w:szCs w:val="21"/>
              </w:rPr>
            </w:pPr>
          </w:p>
        </w:tc>
        <w:tc>
          <w:tcPr>
            <w:tcW w:w="1065" w:type="dxa"/>
            <w:vAlign w:val="top"/>
          </w:tcPr>
          <w:p>
            <w:pPr>
              <w:spacing w:line="440" w:lineRule="exact"/>
              <w:jc w:val="center"/>
              <w:rPr>
                <w:szCs w:val="21"/>
              </w:rPr>
            </w:pPr>
          </w:p>
        </w:tc>
        <w:tc>
          <w:tcPr>
            <w:tcW w:w="1065" w:type="dxa"/>
            <w:vAlign w:val="top"/>
          </w:tcPr>
          <w:p>
            <w:pPr>
              <w:spacing w:line="440" w:lineRule="exact"/>
              <w:jc w:val="center"/>
              <w:rPr>
                <w:szCs w:val="21"/>
              </w:rPr>
            </w:pPr>
          </w:p>
        </w:tc>
        <w:tc>
          <w:tcPr>
            <w:tcW w:w="1065" w:type="dxa"/>
            <w:vAlign w:val="top"/>
          </w:tcPr>
          <w:p>
            <w:pPr>
              <w:spacing w:line="440" w:lineRule="exact"/>
              <w:jc w:val="center"/>
              <w:rPr>
                <w:szCs w:val="21"/>
              </w:rPr>
            </w:pPr>
          </w:p>
        </w:tc>
        <w:tc>
          <w:tcPr>
            <w:tcW w:w="1065" w:type="dxa"/>
            <w:vAlign w:val="top"/>
          </w:tcPr>
          <w:p>
            <w:pPr>
              <w:spacing w:line="440" w:lineRule="exact"/>
              <w:jc w:val="center"/>
              <w:rPr>
                <w:szCs w:val="21"/>
              </w:rPr>
            </w:pPr>
          </w:p>
        </w:tc>
        <w:tc>
          <w:tcPr>
            <w:tcW w:w="1064" w:type="dxa"/>
            <w:vAlign w:val="top"/>
          </w:tcPr>
          <w:p>
            <w:pPr>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9" w:type="dxa"/>
            <w:vAlign w:val="top"/>
          </w:tcPr>
          <w:p>
            <w:pPr>
              <w:spacing w:line="440" w:lineRule="exact"/>
              <w:jc w:val="center"/>
              <w:rPr>
                <w:szCs w:val="21"/>
              </w:rPr>
            </w:pPr>
          </w:p>
        </w:tc>
        <w:tc>
          <w:tcPr>
            <w:tcW w:w="1304" w:type="dxa"/>
            <w:vAlign w:val="top"/>
          </w:tcPr>
          <w:p>
            <w:pPr>
              <w:spacing w:line="440" w:lineRule="exact"/>
              <w:jc w:val="center"/>
              <w:rPr>
                <w:szCs w:val="21"/>
              </w:rPr>
            </w:pPr>
          </w:p>
        </w:tc>
        <w:tc>
          <w:tcPr>
            <w:tcW w:w="1065" w:type="dxa"/>
            <w:vAlign w:val="top"/>
          </w:tcPr>
          <w:p>
            <w:pPr>
              <w:spacing w:line="440" w:lineRule="exact"/>
              <w:jc w:val="center"/>
              <w:rPr>
                <w:szCs w:val="21"/>
              </w:rPr>
            </w:pPr>
          </w:p>
        </w:tc>
        <w:tc>
          <w:tcPr>
            <w:tcW w:w="1065" w:type="dxa"/>
            <w:vAlign w:val="top"/>
          </w:tcPr>
          <w:p>
            <w:pPr>
              <w:spacing w:line="440" w:lineRule="exact"/>
              <w:jc w:val="center"/>
              <w:rPr>
                <w:szCs w:val="21"/>
              </w:rPr>
            </w:pPr>
          </w:p>
        </w:tc>
        <w:tc>
          <w:tcPr>
            <w:tcW w:w="1065" w:type="dxa"/>
            <w:vAlign w:val="top"/>
          </w:tcPr>
          <w:p>
            <w:pPr>
              <w:spacing w:line="440" w:lineRule="exact"/>
              <w:jc w:val="center"/>
              <w:rPr>
                <w:szCs w:val="21"/>
              </w:rPr>
            </w:pPr>
          </w:p>
        </w:tc>
        <w:tc>
          <w:tcPr>
            <w:tcW w:w="1065" w:type="dxa"/>
            <w:vAlign w:val="top"/>
          </w:tcPr>
          <w:p>
            <w:pPr>
              <w:spacing w:line="440" w:lineRule="exact"/>
              <w:jc w:val="center"/>
              <w:rPr>
                <w:szCs w:val="21"/>
              </w:rPr>
            </w:pPr>
          </w:p>
        </w:tc>
        <w:tc>
          <w:tcPr>
            <w:tcW w:w="1065" w:type="dxa"/>
            <w:vAlign w:val="top"/>
          </w:tcPr>
          <w:p>
            <w:pPr>
              <w:spacing w:line="440" w:lineRule="exact"/>
              <w:jc w:val="center"/>
              <w:rPr>
                <w:szCs w:val="21"/>
              </w:rPr>
            </w:pPr>
          </w:p>
        </w:tc>
        <w:tc>
          <w:tcPr>
            <w:tcW w:w="1064" w:type="dxa"/>
            <w:vAlign w:val="top"/>
          </w:tcPr>
          <w:p>
            <w:pPr>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9" w:type="dxa"/>
            <w:vAlign w:val="top"/>
          </w:tcPr>
          <w:p>
            <w:pPr>
              <w:spacing w:line="440" w:lineRule="exact"/>
              <w:jc w:val="center"/>
              <w:rPr>
                <w:szCs w:val="21"/>
              </w:rPr>
            </w:pPr>
          </w:p>
        </w:tc>
        <w:tc>
          <w:tcPr>
            <w:tcW w:w="1304" w:type="dxa"/>
            <w:vAlign w:val="top"/>
          </w:tcPr>
          <w:p>
            <w:pPr>
              <w:spacing w:line="440" w:lineRule="exact"/>
              <w:jc w:val="center"/>
              <w:rPr>
                <w:szCs w:val="21"/>
              </w:rPr>
            </w:pPr>
          </w:p>
        </w:tc>
        <w:tc>
          <w:tcPr>
            <w:tcW w:w="1065" w:type="dxa"/>
            <w:vAlign w:val="top"/>
          </w:tcPr>
          <w:p>
            <w:pPr>
              <w:spacing w:line="440" w:lineRule="exact"/>
              <w:jc w:val="center"/>
              <w:rPr>
                <w:szCs w:val="21"/>
              </w:rPr>
            </w:pPr>
          </w:p>
        </w:tc>
        <w:tc>
          <w:tcPr>
            <w:tcW w:w="1065" w:type="dxa"/>
            <w:vAlign w:val="top"/>
          </w:tcPr>
          <w:p>
            <w:pPr>
              <w:spacing w:line="440" w:lineRule="exact"/>
              <w:jc w:val="center"/>
              <w:rPr>
                <w:szCs w:val="21"/>
              </w:rPr>
            </w:pPr>
          </w:p>
        </w:tc>
        <w:tc>
          <w:tcPr>
            <w:tcW w:w="1065" w:type="dxa"/>
            <w:vAlign w:val="top"/>
          </w:tcPr>
          <w:p>
            <w:pPr>
              <w:spacing w:line="440" w:lineRule="exact"/>
              <w:jc w:val="center"/>
              <w:rPr>
                <w:szCs w:val="21"/>
              </w:rPr>
            </w:pPr>
          </w:p>
        </w:tc>
        <w:tc>
          <w:tcPr>
            <w:tcW w:w="1065" w:type="dxa"/>
            <w:vAlign w:val="top"/>
          </w:tcPr>
          <w:p>
            <w:pPr>
              <w:spacing w:line="440" w:lineRule="exact"/>
              <w:jc w:val="center"/>
              <w:rPr>
                <w:szCs w:val="21"/>
              </w:rPr>
            </w:pPr>
          </w:p>
        </w:tc>
        <w:tc>
          <w:tcPr>
            <w:tcW w:w="1065" w:type="dxa"/>
            <w:vAlign w:val="top"/>
          </w:tcPr>
          <w:p>
            <w:pPr>
              <w:spacing w:line="440" w:lineRule="exact"/>
              <w:jc w:val="center"/>
              <w:rPr>
                <w:szCs w:val="21"/>
              </w:rPr>
            </w:pPr>
          </w:p>
        </w:tc>
        <w:tc>
          <w:tcPr>
            <w:tcW w:w="1064" w:type="dxa"/>
            <w:vAlign w:val="top"/>
          </w:tcPr>
          <w:p>
            <w:pPr>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9" w:type="dxa"/>
            <w:vAlign w:val="top"/>
          </w:tcPr>
          <w:p>
            <w:pPr>
              <w:spacing w:line="440" w:lineRule="exact"/>
              <w:jc w:val="center"/>
              <w:rPr>
                <w:szCs w:val="21"/>
              </w:rPr>
            </w:pPr>
          </w:p>
        </w:tc>
        <w:tc>
          <w:tcPr>
            <w:tcW w:w="1304" w:type="dxa"/>
            <w:vAlign w:val="top"/>
          </w:tcPr>
          <w:p>
            <w:pPr>
              <w:spacing w:line="440" w:lineRule="exact"/>
              <w:jc w:val="center"/>
              <w:rPr>
                <w:szCs w:val="21"/>
              </w:rPr>
            </w:pPr>
          </w:p>
        </w:tc>
        <w:tc>
          <w:tcPr>
            <w:tcW w:w="1065" w:type="dxa"/>
            <w:vAlign w:val="top"/>
          </w:tcPr>
          <w:p>
            <w:pPr>
              <w:spacing w:line="440" w:lineRule="exact"/>
              <w:jc w:val="center"/>
              <w:rPr>
                <w:szCs w:val="21"/>
              </w:rPr>
            </w:pPr>
          </w:p>
        </w:tc>
        <w:tc>
          <w:tcPr>
            <w:tcW w:w="1065" w:type="dxa"/>
            <w:vAlign w:val="top"/>
          </w:tcPr>
          <w:p>
            <w:pPr>
              <w:spacing w:line="440" w:lineRule="exact"/>
              <w:jc w:val="center"/>
              <w:rPr>
                <w:szCs w:val="21"/>
              </w:rPr>
            </w:pPr>
          </w:p>
        </w:tc>
        <w:tc>
          <w:tcPr>
            <w:tcW w:w="1065" w:type="dxa"/>
            <w:vAlign w:val="top"/>
          </w:tcPr>
          <w:p>
            <w:pPr>
              <w:spacing w:line="440" w:lineRule="exact"/>
              <w:jc w:val="center"/>
              <w:rPr>
                <w:szCs w:val="21"/>
              </w:rPr>
            </w:pPr>
          </w:p>
        </w:tc>
        <w:tc>
          <w:tcPr>
            <w:tcW w:w="1065" w:type="dxa"/>
            <w:vAlign w:val="top"/>
          </w:tcPr>
          <w:p>
            <w:pPr>
              <w:spacing w:line="440" w:lineRule="exact"/>
              <w:jc w:val="center"/>
              <w:rPr>
                <w:szCs w:val="21"/>
              </w:rPr>
            </w:pPr>
          </w:p>
        </w:tc>
        <w:tc>
          <w:tcPr>
            <w:tcW w:w="1065" w:type="dxa"/>
            <w:vAlign w:val="top"/>
          </w:tcPr>
          <w:p>
            <w:pPr>
              <w:spacing w:line="440" w:lineRule="exact"/>
              <w:jc w:val="center"/>
              <w:rPr>
                <w:szCs w:val="21"/>
              </w:rPr>
            </w:pPr>
          </w:p>
        </w:tc>
        <w:tc>
          <w:tcPr>
            <w:tcW w:w="1064" w:type="dxa"/>
            <w:vAlign w:val="top"/>
          </w:tcPr>
          <w:p>
            <w:pPr>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9" w:type="dxa"/>
            <w:vAlign w:val="top"/>
          </w:tcPr>
          <w:p>
            <w:pPr>
              <w:spacing w:line="440" w:lineRule="exact"/>
              <w:jc w:val="center"/>
              <w:rPr>
                <w:szCs w:val="21"/>
              </w:rPr>
            </w:pPr>
          </w:p>
        </w:tc>
        <w:tc>
          <w:tcPr>
            <w:tcW w:w="1304" w:type="dxa"/>
            <w:vAlign w:val="top"/>
          </w:tcPr>
          <w:p>
            <w:pPr>
              <w:spacing w:line="440" w:lineRule="exact"/>
              <w:jc w:val="center"/>
              <w:rPr>
                <w:szCs w:val="21"/>
              </w:rPr>
            </w:pPr>
          </w:p>
        </w:tc>
        <w:tc>
          <w:tcPr>
            <w:tcW w:w="1065" w:type="dxa"/>
            <w:vAlign w:val="top"/>
          </w:tcPr>
          <w:p>
            <w:pPr>
              <w:spacing w:line="440" w:lineRule="exact"/>
              <w:jc w:val="center"/>
              <w:rPr>
                <w:szCs w:val="21"/>
              </w:rPr>
            </w:pPr>
          </w:p>
        </w:tc>
        <w:tc>
          <w:tcPr>
            <w:tcW w:w="1065" w:type="dxa"/>
            <w:vAlign w:val="top"/>
          </w:tcPr>
          <w:p>
            <w:pPr>
              <w:spacing w:line="440" w:lineRule="exact"/>
              <w:jc w:val="center"/>
              <w:rPr>
                <w:szCs w:val="21"/>
              </w:rPr>
            </w:pPr>
          </w:p>
        </w:tc>
        <w:tc>
          <w:tcPr>
            <w:tcW w:w="1065" w:type="dxa"/>
            <w:vAlign w:val="top"/>
          </w:tcPr>
          <w:p>
            <w:pPr>
              <w:spacing w:line="440" w:lineRule="exact"/>
              <w:jc w:val="center"/>
              <w:rPr>
                <w:szCs w:val="21"/>
              </w:rPr>
            </w:pPr>
          </w:p>
        </w:tc>
        <w:tc>
          <w:tcPr>
            <w:tcW w:w="1065" w:type="dxa"/>
            <w:vAlign w:val="top"/>
          </w:tcPr>
          <w:p>
            <w:pPr>
              <w:spacing w:line="440" w:lineRule="exact"/>
              <w:jc w:val="center"/>
              <w:rPr>
                <w:szCs w:val="21"/>
              </w:rPr>
            </w:pPr>
          </w:p>
        </w:tc>
        <w:tc>
          <w:tcPr>
            <w:tcW w:w="1065" w:type="dxa"/>
            <w:vAlign w:val="top"/>
          </w:tcPr>
          <w:p>
            <w:pPr>
              <w:spacing w:line="440" w:lineRule="exact"/>
              <w:jc w:val="center"/>
              <w:rPr>
                <w:szCs w:val="21"/>
              </w:rPr>
            </w:pPr>
          </w:p>
        </w:tc>
        <w:tc>
          <w:tcPr>
            <w:tcW w:w="1064" w:type="dxa"/>
            <w:vAlign w:val="top"/>
          </w:tcPr>
          <w:p>
            <w:pPr>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9" w:type="dxa"/>
            <w:vAlign w:val="top"/>
          </w:tcPr>
          <w:p>
            <w:pPr>
              <w:spacing w:line="440" w:lineRule="exact"/>
              <w:jc w:val="center"/>
              <w:rPr>
                <w:szCs w:val="21"/>
              </w:rPr>
            </w:pPr>
          </w:p>
        </w:tc>
        <w:tc>
          <w:tcPr>
            <w:tcW w:w="1304" w:type="dxa"/>
            <w:vAlign w:val="top"/>
          </w:tcPr>
          <w:p>
            <w:pPr>
              <w:spacing w:line="440" w:lineRule="exact"/>
              <w:jc w:val="center"/>
              <w:rPr>
                <w:szCs w:val="21"/>
              </w:rPr>
            </w:pPr>
          </w:p>
        </w:tc>
        <w:tc>
          <w:tcPr>
            <w:tcW w:w="1065" w:type="dxa"/>
            <w:vAlign w:val="top"/>
          </w:tcPr>
          <w:p>
            <w:pPr>
              <w:spacing w:line="440" w:lineRule="exact"/>
              <w:jc w:val="center"/>
              <w:rPr>
                <w:szCs w:val="21"/>
              </w:rPr>
            </w:pPr>
          </w:p>
        </w:tc>
        <w:tc>
          <w:tcPr>
            <w:tcW w:w="1065" w:type="dxa"/>
            <w:vAlign w:val="top"/>
          </w:tcPr>
          <w:p>
            <w:pPr>
              <w:spacing w:line="440" w:lineRule="exact"/>
              <w:jc w:val="center"/>
              <w:rPr>
                <w:szCs w:val="21"/>
              </w:rPr>
            </w:pPr>
          </w:p>
        </w:tc>
        <w:tc>
          <w:tcPr>
            <w:tcW w:w="1065" w:type="dxa"/>
            <w:vAlign w:val="top"/>
          </w:tcPr>
          <w:p>
            <w:pPr>
              <w:spacing w:line="440" w:lineRule="exact"/>
              <w:jc w:val="center"/>
              <w:rPr>
                <w:szCs w:val="21"/>
              </w:rPr>
            </w:pPr>
          </w:p>
        </w:tc>
        <w:tc>
          <w:tcPr>
            <w:tcW w:w="1065" w:type="dxa"/>
            <w:vAlign w:val="top"/>
          </w:tcPr>
          <w:p>
            <w:pPr>
              <w:spacing w:line="440" w:lineRule="exact"/>
              <w:jc w:val="center"/>
              <w:rPr>
                <w:szCs w:val="21"/>
              </w:rPr>
            </w:pPr>
          </w:p>
        </w:tc>
        <w:tc>
          <w:tcPr>
            <w:tcW w:w="1065" w:type="dxa"/>
            <w:vAlign w:val="top"/>
          </w:tcPr>
          <w:p>
            <w:pPr>
              <w:spacing w:line="440" w:lineRule="exact"/>
              <w:jc w:val="center"/>
              <w:rPr>
                <w:szCs w:val="21"/>
              </w:rPr>
            </w:pPr>
          </w:p>
        </w:tc>
        <w:tc>
          <w:tcPr>
            <w:tcW w:w="1064" w:type="dxa"/>
            <w:vAlign w:val="top"/>
          </w:tcPr>
          <w:p>
            <w:pPr>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9" w:type="dxa"/>
            <w:vAlign w:val="top"/>
          </w:tcPr>
          <w:p>
            <w:pPr>
              <w:spacing w:line="440" w:lineRule="exact"/>
              <w:jc w:val="center"/>
              <w:rPr>
                <w:szCs w:val="21"/>
              </w:rPr>
            </w:pPr>
          </w:p>
        </w:tc>
        <w:tc>
          <w:tcPr>
            <w:tcW w:w="1304" w:type="dxa"/>
            <w:vAlign w:val="top"/>
          </w:tcPr>
          <w:p>
            <w:pPr>
              <w:spacing w:line="440" w:lineRule="exact"/>
              <w:jc w:val="center"/>
              <w:rPr>
                <w:szCs w:val="21"/>
              </w:rPr>
            </w:pPr>
          </w:p>
        </w:tc>
        <w:tc>
          <w:tcPr>
            <w:tcW w:w="1065" w:type="dxa"/>
            <w:vAlign w:val="top"/>
          </w:tcPr>
          <w:p>
            <w:pPr>
              <w:spacing w:line="440" w:lineRule="exact"/>
              <w:jc w:val="center"/>
              <w:rPr>
                <w:szCs w:val="21"/>
              </w:rPr>
            </w:pPr>
          </w:p>
        </w:tc>
        <w:tc>
          <w:tcPr>
            <w:tcW w:w="1065" w:type="dxa"/>
            <w:vAlign w:val="top"/>
          </w:tcPr>
          <w:p>
            <w:pPr>
              <w:spacing w:line="440" w:lineRule="exact"/>
              <w:jc w:val="center"/>
              <w:rPr>
                <w:szCs w:val="21"/>
              </w:rPr>
            </w:pPr>
          </w:p>
        </w:tc>
        <w:tc>
          <w:tcPr>
            <w:tcW w:w="1065" w:type="dxa"/>
            <w:vAlign w:val="top"/>
          </w:tcPr>
          <w:p>
            <w:pPr>
              <w:spacing w:line="440" w:lineRule="exact"/>
              <w:jc w:val="center"/>
              <w:rPr>
                <w:szCs w:val="21"/>
              </w:rPr>
            </w:pPr>
          </w:p>
        </w:tc>
        <w:tc>
          <w:tcPr>
            <w:tcW w:w="1065" w:type="dxa"/>
            <w:vAlign w:val="top"/>
          </w:tcPr>
          <w:p>
            <w:pPr>
              <w:spacing w:line="440" w:lineRule="exact"/>
              <w:jc w:val="center"/>
              <w:rPr>
                <w:szCs w:val="21"/>
              </w:rPr>
            </w:pPr>
          </w:p>
        </w:tc>
        <w:tc>
          <w:tcPr>
            <w:tcW w:w="1065" w:type="dxa"/>
            <w:vAlign w:val="top"/>
          </w:tcPr>
          <w:p>
            <w:pPr>
              <w:spacing w:line="440" w:lineRule="exact"/>
              <w:jc w:val="center"/>
              <w:rPr>
                <w:szCs w:val="21"/>
              </w:rPr>
            </w:pPr>
          </w:p>
        </w:tc>
        <w:tc>
          <w:tcPr>
            <w:tcW w:w="1064" w:type="dxa"/>
            <w:vAlign w:val="top"/>
          </w:tcPr>
          <w:p>
            <w:pPr>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9" w:type="dxa"/>
            <w:vAlign w:val="top"/>
          </w:tcPr>
          <w:p>
            <w:pPr>
              <w:spacing w:line="440" w:lineRule="exact"/>
              <w:jc w:val="center"/>
              <w:rPr>
                <w:szCs w:val="21"/>
              </w:rPr>
            </w:pPr>
          </w:p>
        </w:tc>
        <w:tc>
          <w:tcPr>
            <w:tcW w:w="1304" w:type="dxa"/>
            <w:vAlign w:val="top"/>
          </w:tcPr>
          <w:p>
            <w:pPr>
              <w:spacing w:line="440" w:lineRule="exact"/>
              <w:jc w:val="center"/>
              <w:rPr>
                <w:szCs w:val="21"/>
              </w:rPr>
            </w:pPr>
          </w:p>
        </w:tc>
        <w:tc>
          <w:tcPr>
            <w:tcW w:w="1065" w:type="dxa"/>
            <w:vAlign w:val="top"/>
          </w:tcPr>
          <w:p>
            <w:pPr>
              <w:spacing w:line="440" w:lineRule="exact"/>
              <w:jc w:val="center"/>
              <w:rPr>
                <w:szCs w:val="21"/>
              </w:rPr>
            </w:pPr>
          </w:p>
        </w:tc>
        <w:tc>
          <w:tcPr>
            <w:tcW w:w="1065" w:type="dxa"/>
            <w:vAlign w:val="top"/>
          </w:tcPr>
          <w:p>
            <w:pPr>
              <w:spacing w:line="440" w:lineRule="exact"/>
              <w:jc w:val="center"/>
              <w:rPr>
                <w:szCs w:val="21"/>
              </w:rPr>
            </w:pPr>
          </w:p>
        </w:tc>
        <w:tc>
          <w:tcPr>
            <w:tcW w:w="1065" w:type="dxa"/>
            <w:vAlign w:val="top"/>
          </w:tcPr>
          <w:p>
            <w:pPr>
              <w:spacing w:line="440" w:lineRule="exact"/>
              <w:jc w:val="center"/>
              <w:rPr>
                <w:szCs w:val="21"/>
              </w:rPr>
            </w:pPr>
          </w:p>
        </w:tc>
        <w:tc>
          <w:tcPr>
            <w:tcW w:w="1065" w:type="dxa"/>
            <w:vAlign w:val="top"/>
          </w:tcPr>
          <w:p>
            <w:pPr>
              <w:spacing w:line="440" w:lineRule="exact"/>
              <w:jc w:val="center"/>
              <w:rPr>
                <w:szCs w:val="21"/>
              </w:rPr>
            </w:pPr>
          </w:p>
        </w:tc>
        <w:tc>
          <w:tcPr>
            <w:tcW w:w="1065" w:type="dxa"/>
            <w:vAlign w:val="top"/>
          </w:tcPr>
          <w:p>
            <w:pPr>
              <w:spacing w:line="440" w:lineRule="exact"/>
              <w:jc w:val="center"/>
              <w:rPr>
                <w:szCs w:val="21"/>
              </w:rPr>
            </w:pPr>
          </w:p>
        </w:tc>
        <w:tc>
          <w:tcPr>
            <w:tcW w:w="1064" w:type="dxa"/>
            <w:vAlign w:val="top"/>
          </w:tcPr>
          <w:p>
            <w:pPr>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9" w:type="dxa"/>
            <w:vAlign w:val="top"/>
          </w:tcPr>
          <w:p>
            <w:pPr>
              <w:spacing w:line="440" w:lineRule="exact"/>
              <w:jc w:val="center"/>
              <w:rPr>
                <w:szCs w:val="21"/>
              </w:rPr>
            </w:pPr>
          </w:p>
        </w:tc>
        <w:tc>
          <w:tcPr>
            <w:tcW w:w="1304" w:type="dxa"/>
            <w:vAlign w:val="top"/>
          </w:tcPr>
          <w:p>
            <w:pPr>
              <w:spacing w:line="440" w:lineRule="exact"/>
              <w:jc w:val="center"/>
              <w:rPr>
                <w:szCs w:val="21"/>
              </w:rPr>
            </w:pPr>
          </w:p>
        </w:tc>
        <w:tc>
          <w:tcPr>
            <w:tcW w:w="1065" w:type="dxa"/>
            <w:vAlign w:val="top"/>
          </w:tcPr>
          <w:p>
            <w:pPr>
              <w:spacing w:line="440" w:lineRule="exact"/>
              <w:jc w:val="center"/>
              <w:rPr>
                <w:szCs w:val="21"/>
              </w:rPr>
            </w:pPr>
          </w:p>
        </w:tc>
        <w:tc>
          <w:tcPr>
            <w:tcW w:w="1065" w:type="dxa"/>
            <w:vAlign w:val="top"/>
          </w:tcPr>
          <w:p>
            <w:pPr>
              <w:spacing w:line="440" w:lineRule="exact"/>
              <w:jc w:val="center"/>
              <w:rPr>
                <w:szCs w:val="21"/>
              </w:rPr>
            </w:pPr>
          </w:p>
        </w:tc>
        <w:tc>
          <w:tcPr>
            <w:tcW w:w="1065" w:type="dxa"/>
            <w:vAlign w:val="top"/>
          </w:tcPr>
          <w:p>
            <w:pPr>
              <w:spacing w:line="440" w:lineRule="exact"/>
              <w:jc w:val="center"/>
              <w:rPr>
                <w:szCs w:val="21"/>
              </w:rPr>
            </w:pPr>
          </w:p>
        </w:tc>
        <w:tc>
          <w:tcPr>
            <w:tcW w:w="1065" w:type="dxa"/>
            <w:vAlign w:val="top"/>
          </w:tcPr>
          <w:p>
            <w:pPr>
              <w:spacing w:line="440" w:lineRule="exact"/>
              <w:jc w:val="center"/>
              <w:rPr>
                <w:szCs w:val="21"/>
              </w:rPr>
            </w:pPr>
          </w:p>
        </w:tc>
        <w:tc>
          <w:tcPr>
            <w:tcW w:w="1065" w:type="dxa"/>
            <w:vAlign w:val="top"/>
          </w:tcPr>
          <w:p>
            <w:pPr>
              <w:spacing w:line="440" w:lineRule="exact"/>
              <w:jc w:val="center"/>
              <w:rPr>
                <w:szCs w:val="21"/>
              </w:rPr>
            </w:pPr>
          </w:p>
        </w:tc>
        <w:tc>
          <w:tcPr>
            <w:tcW w:w="1064" w:type="dxa"/>
            <w:vAlign w:val="top"/>
          </w:tcPr>
          <w:p>
            <w:pPr>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9" w:type="dxa"/>
            <w:vAlign w:val="top"/>
          </w:tcPr>
          <w:p>
            <w:pPr>
              <w:spacing w:line="440" w:lineRule="exact"/>
              <w:jc w:val="center"/>
              <w:rPr>
                <w:szCs w:val="21"/>
              </w:rPr>
            </w:pPr>
          </w:p>
        </w:tc>
        <w:tc>
          <w:tcPr>
            <w:tcW w:w="1304" w:type="dxa"/>
            <w:vAlign w:val="top"/>
          </w:tcPr>
          <w:p>
            <w:pPr>
              <w:spacing w:line="440" w:lineRule="exact"/>
              <w:jc w:val="center"/>
              <w:rPr>
                <w:szCs w:val="21"/>
              </w:rPr>
            </w:pPr>
          </w:p>
        </w:tc>
        <w:tc>
          <w:tcPr>
            <w:tcW w:w="1065" w:type="dxa"/>
            <w:vAlign w:val="top"/>
          </w:tcPr>
          <w:p>
            <w:pPr>
              <w:spacing w:line="440" w:lineRule="exact"/>
              <w:jc w:val="center"/>
              <w:rPr>
                <w:szCs w:val="21"/>
              </w:rPr>
            </w:pPr>
          </w:p>
        </w:tc>
        <w:tc>
          <w:tcPr>
            <w:tcW w:w="1065" w:type="dxa"/>
            <w:vAlign w:val="top"/>
          </w:tcPr>
          <w:p>
            <w:pPr>
              <w:spacing w:line="440" w:lineRule="exact"/>
              <w:jc w:val="center"/>
              <w:rPr>
                <w:szCs w:val="21"/>
              </w:rPr>
            </w:pPr>
          </w:p>
        </w:tc>
        <w:tc>
          <w:tcPr>
            <w:tcW w:w="1065" w:type="dxa"/>
            <w:vAlign w:val="top"/>
          </w:tcPr>
          <w:p>
            <w:pPr>
              <w:spacing w:line="440" w:lineRule="exact"/>
              <w:jc w:val="center"/>
              <w:rPr>
                <w:szCs w:val="21"/>
              </w:rPr>
            </w:pPr>
          </w:p>
        </w:tc>
        <w:tc>
          <w:tcPr>
            <w:tcW w:w="1065" w:type="dxa"/>
            <w:vAlign w:val="top"/>
          </w:tcPr>
          <w:p>
            <w:pPr>
              <w:spacing w:line="440" w:lineRule="exact"/>
              <w:jc w:val="center"/>
              <w:rPr>
                <w:szCs w:val="21"/>
              </w:rPr>
            </w:pPr>
          </w:p>
        </w:tc>
        <w:tc>
          <w:tcPr>
            <w:tcW w:w="1065" w:type="dxa"/>
            <w:vAlign w:val="top"/>
          </w:tcPr>
          <w:p>
            <w:pPr>
              <w:spacing w:line="440" w:lineRule="exact"/>
              <w:jc w:val="center"/>
              <w:rPr>
                <w:szCs w:val="21"/>
              </w:rPr>
            </w:pPr>
          </w:p>
        </w:tc>
        <w:tc>
          <w:tcPr>
            <w:tcW w:w="1064" w:type="dxa"/>
            <w:vAlign w:val="top"/>
          </w:tcPr>
          <w:p>
            <w:pPr>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9" w:type="dxa"/>
            <w:vAlign w:val="top"/>
          </w:tcPr>
          <w:p>
            <w:pPr>
              <w:spacing w:line="440" w:lineRule="exact"/>
              <w:jc w:val="center"/>
              <w:rPr>
                <w:szCs w:val="21"/>
              </w:rPr>
            </w:pPr>
          </w:p>
        </w:tc>
        <w:tc>
          <w:tcPr>
            <w:tcW w:w="1304" w:type="dxa"/>
            <w:vAlign w:val="top"/>
          </w:tcPr>
          <w:p>
            <w:pPr>
              <w:spacing w:line="440" w:lineRule="exact"/>
              <w:jc w:val="center"/>
              <w:rPr>
                <w:szCs w:val="21"/>
              </w:rPr>
            </w:pPr>
          </w:p>
        </w:tc>
        <w:tc>
          <w:tcPr>
            <w:tcW w:w="1065" w:type="dxa"/>
            <w:vAlign w:val="top"/>
          </w:tcPr>
          <w:p>
            <w:pPr>
              <w:spacing w:line="440" w:lineRule="exact"/>
              <w:jc w:val="center"/>
              <w:rPr>
                <w:szCs w:val="21"/>
              </w:rPr>
            </w:pPr>
          </w:p>
        </w:tc>
        <w:tc>
          <w:tcPr>
            <w:tcW w:w="1065" w:type="dxa"/>
            <w:vAlign w:val="top"/>
          </w:tcPr>
          <w:p>
            <w:pPr>
              <w:spacing w:line="440" w:lineRule="exact"/>
              <w:jc w:val="center"/>
              <w:rPr>
                <w:szCs w:val="21"/>
              </w:rPr>
            </w:pPr>
          </w:p>
        </w:tc>
        <w:tc>
          <w:tcPr>
            <w:tcW w:w="1065" w:type="dxa"/>
            <w:vAlign w:val="top"/>
          </w:tcPr>
          <w:p>
            <w:pPr>
              <w:spacing w:line="440" w:lineRule="exact"/>
              <w:jc w:val="center"/>
              <w:rPr>
                <w:szCs w:val="21"/>
              </w:rPr>
            </w:pPr>
          </w:p>
        </w:tc>
        <w:tc>
          <w:tcPr>
            <w:tcW w:w="1065" w:type="dxa"/>
            <w:vAlign w:val="top"/>
          </w:tcPr>
          <w:p>
            <w:pPr>
              <w:spacing w:line="440" w:lineRule="exact"/>
              <w:jc w:val="center"/>
              <w:rPr>
                <w:szCs w:val="21"/>
              </w:rPr>
            </w:pPr>
          </w:p>
        </w:tc>
        <w:tc>
          <w:tcPr>
            <w:tcW w:w="1065" w:type="dxa"/>
            <w:vAlign w:val="top"/>
          </w:tcPr>
          <w:p>
            <w:pPr>
              <w:spacing w:line="440" w:lineRule="exact"/>
              <w:jc w:val="center"/>
              <w:rPr>
                <w:szCs w:val="21"/>
              </w:rPr>
            </w:pPr>
          </w:p>
        </w:tc>
        <w:tc>
          <w:tcPr>
            <w:tcW w:w="1064" w:type="dxa"/>
            <w:vAlign w:val="top"/>
          </w:tcPr>
          <w:p>
            <w:pPr>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9" w:type="dxa"/>
            <w:vAlign w:val="top"/>
          </w:tcPr>
          <w:p>
            <w:pPr>
              <w:spacing w:line="440" w:lineRule="exact"/>
              <w:jc w:val="center"/>
              <w:rPr>
                <w:szCs w:val="21"/>
              </w:rPr>
            </w:pPr>
          </w:p>
        </w:tc>
        <w:tc>
          <w:tcPr>
            <w:tcW w:w="1304" w:type="dxa"/>
            <w:vAlign w:val="top"/>
          </w:tcPr>
          <w:p>
            <w:pPr>
              <w:spacing w:line="440" w:lineRule="exact"/>
              <w:jc w:val="center"/>
              <w:rPr>
                <w:szCs w:val="21"/>
              </w:rPr>
            </w:pPr>
          </w:p>
        </w:tc>
        <w:tc>
          <w:tcPr>
            <w:tcW w:w="1065" w:type="dxa"/>
            <w:vAlign w:val="top"/>
          </w:tcPr>
          <w:p>
            <w:pPr>
              <w:spacing w:line="440" w:lineRule="exact"/>
              <w:jc w:val="center"/>
              <w:rPr>
                <w:szCs w:val="21"/>
              </w:rPr>
            </w:pPr>
          </w:p>
        </w:tc>
        <w:tc>
          <w:tcPr>
            <w:tcW w:w="1065" w:type="dxa"/>
            <w:vAlign w:val="top"/>
          </w:tcPr>
          <w:p>
            <w:pPr>
              <w:spacing w:line="440" w:lineRule="exact"/>
              <w:jc w:val="center"/>
              <w:rPr>
                <w:szCs w:val="21"/>
              </w:rPr>
            </w:pPr>
          </w:p>
        </w:tc>
        <w:tc>
          <w:tcPr>
            <w:tcW w:w="1065" w:type="dxa"/>
            <w:vAlign w:val="top"/>
          </w:tcPr>
          <w:p>
            <w:pPr>
              <w:spacing w:line="440" w:lineRule="exact"/>
              <w:jc w:val="center"/>
              <w:rPr>
                <w:szCs w:val="21"/>
              </w:rPr>
            </w:pPr>
          </w:p>
        </w:tc>
        <w:tc>
          <w:tcPr>
            <w:tcW w:w="1065" w:type="dxa"/>
            <w:vAlign w:val="top"/>
          </w:tcPr>
          <w:p>
            <w:pPr>
              <w:spacing w:line="440" w:lineRule="exact"/>
              <w:jc w:val="center"/>
              <w:rPr>
                <w:szCs w:val="21"/>
              </w:rPr>
            </w:pPr>
          </w:p>
        </w:tc>
        <w:tc>
          <w:tcPr>
            <w:tcW w:w="1065" w:type="dxa"/>
            <w:vAlign w:val="top"/>
          </w:tcPr>
          <w:p>
            <w:pPr>
              <w:spacing w:line="440" w:lineRule="exact"/>
              <w:jc w:val="center"/>
              <w:rPr>
                <w:szCs w:val="21"/>
              </w:rPr>
            </w:pPr>
          </w:p>
        </w:tc>
        <w:tc>
          <w:tcPr>
            <w:tcW w:w="1064" w:type="dxa"/>
            <w:vAlign w:val="top"/>
          </w:tcPr>
          <w:p>
            <w:pPr>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9" w:type="dxa"/>
            <w:vAlign w:val="top"/>
          </w:tcPr>
          <w:p>
            <w:pPr>
              <w:spacing w:line="440" w:lineRule="exact"/>
              <w:rPr>
                <w:szCs w:val="21"/>
              </w:rPr>
            </w:pPr>
          </w:p>
        </w:tc>
        <w:tc>
          <w:tcPr>
            <w:tcW w:w="1304" w:type="dxa"/>
            <w:vAlign w:val="top"/>
          </w:tcPr>
          <w:p>
            <w:pPr>
              <w:spacing w:line="440" w:lineRule="exact"/>
              <w:jc w:val="center"/>
              <w:rPr>
                <w:szCs w:val="21"/>
              </w:rPr>
            </w:pPr>
          </w:p>
        </w:tc>
        <w:tc>
          <w:tcPr>
            <w:tcW w:w="1065" w:type="dxa"/>
            <w:vAlign w:val="top"/>
          </w:tcPr>
          <w:p>
            <w:pPr>
              <w:spacing w:line="440" w:lineRule="exact"/>
              <w:jc w:val="center"/>
              <w:rPr>
                <w:szCs w:val="21"/>
              </w:rPr>
            </w:pPr>
          </w:p>
        </w:tc>
        <w:tc>
          <w:tcPr>
            <w:tcW w:w="1065" w:type="dxa"/>
            <w:vAlign w:val="top"/>
          </w:tcPr>
          <w:p>
            <w:pPr>
              <w:spacing w:line="440" w:lineRule="exact"/>
              <w:jc w:val="center"/>
              <w:rPr>
                <w:szCs w:val="21"/>
              </w:rPr>
            </w:pPr>
          </w:p>
        </w:tc>
        <w:tc>
          <w:tcPr>
            <w:tcW w:w="1065" w:type="dxa"/>
            <w:vAlign w:val="top"/>
          </w:tcPr>
          <w:p>
            <w:pPr>
              <w:spacing w:line="440" w:lineRule="exact"/>
              <w:jc w:val="center"/>
              <w:rPr>
                <w:szCs w:val="21"/>
              </w:rPr>
            </w:pPr>
          </w:p>
        </w:tc>
        <w:tc>
          <w:tcPr>
            <w:tcW w:w="1065" w:type="dxa"/>
            <w:vAlign w:val="top"/>
          </w:tcPr>
          <w:p>
            <w:pPr>
              <w:spacing w:line="440" w:lineRule="exact"/>
              <w:jc w:val="center"/>
              <w:rPr>
                <w:szCs w:val="21"/>
              </w:rPr>
            </w:pPr>
          </w:p>
        </w:tc>
        <w:tc>
          <w:tcPr>
            <w:tcW w:w="1065" w:type="dxa"/>
            <w:vAlign w:val="top"/>
          </w:tcPr>
          <w:p>
            <w:pPr>
              <w:spacing w:line="440" w:lineRule="exact"/>
              <w:jc w:val="center"/>
              <w:rPr>
                <w:szCs w:val="21"/>
              </w:rPr>
            </w:pPr>
          </w:p>
        </w:tc>
        <w:tc>
          <w:tcPr>
            <w:tcW w:w="1064" w:type="dxa"/>
            <w:vAlign w:val="top"/>
          </w:tcPr>
          <w:p>
            <w:pPr>
              <w:spacing w:line="440" w:lineRule="exact"/>
              <w:jc w:val="center"/>
              <w:rPr>
                <w:szCs w:val="21"/>
              </w:rPr>
            </w:pPr>
          </w:p>
        </w:tc>
      </w:tr>
    </w:tbl>
    <w:p>
      <w:pPr>
        <w:pStyle w:val="20"/>
      </w:pPr>
      <w:bookmarkStart w:id="1200" w:name="_Toc152042589"/>
      <w:bookmarkStart w:id="1201" w:name="_Toc144974868"/>
      <w:bookmarkStart w:id="1202" w:name="_Toc152045800"/>
      <w:bookmarkStart w:id="1203" w:name="_Toc179632820"/>
      <w:bookmarkStart w:id="1204" w:name="_Toc246996367"/>
      <w:bookmarkStart w:id="1205" w:name="_Toc246997110"/>
    </w:p>
    <w:p>
      <w:pPr>
        <w:pStyle w:val="20"/>
      </w:pPr>
      <w:r>
        <w:br w:type="page"/>
      </w:r>
    </w:p>
    <w:p>
      <w:pPr>
        <w:pStyle w:val="4"/>
      </w:pPr>
      <w:bookmarkStart w:id="1206" w:name="_Toc247085885"/>
      <w:bookmarkStart w:id="1207" w:name="_Toc23478"/>
      <w:r>
        <w:t>附表</w:t>
      </w:r>
      <w:r>
        <w:rPr>
          <w:rFonts w:hint="eastAsia"/>
        </w:rPr>
        <w:t>三</w:t>
      </w:r>
      <w:r>
        <w:t>：进度</w:t>
      </w:r>
      <w:r>
        <w:rPr>
          <w:rFonts w:hint="eastAsia"/>
        </w:rPr>
        <w:t>计划</w:t>
      </w:r>
      <w:bookmarkEnd w:id="1200"/>
      <w:bookmarkEnd w:id="1201"/>
      <w:bookmarkEnd w:id="1202"/>
      <w:bookmarkEnd w:id="1203"/>
      <w:bookmarkEnd w:id="1204"/>
      <w:bookmarkEnd w:id="1205"/>
      <w:bookmarkEnd w:id="1206"/>
      <w:bookmarkEnd w:id="1207"/>
    </w:p>
    <w:p>
      <w:pPr>
        <w:spacing w:line="440" w:lineRule="exact"/>
        <w:rPr>
          <w:rFonts w:eastAsia="黑体"/>
          <w:sz w:val="20"/>
          <w:szCs w:val="20"/>
        </w:rPr>
      </w:pPr>
    </w:p>
    <w:p>
      <w:pPr>
        <w:spacing w:line="440" w:lineRule="exact"/>
        <w:ind w:firstLine="420" w:firstLineChars="200"/>
        <w:rPr>
          <w:szCs w:val="21"/>
        </w:rPr>
      </w:pPr>
      <w:r>
        <w:rPr>
          <w:szCs w:val="21"/>
        </w:rPr>
        <w:t>1. 投标人应递交施工进度网络图或施工进度表，说明按招标文件要求的计划工期进行施工的各个关键日期。</w:t>
      </w:r>
    </w:p>
    <w:p>
      <w:pPr>
        <w:spacing w:line="440" w:lineRule="exact"/>
        <w:ind w:firstLine="420" w:firstLineChars="200"/>
        <w:rPr>
          <w:szCs w:val="21"/>
        </w:rPr>
      </w:pPr>
      <w:r>
        <w:rPr>
          <w:szCs w:val="21"/>
        </w:rPr>
        <w:t>2. 施</w:t>
      </w:r>
      <w:r>
        <w:rPr>
          <w:rFonts w:hint="eastAsia"/>
          <w:szCs w:val="21"/>
        </w:rPr>
        <w:t>工</w:t>
      </w:r>
      <w:r>
        <w:rPr>
          <w:szCs w:val="21"/>
        </w:rPr>
        <w:t>进度表可采用网络图或横道图表示。</w:t>
      </w:r>
    </w:p>
    <w:p>
      <w:pPr>
        <w:spacing w:line="440" w:lineRule="exact"/>
        <w:rPr>
          <w:sz w:val="20"/>
          <w:szCs w:val="20"/>
        </w:rPr>
      </w:pPr>
    </w:p>
    <w:p>
      <w:pPr>
        <w:spacing w:line="440" w:lineRule="exact"/>
        <w:rPr>
          <w:rFonts w:eastAsia="黑体"/>
          <w:sz w:val="20"/>
          <w:szCs w:val="20"/>
        </w:rPr>
      </w:pPr>
    </w:p>
    <w:p>
      <w:pPr>
        <w:spacing w:line="440" w:lineRule="exact"/>
        <w:rPr>
          <w:rFonts w:eastAsia="黑体"/>
          <w:sz w:val="20"/>
          <w:szCs w:val="20"/>
        </w:rPr>
      </w:pPr>
    </w:p>
    <w:p>
      <w:pPr>
        <w:spacing w:line="440" w:lineRule="exact"/>
        <w:rPr>
          <w:rFonts w:eastAsia="黑体"/>
          <w:sz w:val="20"/>
          <w:szCs w:val="20"/>
        </w:rPr>
      </w:pPr>
    </w:p>
    <w:p>
      <w:pPr>
        <w:spacing w:line="440" w:lineRule="exact"/>
        <w:rPr>
          <w:rFonts w:eastAsia="黑体"/>
          <w:sz w:val="20"/>
          <w:szCs w:val="20"/>
        </w:rPr>
      </w:pPr>
    </w:p>
    <w:p>
      <w:pPr>
        <w:spacing w:line="440" w:lineRule="exact"/>
        <w:rPr>
          <w:rFonts w:eastAsia="黑体"/>
          <w:sz w:val="20"/>
          <w:szCs w:val="20"/>
        </w:rPr>
      </w:pPr>
      <w:r>
        <w:rPr>
          <w:rFonts w:eastAsia="黑体"/>
          <w:sz w:val="20"/>
          <w:szCs w:val="20"/>
        </w:rPr>
        <w:br w:type="page"/>
      </w:r>
    </w:p>
    <w:p>
      <w:pPr>
        <w:pStyle w:val="4"/>
      </w:pPr>
      <w:bookmarkStart w:id="1208" w:name="_Toc152042590"/>
      <w:bookmarkStart w:id="1209" w:name="_Toc144974869"/>
      <w:bookmarkStart w:id="1210" w:name="_Toc152045801"/>
      <w:bookmarkStart w:id="1211" w:name="_Toc179632821"/>
      <w:bookmarkStart w:id="1212" w:name="_Toc246996368"/>
      <w:bookmarkStart w:id="1213" w:name="_Toc246997111"/>
      <w:bookmarkStart w:id="1214" w:name="_Toc247085886"/>
      <w:bookmarkStart w:id="1215" w:name="_Toc27624"/>
      <w:r>
        <w:t>附表</w:t>
      </w:r>
      <w:r>
        <w:rPr>
          <w:rFonts w:hint="eastAsia"/>
        </w:rPr>
        <w:t>四</w:t>
      </w:r>
      <w:r>
        <w:t>：施工总平面图</w:t>
      </w:r>
      <w:bookmarkEnd w:id="1208"/>
      <w:bookmarkEnd w:id="1209"/>
      <w:bookmarkEnd w:id="1210"/>
      <w:bookmarkEnd w:id="1211"/>
      <w:bookmarkEnd w:id="1212"/>
      <w:bookmarkEnd w:id="1213"/>
      <w:bookmarkEnd w:id="1214"/>
      <w:bookmarkEnd w:id="1215"/>
    </w:p>
    <w:p>
      <w:pPr>
        <w:spacing w:line="440" w:lineRule="exact"/>
        <w:rPr>
          <w:rFonts w:eastAsia="黑体"/>
          <w:sz w:val="20"/>
          <w:szCs w:val="20"/>
        </w:rPr>
      </w:pPr>
      <w:r>
        <w:rPr>
          <w:rFonts w:eastAsia="黑体"/>
          <w:sz w:val="20"/>
          <w:szCs w:val="20"/>
        </w:rPr>
        <w:tab/>
      </w:r>
    </w:p>
    <w:p>
      <w:pPr>
        <w:spacing w:line="440" w:lineRule="exact"/>
        <w:ind w:firstLine="420" w:firstLineChars="200"/>
        <w:rPr>
          <w:sz w:val="20"/>
        </w:rPr>
      </w:pPr>
      <w:r>
        <w:t>投标人应递交一份施工总平面图，绘出现场临时设施布置图表，</w:t>
      </w:r>
      <w:r>
        <w:rPr>
          <w:rFonts w:hint="eastAsia"/>
        </w:rPr>
        <w:t>并注</w:t>
      </w:r>
      <w:r>
        <w:t>明临时设施、加工车间、现场办公、设备及仓储、供电、供水、卫生、生活、道路、消防等设施的情况和布置。</w:t>
      </w:r>
      <w:r>
        <w:rPr>
          <w:sz w:val="20"/>
        </w:rPr>
        <w:br w:type="page"/>
      </w:r>
      <w:bookmarkStart w:id="1216" w:name="_Toc144974871"/>
      <w:bookmarkStart w:id="1217" w:name="_Toc152042592"/>
      <w:bookmarkStart w:id="1218" w:name="_Toc152045803"/>
      <w:bookmarkStart w:id="1219" w:name="_Toc179632823"/>
    </w:p>
    <w:p>
      <w:pPr>
        <w:pStyle w:val="3"/>
        <w:jc w:val="center"/>
        <w:rPr>
          <w:szCs w:val="21"/>
        </w:rPr>
      </w:pPr>
      <w:bookmarkStart w:id="1220" w:name="_Toc246996369"/>
      <w:bookmarkStart w:id="1221" w:name="_Toc246997112"/>
      <w:bookmarkStart w:id="1222" w:name="_Toc247085887"/>
      <w:bookmarkStart w:id="1223" w:name="_Toc32230"/>
      <w:r>
        <w:rPr>
          <w:rFonts w:hint="eastAsia"/>
        </w:rPr>
        <w:t>六</w:t>
      </w:r>
      <w:r>
        <w:t>、项目管理机构</w:t>
      </w:r>
      <w:bookmarkEnd w:id="1216"/>
      <w:bookmarkEnd w:id="1217"/>
      <w:bookmarkEnd w:id="1218"/>
      <w:bookmarkEnd w:id="1219"/>
      <w:bookmarkEnd w:id="1220"/>
      <w:bookmarkEnd w:id="1221"/>
      <w:bookmarkEnd w:id="1222"/>
      <w:bookmarkEnd w:id="1223"/>
    </w:p>
    <w:p>
      <w:pPr>
        <w:pStyle w:val="4"/>
        <w:jc w:val="center"/>
      </w:pPr>
      <w:bookmarkStart w:id="1224" w:name="_Toc144974872"/>
      <w:bookmarkStart w:id="1225" w:name="_Toc152042593"/>
      <w:bookmarkStart w:id="1226" w:name="_Toc152045804"/>
      <w:bookmarkStart w:id="1227" w:name="_Toc179632824"/>
      <w:bookmarkStart w:id="1228" w:name="_Toc246996370"/>
      <w:bookmarkStart w:id="1229" w:name="_Toc246997113"/>
      <w:bookmarkStart w:id="1230" w:name="_Toc247085888"/>
      <w:bookmarkStart w:id="1231" w:name="_Toc11167"/>
      <w:r>
        <w:t>（一）项目管理机构组成表</w:t>
      </w:r>
      <w:bookmarkEnd w:id="1224"/>
      <w:bookmarkEnd w:id="1225"/>
      <w:bookmarkEnd w:id="1226"/>
      <w:bookmarkEnd w:id="1227"/>
      <w:bookmarkEnd w:id="1228"/>
      <w:bookmarkEnd w:id="1229"/>
      <w:bookmarkEnd w:id="1230"/>
      <w:bookmarkEnd w:id="1231"/>
    </w:p>
    <w:tbl>
      <w:tblPr>
        <w:tblStyle w:val="41"/>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721"/>
        <w:gridCol w:w="719"/>
        <w:gridCol w:w="1081"/>
        <w:gridCol w:w="719"/>
        <w:gridCol w:w="721"/>
        <w:gridCol w:w="719"/>
        <w:gridCol w:w="2523"/>
        <w:gridCol w:w="6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647" w:type="dxa"/>
            <w:vMerge w:val="restart"/>
            <w:vAlign w:val="center"/>
          </w:tcPr>
          <w:p>
            <w:pPr>
              <w:spacing w:line="440" w:lineRule="exact"/>
              <w:jc w:val="center"/>
              <w:rPr>
                <w:szCs w:val="21"/>
              </w:rPr>
            </w:pPr>
            <w:r>
              <w:rPr>
                <w:szCs w:val="21"/>
              </w:rPr>
              <w:t>职务</w:t>
            </w:r>
          </w:p>
        </w:tc>
        <w:tc>
          <w:tcPr>
            <w:tcW w:w="721" w:type="dxa"/>
            <w:vMerge w:val="restart"/>
            <w:vAlign w:val="center"/>
          </w:tcPr>
          <w:p>
            <w:pPr>
              <w:spacing w:line="440" w:lineRule="exact"/>
              <w:jc w:val="center"/>
              <w:rPr>
                <w:szCs w:val="21"/>
              </w:rPr>
            </w:pPr>
            <w:r>
              <w:rPr>
                <w:szCs w:val="21"/>
              </w:rPr>
              <w:t>姓名</w:t>
            </w:r>
          </w:p>
        </w:tc>
        <w:tc>
          <w:tcPr>
            <w:tcW w:w="719" w:type="dxa"/>
            <w:vMerge w:val="restart"/>
            <w:vAlign w:val="center"/>
          </w:tcPr>
          <w:p>
            <w:pPr>
              <w:spacing w:line="440" w:lineRule="exact"/>
              <w:jc w:val="center"/>
              <w:rPr>
                <w:szCs w:val="21"/>
              </w:rPr>
            </w:pPr>
            <w:r>
              <w:rPr>
                <w:szCs w:val="21"/>
              </w:rPr>
              <w:t>职称</w:t>
            </w:r>
          </w:p>
        </w:tc>
        <w:tc>
          <w:tcPr>
            <w:tcW w:w="5763" w:type="dxa"/>
            <w:gridSpan w:val="5"/>
            <w:vAlign w:val="center"/>
          </w:tcPr>
          <w:p>
            <w:pPr>
              <w:spacing w:line="440" w:lineRule="exact"/>
              <w:jc w:val="center"/>
              <w:rPr>
                <w:szCs w:val="21"/>
              </w:rPr>
            </w:pPr>
            <w:r>
              <w:rPr>
                <w:szCs w:val="21"/>
              </w:rPr>
              <w:t>执业或职业资格证明</w:t>
            </w:r>
          </w:p>
        </w:tc>
        <w:tc>
          <w:tcPr>
            <w:tcW w:w="672" w:type="dxa"/>
            <w:vAlign w:val="center"/>
          </w:tcPr>
          <w:p>
            <w:pPr>
              <w:spacing w:line="440" w:lineRule="exact"/>
              <w:jc w:val="center"/>
              <w:rPr>
                <w:szCs w:val="21"/>
              </w:rPr>
            </w:pPr>
            <w:r>
              <w:rPr>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647" w:type="dxa"/>
            <w:vMerge w:val="continue"/>
            <w:vAlign w:val="center"/>
          </w:tcPr>
          <w:p>
            <w:pPr>
              <w:spacing w:line="440" w:lineRule="exact"/>
              <w:jc w:val="center"/>
              <w:rPr>
                <w:szCs w:val="21"/>
              </w:rPr>
            </w:pPr>
          </w:p>
        </w:tc>
        <w:tc>
          <w:tcPr>
            <w:tcW w:w="721" w:type="dxa"/>
            <w:vMerge w:val="continue"/>
            <w:vAlign w:val="center"/>
          </w:tcPr>
          <w:p>
            <w:pPr>
              <w:spacing w:line="440" w:lineRule="exact"/>
              <w:jc w:val="center"/>
              <w:rPr>
                <w:szCs w:val="21"/>
              </w:rPr>
            </w:pPr>
          </w:p>
        </w:tc>
        <w:tc>
          <w:tcPr>
            <w:tcW w:w="719" w:type="dxa"/>
            <w:vMerge w:val="continue"/>
            <w:vAlign w:val="center"/>
          </w:tcPr>
          <w:p>
            <w:pPr>
              <w:spacing w:line="440" w:lineRule="exact"/>
              <w:jc w:val="center"/>
              <w:rPr>
                <w:szCs w:val="21"/>
              </w:rPr>
            </w:pPr>
          </w:p>
        </w:tc>
        <w:tc>
          <w:tcPr>
            <w:tcW w:w="1081" w:type="dxa"/>
            <w:vAlign w:val="center"/>
          </w:tcPr>
          <w:p>
            <w:pPr>
              <w:spacing w:line="440" w:lineRule="exact"/>
              <w:jc w:val="center"/>
              <w:rPr>
                <w:szCs w:val="21"/>
              </w:rPr>
            </w:pPr>
            <w:r>
              <w:rPr>
                <w:szCs w:val="21"/>
              </w:rPr>
              <w:t>证书名称</w:t>
            </w:r>
          </w:p>
        </w:tc>
        <w:tc>
          <w:tcPr>
            <w:tcW w:w="719" w:type="dxa"/>
            <w:vAlign w:val="center"/>
          </w:tcPr>
          <w:p>
            <w:pPr>
              <w:spacing w:line="440" w:lineRule="exact"/>
              <w:jc w:val="center"/>
              <w:rPr>
                <w:szCs w:val="21"/>
              </w:rPr>
            </w:pPr>
            <w:r>
              <w:rPr>
                <w:szCs w:val="21"/>
              </w:rPr>
              <w:t>级别</w:t>
            </w:r>
          </w:p>
        </w:tc>
        <w:tc>
          <w:tcPr>
            <w:tcW w:w="721" w:type="dxa"/>
            <w:vAlign w:val="center"/>
          </w:tcPr>
          <w:p>
            <w:pPr>
              <w:spacing w:line="440" w:lineRule="exact"/>
              <w:jc w:val="center"/>
              <w:rPr>
                <w:szCs w:val="21"/>
              </w:rPr>
            </w:pPr>
            <w:r>
              <w:rPr>
                <w:szCs w:val="21"/>
              </w:rPr>
              <w:t>证号</w:t>
            </w:r>
          </w:p>
        </w:tc>
        <w:tc>
          <w:tcPr>
            <w:tcW w:w="719" w:type="dxa"/>
            <w:vAlign w:val="center"/>
          </w:tcPr>
          <w:p>
            <w:pPr>
              <w:spacing w:line="440" w:lineRule="exact"/>
              <w:jc w:val="center"/>
              <w:rPr>
                <w:szCs w:val="21"/>
              </w:rPr>
            </w:pPr>
            <w:r>
              <w:rPr>
                <w:szCs w:val="21"/>
              </w:rPr>
              <w:t>专业</w:t>
            </w:r>
          </w:p>
        </w:tc>
        <w:tc>
          <w:tcPr>
            <w:tcW w:w="2523" w:type="dxa"/>
            <w:vAlign w:val="center"/>
          </w:tcPr>
          <w:p>
            <w:pPr>
              <w:spacing w:line="440" w:lineRule="exact"/>
              <w:jc w:val="center"/>
              <w:rPr>
                <w:szCs w:val="21"/>
              </w:rPr>
            </w:pPr>
            <w:r>
              <w:rPr>
                <w:szCs w:val="21"/>
              </w:rPr>
              <w:t>养老保险</w:t>
            </w:r>
          </w:p>
        </w:tc>
        <w:tc>
          <w:tcPr>
            <w:tcW w:w="672" w:type="dxa"/>
            <w:vAlign w:val="center"/>
          </w:tcPr>
          <w:p>
            <w:pPr>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7" w:type="dxa"/>
            <w:vAlign w:val="center"/>
          </w:tcPr>
          <w:p>
            <w:pPr>
              <w:spacing w:line="440" w:lineRule="exact"/>
              <w:jc w:val="center"/>
              <w:rPr>
                <w:szCs w:val="21"/>
              </w:rPr>
            </w:pPr>
          </w:p>
        </w:tc>
        <w:tc>
          <w:tcPr>
            <w:tcW w:w="721" w:type="dxa"/>
            <w:vAlign w:val="center"/>
          </w:tcPr>
          <w:p>
            <w:pPr>
              <w:spacing w:line="440" w:lineRule="exact"/>
              <w:jc w:val="center"/>
              <w:rPr>
                <w:szCs w:val="21"/>
              </w:rPr>
            </w:pPr>
          </w:p>
        </w:tc>
        <w:tc>
          <w:tcPr>
            <w:tcW w:w="719" w:type="dxa"/>
            <w:vAlign w:val="center"/>
          </w:tcPr>
          <w:p>
            <w:pPr>
              <w:spacing w:line="440" w:lineRule="exact"/>
              <w:jc w:val="center"/>
              <w:rPr>
                <w:szCs w:val="21"/>
              </w:rPr>
            </w:pPr>
          </w:p>
        </w:tc>
        <w:tc>
          <w:tcPr>
            <w:tcW w:w="1081" w:type="dxa"/>
            <w:vAlign w:val="center"/>
          </w:tcPr>
          <w:p>
            <w:pPr>
              <w:spacing w:line="440" w:lineRule="exact"/>
              <w:jc w:val="center"/>
              <w:rPr>
                <w:szCs w:val="21"/>
              </w:rPr>
            </w:pPr>
          </w:p>
        </w:tc>
        <w:tc>
          <w:tcPr>
            <w:tcW w:w="719" w:type="dxa"/>
            <w:vAlign w:val="center"/>
          </w:tcPr>
          <w:p>
            <w:pPr>
              <w:spacing w:line="440" w:lineRule="exact"/>
              <w:jc w:val="center"/>
              <w:rPr>
                <w:szCs w:val="21"/>
              </w:rPr>
            </w:pPr>
          </w:p>
        </w:tc>
        <w:tc>
          <w:tcPr>
            <w:tcW w:w="721" w:type="dxa"/>
            <w:vAlign w:val="center"/>
          </w:tcPr>
          <w:p>
            <w:pPr>
              <w:spacing w:line="440" w:lineRule="exact"/>
              <w:jc w:val="center"/>
              <w:rPr>
                <w:szCs w:val="21"/>
              </w:rPr>
            </w:pPr>
          </w:p>
        </w:tc>
        <w:tc>
          <w:tcPr>
            <w:tcW w:w="719" w:type="dxa"/>
            <w:vAlign w:val="center"/>
          </w:tcPr>
          <w:p>
            <w:pPr>
              <w:spacing w:line="440" w:lineRule="exact"/>
              <w:jc w:val="center"/>
              <w:rPr>
                <w:szCs w:val="21"/>
              </w:rPr>
            </w:pPr>
          </w:p>
        </w:tc>
        <w:tc>
          <w:tcPr>
            <w:tcW w:w="2523" w:type="dxa"/>
            <w:vAlign w:val="center"/>
          </w:tcPr>
          <w:p>
            <w:pPr>
              <w:spacing w:line="440" w:lineRule="exact"/>
              <w:jc w:val="center"/>
              <w:rPr>
                <w:szCs w:val="21"/>
              </w:rPr>
            </w:pPr>
          </w:p>
        </w:tc>
        <w:tc>
          <w:tcPr>
            <w:tcW w:w="672" w:type="dxa"/>
            <w:vAlign w:val="center"/>
          </w:tcPr>
          <w:p>
            <w:pPr>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7" w:type="dxa"/>
            <w:vAlign w:val="top"/>
          </w:tcPr>
          <w:p>
            <w:pPr>
              <w:spacing w:line="440" w:lineRule="exact"/>
              <w:jc w:val="center"/>
              <w:rPr>
                <w:szCs w:val="21"/>
              </w:rPr>
            </w:pPr>
          </w:p>
        </w:tc>
        <w:tc>
          <w:tcPr>
            <w:tcW w:w="721" w:type="dxa"/>
            <w:vAlign w:val="top"/>
          </w:tcPr>
          <w:p>
            <w:pPr>
              <w:spacing w:line="440" w:lineRule="exact"/>
              <w:jc w:val="center"/>
              <w:rPr>
                <w:szCs w:val="21"/>
              </w:rPr>
            </w:pPr>
          </w:p>
        </w:tc>
        <w:tc>
          <w:tcPr>
            <w:tcW w:w="719" w:type="dxa"/>
            <w:vAlign w:val="top"/>
          </w:tcPr>
          <w:p>
            <w:pPr>
              <w:spacing w:line="440" w:lineRule="exact"/>
              <w:jc w:val="center"/>
              <w:rPr>
                <w:szCs w:val="21"/>
              </w:rPr>
            </w:pPr>
          </w:p>
        </w:tc>
        <w:tc>
          <w:tcPr>
            <w:tcW w:w="1081" w:type="dxa"/>
            <w:vAlign w:val="top"/>
          </w:tcPr>
          <w:p>
            <w:pPr>
              <w:spacing w:line="440" w:lineRule="exact"/>
              <w:jc w:val="center"/>
              <w:rPr>
                <w:szCs w:val="21"/>
              </w:rPr>
            </w:pPr>
          </w:p>
        </w:tc>
        <w:tc>
          <w:tcPr>
            <w:tcW w:w="719" w:type="dxa"/>
            <w:vAlign w:val="top"/>
          </w:tcPr>
          <w:p>
            <w:pPr>
              <w:spacing w:line="440" w:lineRule="exact"/>
              <w:jc w:val="center"/>
              <w:rPr>
                <w:szCs w:val="21"/>
              </w:rPr>
            </w:pPr>
          </w:p>
        </w:tc>
        <w:tc>
          <w:tcPr>
            <w:tcW w:w="721" w:type="dxa"/>
            <w:vAlign w:val="top"/>
          </w:tcPr>
          <w:p>
            <w:pPr>
              <w:spacing w:line="440" w:lineRule="exact"/>
              <w:jc w:val="center"/>
              <w:rPr>
                <w:szCs w:val="21"/>
              </w:rPr>
            </w:pPr>
          </w:p>
        </w:tc>
        <w:tc>
          <w:tcPr>
            <w:tcW w:w="719" w:type="dxa"/>
            <w:vAlign w:val="top"/>
          </w:tcPr>
          <w:p>
            <w:pPr>
              <w:spacing w:line="440" w:lineRule="exact"/>
              <w:jc w:val="center"/>
              <w:rPr>
                <w:szCs w:val="21"/>
              </w:rPr>
            </w:pPr>
          </w:p>
        </w:tc>
        <w:tc>
          <w:tcPr>
            <w:tcW w:w="2523" w:type="dxa"/>
            <w:vAlign w:val="top"/>
          </w:tcPr>
          <w:p>
            <w:pPr>
              <w:spacing w:line="440" w:lineRule="exact"/>
              <w:jc w:val="center"/>
              <w:rPr>
                <w:szCs w:val="21"/>
              </w:rPr>
            </w:pPr>
          </w:p>
        </w:tc>
        <w:tc>
          <w:tcPr>
            <w:tcW w:w="672" w:type="dxa"/>
            <w:vAlign w:val="top"/>
          </w:tcPr>
          <w:p>
            <w:pPr>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7" w:type="dxa"/>
            <w:vAlign w:val="top"/>
          </w:tcPr>
          <w:p>
            <w:pPr>
              <w:spacing w:line="440" w:lineRule="exact"/>
              <w:jc w:val="center"/>
              <w:rPr>
                <w:szCs w:val="21"/>
              </w:rPr>
            </w:pPr>
          </w:p>
        </w:tc>
        <w:tc>
          <w:tcPr>
            <w:tcW w:w="721" w:type="dxa"/>
            <w:vAlign w:val="top"/>
          </w:tcPr>
          <w:p>
            <w:pPr>
              <w:spacing w:line="440" w:lineRule="exact"/>
              <w:jc w:val="center"/>
              <w:rPr>
                <w:szCs w:val="21"/>
              </w:rPr>
            </w:pPr>
          </w:p>
        </w:tc>
        <w:tc>
          <w:tcPr>
            <w:tcW w:w="719" w:type="dxa"/>
            <w:vAlign w:val="top"/>
          </w:tcPr>
          <w:p>
            <w:pPr>
              <w:spacing w:line="440" w:lineRule="exact"/>
              <w:jc w:val="center"/>
              <w:rPr>
                <w:szCs w:val="21"/>
              </w:rPr>
            </w:pPr>
          </w:p>
        </w:tc>
        <w:tc>
          <w:tcPr>
            <w:tcW w:w="1081" w:type="dxa"/>
            <w:vAlign w:val="top"/>
          </w:tcPr>
          <w:p>
            <w:pPr>
              <w:spacing w:line="440" w:lineRule="exact"/>
              <w:jc w:val="center"/>
              <w:rPr>
                <w:szCs w:val="21"/>
              </w:rPr>
            </w:pPr>
          </w:p>
        </w:tc>
        <w:tc>
          <w:tcPr>
            <w:tcW w:w="719" w:type="dxa"/>
            <w:vAlign w:val="top"/>
          </w:tcPr>
          <w:p>
            <w:pPr>
              <w:spacing w:line="440" w:lineRule="exact"/>
              <w:jc w:val="center"/>
              <w:rPr>
                <w:szCs w:val="21"/>
              </w:rPr>
            </w:pPr>
          </w:p>
        </w:tc>
        <w:tc>
          <w:tcPr>
            <w:tcW w:w="721" w:type="dxa"/>
            <w:vAlign w:val="top"/>
          </w:tcPr>
          <w:p>
            <w:pPr>
              <w:spacing w:line="440" w:lineRule="exact"/>
              <w:jc w:val="center"/>
              <w:rPr>
                <w:szCs w:val="21"/>
              </w:rPr>
            </w:pPr>
          </w:p>
        </w:tc>
        <w:tc>
          <w:tcPr>
            <w:tcW w:w="719" w:type="dxa"/>
            <w:vAlign w:val="top"/>
          </w:tcPr>
          <w:p>
            <w:pPr>
              <w:spacing w:line="440" w:lineRule="exact"/>
              <w:jc w:val="center"/>
              <w:rPr>
                <w:szCs w:val="21"/>
              </w:rPr>
            </w:pPr>
          </w:p>
        </w:tc>
        <w:tc>
          <w:tcPr>
            <w:tcW w:w="2523" w:type="dxa"/>
            <w:vAlign w:val="top"/>
          </w:tcPr>
          <w:p>
            <w:pPr>
              <w:spacing w:line="440" w:lineRule="exact"/>
              <w:jc w:val="center"/>
              <w:rPr>
                <w:szCs w:val="21"/>
              </w:rPr>
            </w:pPr>
          </w:p>
        </w:tc>
        <w:tc>
          <w:tcPr>
            <w:tcW w:w="672" w:type="dxa"/>
            <w:vAlign w:val="top"/>
          </w:tcPr>
          <w:p>
            <w:pPr>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7" w:type="dxa"/>
            <w:vAlign w:val="top"/>
          </w:tcPr>
          <w:p>
            <w:pPr>
              <w:spacing w:line="440" w:lineRule="exact"/>
              <w:jc w:val="center"/>
              <w:rPr>
                <w:szCs w:val="21"/>
              </w:rPr>
            </w:pPr>
          </w:p>
        </w:tc>
        <w:tc>
          <w:tcPr>
            <w:tcW w:w="721" w:type="dxa"/>
            <w:vAlign w:val="top"/>
          </w:tcPr>
          <w:p>
            <w:pPr>
              <w:spacing w:line="440" w:lineRule="exact"/>
              <w:jc w:val="center"/>
              <w:rPr>
                <w:szCs w:val="21"/>
              </w:rPr>
            </w:pPr>
          </w:p>
        </w:tc>
        <w:tc>
          <w:tcPr>
            <w:tcW w:w="719" w:type="dxa"/>
            <w:vAlign w:val="top"/>
          </w:tcPr>
          <w:p>
            <w:pPr>
              <w:spacing w:line="440" w:lineRule="exact"/>
              <w:jc w:val="center"/>
              <w:rPr>
                <w:szCs w:val="21"/>
              </w:rPr>
            </w:pPr>
          </w:p>
        </w:tc>
        <w:tc>
          <w:tcPr>
            <w:tcW w:w="1081" w:type="dxa"/>
            <w:vAlign w:val="top"/>
          </w:tcPr>
          <w:p>
            <w:pPr>
              <w:spacing w:line="440" w:lineRule="exact"/>
              <w:jc w:val="center"/>
              <w:rPr>
                <w:szCs w:val="21"/>
              </w:rPr>
            </w:pPr>
          </w:p>
        </w:tc>
        <w:tc>
          <w:tcPr>
            <w:tcW w:w="719" w:type="dxa"/>
            <w:vAlign w:val="top"/>
          </w:tcPr>
          <w:p>
            <w:pPr>
              <w:spacing w:line="440" w:lineRule="exact"/>
              <w:jc w:val="center"/>
              <w:rPr>
                <w:szCs w:val="21"/>
              </w:rPr>
            </w:pPr>
          </w:p>
        </w:tc>
        <w:tc>
          <w:tcPr>
            <w:tcW w:w="721" w:type="dxa"/>
            <w:vAlign w:val="top"/>
          </w:tcPr>
          <w:p>
            <w:pPr>
              <w:spacing w:line="440" w:lineRule="exact"/>
              <w:jc w:val="center"/>
              <w:rPr>
                <w:szCs w:val="21"/>
              </w:rPr>
            </w:pPr>
          </w:p>
        </w:tc>
        <w:tc>
          <w:tcPr>
            <w:tcW w:w="719" w:type="dxa"/>
            <w:vAlign w:val="top"/>
          </w:tcPr>
          <w:p>
            <w:pPr>
              <w:spacing w:line="440" w:lineRule="exact"/>
              <w:jc w:val="center"/>
              <w:rPr>
                <w:szCs w:val="21"/>
              </w:rPr>
            </w:pPr>
          </w:p>
        </w:tc>
        <w:tc>
          <w:tcPr>
            <w:tcW w:w="2523" w:type="dxa"/>
            <w:vAlign w:val="top"/>
          </w:tcPr>
          <w:p>
            <w:pPr>
              <w:spacing w:line="440" w:lineRule="exact"/>
              <w:jc w:val="center"/>
              <w:rPr>
                <w:szCs w:val="21"/>
              </w:rPr>
            </w:pPr>
          </w:p>
        </w:tc>
        <w:tc>
          <w:tcPr>
            <w:tcW w:w="672" w:type="dxa"/>
            <w:vAlign w:val="top"/>
          </w:tcPr>
          <w:p>
            <w:pPr>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7" w:type="dxa"/>
            <w:vAlign w:val="top"/>
          </w:tcPr>
          <w:p>
            <w:pPr>
              <w:spacing w:line="440" w:lineRule="exact"/>
              <w:jc w:val="center"/>
              <w:rPr>
                <w:szCs w:val="21"/>
              </w:rPr>
            </w:pPr>
          </w:p>
        </w:tc>
        <w:tc>
          <w:tcPr>
            <w:tcW w:w="721" w:type="dxa"/>
            <w:vAlign w:val="top"/>
          </w:tcPr>
          <w:p>
            <w:pPr>
              <w:spacing w:line="440" w:lineRule="exact"/>
              <w:jc w:val="center"/>
              <w:rPr>
                <w:szCs w:val="21"/>
              </w:rPr>
            </w:pPr>
          </w:p>
        </w:tc>
        <w:tc>
          <w:tcPr>
            <w:tcW w:w="719" w:type="dxa"/>
            <w:vAlign w:val="top"/>
          </w:tcPr>
          <w:p>
            <w:pPr>
              <w:spacing w:line="440" w:lineRule="exact"/>
              <w:jc w:val="center"/>
              <w:rPr>
                <w:szCs w:val="21"/>
              </w:rPr>
            </w:pPr>
          </w:p>
        </w:tc>
        <w:tc>
          <w:tcPr>
            <w:tcW w:w="1081" w:type="dxa"/>
            <w:vAlign w:val="top"/>
          </w:tcPr>
          <w:p>
            <w:pPr>
              <w:spacing w:line="440" w:lineRule="exact"/>
              <w:jc w:val="center"/>
              <w:rPr>
                <w:szCs w:val="21"/>
              </w:rPr>
            </w:pPr>
          </w:p>
        </w:tc>
        <w:tc>
          <w:tcPr>
            <w:tcW w:w="719" w:type="dxa"/>
            <w:vAlign w:val="top"/>
          </w:tcPr>
          <w:p>
            <w:pPr>
              <w:spacing w:line="440" w:lineRule="exact"/>
              <w:jc w:val="center"/>
              <w:rPr>
                <w:szCs w:val="21"/>
              </w:rPr>
            </w:pPr>
          </w:p>
        </w:tc>
        <w:tc>
          <w:tcPr>
            <w:tcW w:w="721" w:type="dxa"/>
            <w:vAlign w:val="top"/>
          </w:tcPr>
          <w:p>
            <w:pPr>
              <w:spacing w:line="440" w:lineRule="exact"/>
              <w:jc w:val="center"/>
              <w:rPr>
                <w:szCs w:val="21"/>
              </w:rPr>
            </w:pPr>
          </w:p>
        </w:tc>
        <w:tc>
          <w:tcPr>
            <w:tcW w:w="719" w:type="dxa"/>
            <w:vAlign w:val="top"/>
          </w:tcPr>
          <w:p>
            <w:pPr>
              <w:spacing w:line="440" w:lineRule="exact"/>
              <w:jc w:val="center"/>
              <w:rPr>
                <w:szCs w:val="21"/>
              </w:rPr>
            </w:pPr>
          </w:p>
        </w:tc>
        <w:tc>
          <w:tcPr>
            <w:tcW w:w="2523" w:type="dxa"/>
            <w:vAlign w:val="top"/>
          </w:tcPr>
          <w:p>
            <w:pPr>
              <w:spacing w:line="440" w:lineRule="exact"/>
              <w:jc w:val="center"/>
              <w:rPr>
                <w:szCs w:val="21"/>
              </w:rPr>
            </w:pPr>
          </w:p>
        </w:tc>
        <w:tc>
          <w:tcPr>
            <w:tcW w:w="672" w:type="dxa"/>
            <w:vAlign w:val="top"/>
          </w:tcPr>
          <w:p>
            <w:pPr>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7" w:type="dxa"/>
            <w:vAlign w:val="top"/>
          </w:tcPr>
          <w:p>
            <w:pPr>
              <w:spacing w:line="440" w:lineRule="exact"/>
              <w:jc w:val="center"/>
              <w:rPr>
                <w:szCs w:val="21"/>
              </w:rPr>
            </w:pPr>
          </w:p>
        </w:tc>
        <w:tc>
          <w:tcPr>
            <w:tcW w:w="721" w:type="dxa"/>
            <w:vAlign w:val="top"/>
          </w:tcPr>
          <w:p>
            <w:pPr>
              <w:spacing w:line="440" w:lineRule="exact"/>
              <w:jc w:val="center"/>
              <w:rPr>
                <w:szCs w:val="21"/>
              </w:rPr>
            </w:pPr>
          </w:p>
        </w:tc>
        <w:tc>
          <w:tcPr>
            <w:tcW w:w="719" w:type="dxa"/>
            <w:vAlign w:val="top"/>
          </w:tcPr>
          <w:p>
            <w:pPr>
              <w:spacing w:line="440" w:lineRule="exact"/>
              <w:jc w:val="center"/>
              <w:rPr>
                <w:szCs w:val="21"/>
              </w:rPr>
            </w:pPr>
          </w:p>
        </w:tc>
        <w:tc>
          <w:tcPr>
            <w:tcW w:w="1081" w:type="dxa"/>
            <w:vAlign w:val="top"/>
          </w:tcPr>
          <w:p>
            <w:pPr>
              <w:spacing w:line="440" w:lineRule="exact"/>
              <w:jc w:val="center"/>
              <w:rPr>
                <w:szCs w:val="21"/>
              </w:rPr>
            </w:pPr>
          </w:p>
        </w:tc>
        <w:tc>
          <w:tcPr>
            <w:tcW w:w="719" w:type="dxa"/>
            <w:vAlign w:val="top"/>
          </w:tcPr>
          <w:p>
            <w:pPr>
              <w:spacing w:line="440" w:lineRule="exact"/>
              <w:jc w:val="center"/>
              <w:rPr>
                <w:szCs w:val="21"/>
              </w:rPr>
            </w:pPr>
          </w:p>
        </w:tc>
        <w:tc>
          <w:tcPr>
            <w:tcW w:w="721" w:type="dxa"/>
            <w:vAlign w:val="top"/>
          </w:tcPr>
          <w:p>
            <w:pPr>
              <w:spacing w:line="440" w:lineRule="exact"/>
              <w:jc w:val="center"/>
              <w:rPr>
                <w:szCs w:val="21"/>
              </w:rPr>
            </w:pPr>
          </w:p>
        </w:tc>
        <w:tc>
          <w:tcPr>
            <w:tcW w:w="719" w:type="dxa"/>
            <w:vAlign w:val="top"/>
          </w:tcPr>
          <w:p>
            <w:pPr>
              <w:spacing w:line="440" w:lineRule="exact"/>
              <w:jc w:val="center"/>
              <w:rPr>
                <w:szCs w:val="21"/>
              </w:rPr>
            </w:pPr>
          </w:p>
        </w:tc>
        <w:tc>
          <w:tcPr>
            <w:tcW w:w="2523" w:type="dxa"/>
            <w:vAlign w:val="top"/>
          </w:tcPr>
          <w:p>
            <w:pPr>
              <w:spacing w:line="440" w:lineRule="exact"/>
              <w:jc w:val="center"/>
              <w:rPr>
                <w:szCs w:val="21"/>
              </w:rPr>
            </w:pPr>
          </w:p>
        </w:tc>
        <w:tc>
          <w:tcPr>
            <w:tcW w:w="672" w:type="dxa"/>
            <w:vAlign w:val="top"/>
          </w:tcPr>
          <w:p>
            <w:pPr>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7" w:type="dxa"/>
            <w:vAlign w:val="top"/>
          </w:tcPr>
          <w:p>
            <w:pPr>
              <w:spacing w:line="440" w:lineRule="exact"/>
              <w:jc w:val="center"/>
              <w:rPr>
                <w:szCs w:val="21"/>
              </w:rPr>
            </w:pPr>
          </w:p>
        </w:tc>
        <w:tc>
          <w:tcPr>
            <w:tcW w:w="721" w:type="dxa"/>
            <w:vAlign w:val="top"/>
          </w:tcPr>
          <w:p>
            <w:pPr>
              <w:spacing w:line="440" w:lineRule="exact"/>
              <w:jc w:val="center"/>
              <w:rPr>
                <w:szCs w:val="21"/>
              </w:rPr>
            </w:pPr>
          </w:p>
        </w:tc>
        <w:tc>
          <w:tcPr>
            <w:tcW w:w="719" w:type="dxa"/>
            <w:vAlign w:val="top"/>
          </w:tcPr>
          <w:p>
            <w:pPr>
              <w:spacing w:line="440" w:lineRule="exact"/>
              <w:jc w:val="center"/>
              <w:rPr>
                <w:szCs w:val="21"/>
              </w:rPr>
            </w:pPr>
          </w:p>
        </w:tc>
        <w:tc>
          <w:tcPr>
            <w:tcW w:w="1081" w:type="dxa"/>
            <w:vAlign w:val="top"/>
          </w:tcPr>
          <w:p>
            <w:pPr>
              <w:spacing w:line="440" w:lineRule="exact"/>
              <w:jc w:val="center"/>
              <w:rPr>
                <w:szCs w:val="21"/>
              </w:rPr>
            </w:pPr>
          </w:p>
        </w:tc>
        <w:tc>
          <w:tcPr>
            <w:tcW w:w="719" w:type="dxa"/>
            <w:vAlign w:val="top"/>
          </w:tcPr>
          <w:p>
            <w:pPr>
              <w:spacing w:line="440" w:lineRule="exact"/>
              <w:jc w:val="center"/>
              <w:rPr>
                <w:szCs w:val="21"/>
              </w:rPr>
            </w:pPr>
          </w:p>
        </w:tc>
        <w:tc>
          <w:tcPr>
            <w:tcW w:w="721" w:type="dxa"/>
            <w:vAlign w:val="top"/>
          </w:tcPr>
          <w:p>
            <w:pPr>
              <w:spacing w:line="440" w:lineRule="exact"/>
              <w:jc w:val="center"/>
              <w:rPr>
                <w:szCs w:val="21"/>
              </w:rPr>
            </w:pPr>
          </w:p>
        </w:tc>
        <w:tc>
          <w:tcPr>
            <w:tcW w:w="719" w:type="dxa"/>
            <w:vAlign w:val="top"/>
          </w:tcPr>
          <w:p>
            <w:pPr>
              <w:spacing w:line="440" w:lineRule="exact"/>
              <w:jc w:val="center"/>
              <w:rPr>
                <w:szCs w:val="21"/>
              </w:rPr>
            </w:pPr>
          </w:p>
        </w:tc>
        <w:tc>
          <w:tcPr>
            <w:tcW w:w="2523" w:type="dxa"/>
            <w:vAlign w:val="top"/>
          </w:tcPr>
          <w:p>
            <w:pPr>
              <w:spacing w:line="440" w:lineRule="exact"/>
              <w:jc w:val="center"/>
              <w:rPr>
                <w:szCs w:val="21"/>
              </w:rPr>
            </w:pPr>
          </w:p>
        </w:tc>
        <w:tc>
          <w:tcPr>
            <w:tcW w:w="672" w:type="dxa"/>
            <w:vAlign w:val="top"/>
          </w:tcPr>
          <w:p>
            <w:pPr>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7" w:type="dxa"/>
            <w:vAlign w:val="top"/>
          </w:tcPr>
          <w:p>
            <w:pPr>
              <w:spacing w:line="440" w:lineRule="exact"/>
              <w:jc w:val="center"/>
              <w:rPr>
                <w:szCs w:val="21"/>
              </w:rPr>
            </w:pPr>
          </w:p>
        </w:tc>
        <w:tc>
          <w:tcPr>
            <w:tcW w:w="721" w:type="dxa"/>
            <w:vAlign w:val="top"/>
          </w:tcPr>
          <w:p>
            <w:pPr>
              <w:spacing w:line="440" w:lineRule="exact"/>
              <w:jc w:val="center"/>
              <w:rPr>
                <w:szCs w:val="21"/>
              </w:rPr>
            </w:pPr>
          </w:p>
        </w:tc>
        <w:tc>
          <w:tcPr>
            <w:tcW w:w="719" w:type="dxa"/>
            <w:vAlign w:val="top"/>
          </w:tcPr>
          <w:p>
            <w:pPr>
              <w:spacing w:line="440" w:lineRule="exact"/>
              <w:jc w:val="center"/>
              <w:rPr>
                <w:szCs w:val="21"/>
              </w:rPr>
            </w:pPr>
          </w:p>
        </w:tc>
        <w:tc>
          <w:tcPr>
            <w:tcW w:w="1081" w:type="dxa"/>
            <w:vAlign w:val="top"/>
          </w:tcPr>
          <w:p>
            <w:pPr>
              <w:spacing w:line="440" w:lineRule="exact"/>
              <w:jc w:val="center"/>
              <w:rPr>
                <w:szCs w:val="21"/>
              </w:rPr>
            </w:pPr>
          </w:p>
        </w:tc>
        <w:tc>
          <w:tcPr>
            <w:tcW w:w="719" w:type="dxa"/>
            <w:vAlign w:val="top"/>
          </w:tcPr>
          <w:p>
            <w:pPr>
              <w:spacing w:line="440" w:lineRule="exact"/>
              <w:jc w:val="center"/>
              <w:rPr>
                <w:szCs w:val="21"/>
              </w:rPr>
            </w:pPr>
          </w:p>
        </w:tc>
        <w:tc>
          <w:tcPr>
            <w:tcW w:w="721" w:type="dxa"/>
            <w:vAlign w:val="top"/>
          </w:tcPr>
          <w:p>
            <w:pPr>
              <w:spacing w:line="440" w:lineRule="exact"/>
              <w:jc w:val="center"/>
              <w:rPr>
                <w:szCs w:val="21"/>
              </w:rPr>
            </w:pPr>
          </w:p>
        </w:tc>
        <w:tc>
          <w:tcPr>
            <w:tcW w:w="719" w:type="dxa"/>
            <w:vAlign w:val="top"/>
          </w:tcPr>
          <w:p>
            <w:pPr>
              <w:spacing w:line="440" w:lineRule="exact"/>
              <w:jc w:val="center"/>
              <w:rPr>
                <w:szCs w:val="21"/>
              </w:rPr>
            </w:pPr>
          </w:p>
        </w:tc>
        <w:tc>
          <w:tcPr>
            <w:tcW w:w="2523" w:type="dxa"/>
            <w:vAlign w:val="top"/>
          </w:tcPr>
          <w:p>
            <w:pPr>
              <w:spacing w:line="440" w:lineRule="exact"/>
              <w:jc w:val="center"/>
              <w:rPr>
                <w:szCs w:val="21"/>
              </w:rPr>
            </w:pPr>
          </w:p>
        </w:tc>
        <w:tc>
          <w:tcPr>
            <w:tcW w:w="672" w:type="dxa"/>
            <w:vAlign w:val="top"/>
          </w:tcPr>
          <w:p>
            <w:pPr>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7" w:type="dxa"/>
            <w:vAlign w:val="top"/>
          </w:tcPr>
          <w:p>
            <w:pPr>
              <w:spacing w:line="440" w:lineRule="exact"/>
              <w:jc w:val="center"/>
              <w:rPr>
                <w:szCs w:val="21"/>
              </w:rPr>
            </w:pPr>
          </w:p>
        </w:tc>
        <w:tc>
          <w:tcPr>
            <w:tcW w:w="721" w:type="dxa"/>
            <w:vAlign w:val="top"/>
          </w:tcPr>
          <w:p>
            <w:pPr>
              <w:spacing w:line="440" w:lineRule="exact"/>
              <w:jc w:val="center"/>
              <w:rPr>
                <w:szCs w:val="21"/>
              </w:rPr>
            </w:pPr>
          </w:p>
        </w:tc>
        <w:tc>
          <w:tcPr>
            <w:tcW w:w="719" w:type="dxa"/>
            <w:vAlign w:val="top"/>
          </w:tcPr>
          <w:p>
            <w:pPr>
              <w:spacing w:line="440" w:lineRule="exact"/>
              <w:jc w:val="center"/>
              <w:rPr>
                <w:szCs w:val="21"/>
              </w:rPr>
            </w:pPr>
          </w:p>
        </w:tc>
        <w:tc>
          <w:tcPr>
            <w:tcW w:w="1081" w:type="dxa"/>
            <w:vAlign w:val="top"/>
          </w:tcPr>
          <w:p>
            <w:pPr>
              <w:spacing w:line="440" w:lineRule="exact"/>
              <w:jc w:val="center"/>
              <w:rPr>
                <w:szCs w:val="21"/>
              </w:rPr>
            </w:pPr>
          </w:p>
        </w:tc>
        <w:tc>
          <w:tcPr>
            <w:tcW w:w="719" w:type="dxa"/>
            <w:vAlign w:val="top"/>
          </w:tcPr>
          <w:p>
            <w:pPr>
              <w:spacing w:line="440" w:lineRule="exact"/>
              <w:jc w:val="center"/>
              <w:rPr>
                <w:szCs w:val="21"/>
              </w:rPr>
            </w:pPr>
          </w:p>
        </w:tc>
        <w:tc>
          <w:tcPr>
            <w:tcW w:w="721" w:type="dxa"/>
            <w:vAlign w:val="top"/>
          </w:tcPr>
          <w:p>
            <w:pPr>
              <w:spacing w:line="440" w:lineRule="exact"/>
              <w:jc w:val="center"/>
              <w:rPr>
                <w:szCs w:val="21"/>
              </w:rPr>
            </w:pPr>
          </w:p>
        </w:tc>
        <w:tc>
          <w:tcPr>
            <w:tcW w:w="719" w:type="dxa"/>
            <w:vAlign w:val="top"/>
          </w:tcPr>
          <w:p>
            <w:pPr>
              <w:spacing w:line="440" w:lineRule="exact"/>
              <w:jc w:val="center"/>
              <w:rPr>
                <w:szCs w:val="21"/>
              </w:rPr>
            </w:pPr>
          </w:p>
        </w:tc>
        <w:tc>
          <w:tcPr>
            <w:tcW w:w="2523" w:type="dxa"/>
            <w:vAlign w:val="top"/>
          </w:tcPr>
          <w:p>
            <w:pPr>
              <w:spacing w:line="440" w:lineRule="exact"/>
              <w:jc w:val="center"/>
              <w:rPr>
                <w:szCs w:val="21"/>
              </w:rPr>
            </w:pPr>
          </w:p>
        </w:tc>
        <w:tc>
          <w:tcPr>
            <w:tcW w:w="672" w:type="dxa"/>
            <w:vAlign w:val="top"/>
          </w:tcPr>
          <w:p>
            <w:pPr>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7"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szCs w:val="21"/>
              </w:rPr>
            </w:pPr>
          </w:p>
        </w:tc>
        <w:tc>
          <w:tcPr>
            <w:tcW w:w="721"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szCs w:val="21"/>
              </w:rPr>
            </w:pPr>
          </w:p>
        </w:tc>
        <w:tc>
          <w:tcPr>
            <w:tcW w:w="719"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szCs w:val="21"/>
              </w:rPr>
            </w:pPr>
          </w:p>
        </w:tc>
        <w:tc>
          <w:tcPr>
            <w:tcW w:w="1081"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szCs w:val="21"/>
              </w:rPr>
            </w:pPr>
          </w:p>
        </w:tc>
        <w:tc>
          <w:tcPr>
            <w:tcW w:w="719"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szCs w:val="21"/>
              </w:rPr>
            </w:pPr>
          </w:p>
        </w:tc>
        <w:tc>
          <w:tcPr>
            <w:tcW w:w="721"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szCs w:val="21"/>
              </w:rPr>
            </w:pPr>
          </w:p>
        </w:tc>
        <w:tc>
          <w:tcPr>
            <w:tcW w:w="719"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szCs w:val="21"/>
              </w:rPr>
            </w:pPr>
          </w:p>
        </w:tc>
        <w:tc>
          <w:tcPr>
            <w:tcW w:w="2523"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szCs w:val="21"/>
              </w:rPr>
            </w:pPr>
          </w:p>
        </w:tc>
        <w:tc>
          <w:tcPr>
            <w:tcW w:w="672"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7"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szCs w:val="21"/>
              </w:rPr>
            </w:pPr>
          </w:p>
        </w:tc>
        <w:tc>
          <w:tcPr>
            <w:tcW w:w="721"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szCs w:val="21"/>
              </w:rPr>
            </w:pPr>
          </w:p>
        </w:tc>
        <w:tc>
          <w:tcPr>
            <w:tcW w:w="719"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szCs w:val="21"/>
              </w:rPr>
            </w:pPr>
          </w:p>
        </w:tc>
        <w:tc>
          <w:tcPr>
            <w:tcW w:w="1081"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szCs w:val="21"/>
              </w:rPr>
            </w:pPr>
          </w:p>
        </w:tc>
        <w:tc>
          <w:tcPr>
            <w:tcW w:w="719"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szCs w:val="21"/>
              </w:rPr>
            </w:pPr>
          </w:p>
        </w:tc>
        <w:tc>
          <w:tcPr>
            <w:tcW w:w="721"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szCs w:val="21"/>
              </w:rPr>
            </w:pPr>
          </w:p>
        </w:tc>
        <w:tc>
          <w:tcPr>
            <w:tcW w:w="719"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szCs w:val="21"/>
              </w:rPr>
            </w:pPr>
          </w:p>
        </w:tc>
        <w:tc>
          <w:tcPr>
            <w:tcW w:w="2523"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szCs w:val="21"/>
              </w:rPr>
            </w:pPr>
          </w:p>
        </w:tc>
        <w:tc>
          <w:tcPr>
            <w:tcW w:w="672"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7"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szCs w:val="21"/>
              </w:rPr>
            </w:pPr>
          </w:p>
        </w:tc>
        <w:tc>
          <w:tcPr>
            <w:tcW w:w="721"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szCs w:val="21"/>
              </w:rPr>
            </w:pPr>
          </w:p>
        </w:tc>
        <w:tc>
          <w:tcPr>
            <w:tcW w:w="719"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szCs w:val="21"/>
              </w:rPr>
            </w:pPr>
          </w:p>
        </w:tc>
        <w:tc>
          <w:tcPr>
            <w:tcW w:w="1081"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szCs w:val="21"/>
              </w:rPr>
            </w:pPr>
          </w:p>
        </w:tc>
        <w:tc>
          <w:tcPr>
            <w:tcW w:w="719"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szCs w:val="21"/>
              </w:rPr>
            </w:pPr>
          </w:p>
        </w:tc>
        <w:tc>
          <w:tcPr>
            <w:tcW w:w="721"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szCs w:val="21"/>
              </w:rPr>
            </w:pPr>
          </w:p>
        </w:tc>
        <w:tc>
          <w:tcPr>
            <w:tcW w:w="719"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szCs w:val="21"/>
              </w:rPr>
            </w:pPr>
          </w:p>
        </w:tc>
        <w:tc>
          <w:tcPr>
            <w:tcW w:w="2523"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szCs w:val="21"/>
              </w:rPr>
            </w:pPr>
          </w:p>
        </w:tc>
        <w:tc>
          <w:tcPr>
            <w:tcW w:w="672"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7"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szCs w:val="21"/>
              </w:rPr>
            </w:pPr>
          </w:p>
        </w:tc>
        <w:tc>
          <w:tcPr>
            <w:tcW w:w="721"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szCs w:val="21"/>
              </w:rPr>
            </w:pPr>
          </w:p>
        </w:tc>
        <w:tc>
          <w:tcPr>
            <w:tcW w:w="719"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szCs w:val="21"/>
              </w:rPr>
            </w:pPr>
          </w:p>
        </w:tc>
        <w:tc>
          <w:tcPr>
            <w:tcW w:w="1081"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szCs w:val="21"/>
              </w:rPr>
            </w:pPr>
          </w:p>
        </w:tc>
        <w:tc>
          <w:tcPr>
            <w:tcW w:w="719"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szCs w:val="21"/>
              </w:rPr>
            </w:pPr>
          </w:p>
        </w:tc>
        <w:tc>
          <w:tcPr>
            <w:tcW w:w="721"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szCs w:val="21"/>
              </w:rPr>
            </w:pPr>
          </w:p>
        </w:tc>
        <w:tc>
          <w:tcPr>
            <w:tcW w:w="719"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szCs w:val="21"/>
              </w:rPr>
            </w:pPr>
          </w:p>
        </w:tc>
        <w:tc>
          <w:tcPr>
            <w:tcW w:w="2523"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szCs w:val="21"/>
              </w:rPr>
            </w:pPr>
          </w:p>
        </w:tc>
        <w:tc>
          <w:tcPr>
            <w:tcW w:w="672"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7"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szCs w:val="21"/>
              </w:rPr>
            </w:pPr>
          </w:p>
        </w:tc>
        <w:tc>
          <w:tcPr>
            <w:tcW w:w="721"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szCs w:val="21"/>
              </w:rPr>
            </w:pPr>
          </w:p>
        </w:tc>
        <w:tc>
          <w:tcPr>
            <w:tcW w:w="719"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szCs w:val="21"/>
              </w:rPr>
            </w:pPr>
          </w:p>
        </w:tc>
        <w:tc>
          <w:tcPr>
            <w:tcW w:w="1081"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szCs w:val="21"/>
              </w:rPr>
            </w:pPr>
          </w:p>
        </w:tc>
        <w:tc>
          <w:tcPr>
            <w:tcW w:w="719"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szCs w:val="21"/>
              </w:rPr>
            </w:pPr>
          </w:p>
        </w:tc>
        <w:tc>
          <w:tcPr>
            <w:tcW w:w="721"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szCs w:val="21"/>
              </w:rPr>
            </w:pPr>
          </w:p>
        </w:tc>
        <w:tc>
          <w:tcPr>
            <w:tcW w:w="719"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szCs w:val="21"/>
              </w:rPr>
            </w:pPr>
          </w:p>
        </w:tc>
        <w:tc>
          <w:tcPr>
            <w:tcW w:w="2523"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szCs w:val="21"/>
              </w:rPr>
            </w:pPr>
          </w:p>
        </w:tc>
        <w:tc>
          <w:tcPr>
            <w:tcW w:w="672"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7"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szCs w:val="21"/>
              </w:rPr>
            </w:pPr>
          </w:p>
        </w:tc>
        <w:tc>
          <w:tcPr>
            <w:tcW w:w="721"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szCs w:val="21"/>
              </w:rPr>
            </w:pPr>
          </w:p>
        </w:tc>
        <w:tc>
          <w:tcPr>
            <w:tcW w:w="719"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szCs w:val="21"/>
              </w:rPr>
            </w:pPr>
          </w:p>
        </w:tc>
        <w:tc>
          <w:tcPr>
            <w:tcW w:w="1081"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szCs w:val="21"/>
              </w:rPr>
            </w:pPr>
          </w:p>
        </w:tc>
        <w:tc>
          <w:tcPr>
            <w:tcW w:w="719"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szCs w:val="21"/>
              </w:rPr>
            </w:pPr>
          </w:p>
        </w:tc>
        <w:tc>
          <w:tcPr>
            <w:tcW w:w="721"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szCs w:val="21"/>
              </w:rPr>
            </w:pPr>
          </w:p>
        </w:tc>
        <w:tc>
          <w:tcPr>
            <w:tcW w:w="719"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szCs w:val="21"/>
              </w:rPr>
            </w:pPr>
          </w:p>
        </w:tc>
        <w:tc>
          <w:tcPr>
            <w:tcW w:w="2523"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szCs w:val="21"/>
              </w:rPr>
            </w:pPr>
          </w:p>
        </w:tc>
        <w:tc>
          <w:tcPr>
            <w:tcW w:w="672"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7"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szCs w:val="21"/>
              </w:rPr>
            </w:pPr>
          </w:p>
        </w:tc>
        <w:tc>
          <w:tcPr>
            <w:tcW w:w="721"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szCs w:val="21"/>
              </w:rPr>
            </w:pPr>
          </w:p>
        </w:tc>
        <w:tc>
          <w:tcPr>
            <w:tcW w:w="719"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szCs w:val="21"/>
              </w:rPr>
            </w:pPr>
          </w:p>
        </w:tc>
        <w:tc>
          <w:tcPr>
            <w:tcW w:w="1081"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szCs w:val="21"/>
              </w:rPr>
            </w:pPr>
          </w:p>
        </w:tc>
        <w:tc>
          <w:tcPr>
            <w:tcW w:w="719"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szCs w:val="21"/>
              </w:rPr>
            </w:pPr>
          </w:p>
        </w:tc>
        <w:tc>
          <w:tcPr>
            <w:tcW w:w="721"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szCs w:val="21"/>
              </w:rPr>
            </w:pPr>
          </w:p>
        </w:tc>
        <w:tc>
          <w:tcPr>
            <w:tcW w:w="719"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szCs w:val="21"/>
              </w:rPr>
            </w:pPr>
          </w:p>
        </w:tc>
        <w:tc>
          <w:tcPr>
            <w:tcW w:w="2523"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szCs w:val="21"/>
              </w:rPr>
            </w:pPr>
          </w:p>
        </w:tc>
        <w:tc>
          <w:tcPr>
            <w:tcW w:w="672"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7"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szCs w:val="21"/>
              </w:rPr>
            </w:pPr>
          </w:p>
        </w:tc>
        <w:tc>
          <w:tcPr>
            <w:tcW w:w="721"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szCs w:val="21"/>
              </w:rPr>
            </w:pPr>
          </w:p>
        </w:tc>
        <w:tc>
          <w:tcPr>
            <w:tcW w:w="719"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szCs w:val="21"/>
              </w:rPr>
            </w:pPr>
          </w:p>
        </w:tc>
        <w:tc>
          <w:tcPr>
            <w:tcW w:w="1081"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szCs w:val="21"/>
              </w:rPr>
            </w:pPr>
          </w:p>
        </w:tc>
        <w:tc>
          <w:tcPr>
            <w:tcW w:w="719"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szCs w:val="21"/>
              </w:rPr>
            </w:pPr>
          </w:p>
        </w:tc>
        <w:tc>
          <w:tcPr>
            <w:tcW w:w="721"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szCs w:val="21"/>
              </w:rPr>
            </w:pPr>
          </w:p>
        </w:tc>
        <w:tc>
          <w:tcPr>
            <w:tcW w:w="719"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szCs w:val="21"/>
              </w:rPr>
            </w:pPr>
          </w:p>
        </w:tc>
        <w:tc>
          <w:tcPr>
            <w:tcW w:w="2523"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szCs w:val="21"/>
              </w:rPr>
            </w:pPr>
          </w:p>
        </w:tc>
        <w:tc>
          <w:tcPr>
            <w:tcW w:w="672"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7"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szCs w:val="21"/>
              </w:rPr>
            </w:pPr>
          </w:p>
        </w:tc>
        <w:tc>
          <w:tcPr>
            <w:tcW w:w="721"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szCs w:val="21"/>
              </w:rPr>
            </w:pPr>
          </w:p>
        </w:tc>
        <w:tc>
          <w:tcPr>
            <w:tcW w:w="719"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szCs w:val="21"/>
              </w:rPr>
            </w:pPr>
          </w:p>
        </w:tc>
        <w:tc>
          <w:tcPr>
            <w:tcW w:w="1081"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szCs w:val="21"/>
              </w:rPr>
            </w:pPr>
          </w:p>
        </w:tc>
        <w:tc>
          <w:tcPr>
            <w:tcW w:w="719"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szCs w:val="21"/>
              </w:rPr>
            </w:pPr>
          </w:p>
        </w:tc>
        <w:tc>
          <w:tcPr>
            <w:tcW w:w="721"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szCs w:val="21"/>
              </w:rPr>
            </w:pPr>
          </w:p>
        </w:tc>
        <w:tc>
          <w:tcPr>
            <w:tcW w:w="719"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szCs w:val="21"/>
              </w:rPr>
            </w:pPr>
          </w:p>
        </w:tc>
        <w:tc>
          <w:tcPr>
            <w:tcW w:w="2523"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szCs w:val="21"/>
              </w:rPr>
            </w:pPr>
          </w:p>
        </w:tc>
        <w:tc>
          <w:tcPr>
            <w:tcW w:w="672"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7"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szCs w:val="21"/>
              </w:rPr>
            </w:pPr>
          </w:p>
        </w:tc>
        <w:tc>
          <w:tcPr>
            <w:tcW w:w="721"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szCs w:val="21"/>
              </w:rPr>
            </w:pPr>
          </w:p>
        </w:tc>
        <w:tc>
          <w:tcPr>
            <w:tcW w:w="719"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szCs w:val="21"/>
              </w:rPr>
            </w:pPr>
          </w:p>
        </w:tc>
        <w:tc>
          <w:tcPr>
            <w:tcW w:w="1081"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szCs w:val="21"/>
              </w:rPr>
            </w:pPr>
          </w:p>
        </w:tc>
        <w:tc>
          <w:tcPr>
            <w:tcW w:w="719"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szCs w:val="21"/>
              </w:rPr>
            </w:pPr>
          </w:p>
        </w:tc>
        <w:tc>
          <w:tcPr>
            <w:tcW w:w="721"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szCs w:val="21"/>
              </w:rPr>
            </w:pPr>
          </w:p>
        </w:tc>
        <w:tc>
          <w:tcPr>
            <w:tcW w:w="719"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szCs w:val="21"/>
              </w:rPr>
            </w:pPr>
          </w:p>
        </w:tc>
        <w:tc>
          <w:tcPr>
            <w:tcW w:w="2523"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szCs w:val="21"/>
              </w:rPr>
            </w:pPr>
          </w:p>
        </w:tc>
        <w:tc>
          <w:tcPr>
            <w:tcW w:w="672"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szCs w:val="21"/>
              </w:rPr>
            </w:pPr>
          </w:p>
        </w:tc>
      </w:tr>
    </w:tbl>
    <w:p>
      <w:pPr>
        <w:topLinePunct/>
        <w:spacing w:line="440" w:lineRule="exact"/>
        <w:jc w:val="center"/>
        <w:rPr>
          <w:sz w:val="20"/>
        </w:rPr>
      </w:pPr>
    </w:p>
    <w:p>
      <w:pPr>
        <w:pStyle w:val="4"/>
        <w:jc w:val="center"/>
      </w:pPr>
      <w:r>
        <w:rPr>
          <w:sz w:val="20"/>
        </w:rPr>
        <w:br w:type="page"/>
      </w:r>
      <w:bookmarkStart w:id="1232" w:name="_Toc13576"/>
      <w:bookmarkStart w:id="1233" w:name="_Toc246997114"/>
      <w:bookmarkStart w:id="1234" w:name="_Toc435780854"/>
      <w:bookmarkStart w:id="1235" w:name="_Toc247085889"/>
      <w:bookmarkStart w:id="1236" w:name="_Toc246996371"/>
      <w:bookmarkStart w:id="1237" w:name="_Toc179632825"/>
      <w:bookmarkStart w:id="1238" w:name="_Toc152045805"/>
      <w:bookmarkStart w:id="1239" w:name="_Toc152042594"/>
      <w:bookmarkStart w:id="1240" w:name="_Toc144974873"/>
      <w:r>
        <w:t>（二）</w:t>
      </w:r>
      <w:r>
        <w:rPr>
          <w:rFonts w:hint="eastAsia"/>
        </w:rPr>
        <w:t>项目经理</w:t>
      </w:r>
      <w:r>
        <w:t>简历表</w:t>
      </w:r>
      <w:bookmarkEnd w:id="1232"/>
      <w:bookmarkEnd w:id="1233"/>
      <w:bookmarkEnd w:id="1234"/>
      <w:bookmarkEnd w:id="1235"/>
      <w:bookmarkEnd w:id="1236"/>
      <w:bookmarkEnd w:id="1237"/>
      <w:bookmarkEnd w:id="1238"/>
      <w:bookmarkEnd w:id="1239"/>
      <w:bookmarkEnd w:id="1240"/>
    </w:p>
    <w:p>
      <w:pPr>
        <w:spacing w:line="400" w:lineRule="exact"/>
        <w:ind w:firstLine="420" w:firstLineChars="200"/>
      </w:pPr>
      <w:r>
        <w:rPr>
          <w:rFonts w:hint="eastAsia"/>
        </w:rPr>
        <w:t>应附注册建造师执业资格证书、身份证、职称证、学历证、养老保险复印件，管理过的项目业绩须附合同协议书复印件。</w:t>
      </w:r>
    </w:p>
    <w:p>
      <w:pPr>
        <w:topLinePunct/>
        <w:spacing w:line="440" w:lineRule="exact"/>
        <w:rPr>
          <w:rFonts w:eastAsia="黑体"/>
          <w:sz w:val="23"/>
          <w:szCs w:val="23"/>
        </w:rPr>
      </w:pPr>
    </w:p>
    <w:tbl>
      <w:tblPr>
        <w:tblStyle w:val="41"/>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6"/>
        <w:gridCol w:w="359"/>
        <w:gridCol w:w="720"/>
        <w:gridCol w:w="927"/>
        <w:gridCol w:w="1065"/>
        <w:gridCol w:w="708"/>
        <w:gridCol w:w="1261"/>
        <w:gridCol w:w="161"/>
        <w:gridCol w:w="2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86" w:type="dxa"/>
            <w:vAlign w:val="center"/>
          </w:tcPr>
          <w:p>
            <w:pPr>
              <w:spacing w:line="440" w:lineRule="exact"/>
              <w:jc w:val="center"/>
              <w:rPr>
                <w:rFonts w:ascii="宋体" w:hAnsi="宋体"/>
                <w:szCs w:val="21"/>
              </w:rPr>
            </w:pPr>
            <w:r>
              <w:rPr>
                <w:rFonts w:ascii="宋体" w:hAnsi="宋体"/>
                <w:szCs w:val="21"/>
              </w:rPr>
              <w:t>姓  名</w:t>
            </w:r>
          </w:p>
        </w:tc>
        <w:tc>
          <w:tcPr>
            <w:tcW w:w="1079" w:type="dxa"/>
            <w:gridSpan w:val="2"/>
            <w:vAlign w:val="center"/>
          </w:tcPr>
          <w:p>
            <w:pPr>
              <w:spacing w:line="440" w:lineRule="exact"/>
              <w:jc w:val="center"/>
              <w:rPr>
                <w:rFonts w:ascii="宋体" w:hAnsi="宋体"/>
                <w:szCs w:val="21"/>
              </w:rPr>
            </w:pPr>
          </w:p>
        </w:tc>
        <w:tc>
          <w:tcPr>
            <w:tcW w:w="927" w:type="dxa"/>
            <w:vAlign w:val="center"/>
          </w:tcPr>
          <w:p>
            <w:pPr>
              <w:spacing w:line="440" w:lineRule="exact"/>
              <w:jc w:val="center"/>
              <w:rPr>
                <w:rFonts w:ascii="宋体" w:hAnsi="宋体"/>
                <w:szCs w:val="21"/>
              </w:rPr>
            </w:pPr>
            <w:r>
              <w:rPr>
                <w:rFonts w:ascii="宋体" w:hAnsi="宋体"/>
                <w:szCs w:val="21"/>
              </w:rPr>
              <w:t>年 龄</w:t>
            </w:r>
          </w:p>
        </w:tc>
        <w:tc>
          <w:tcPr>
            <w:tcW w:w="1065" w:type="dxa"/>
            <w:vAlign w:val="center"/>
          </w:tcPr>
          <w:p>
            <w:pPr>
              <w:spacing w:line="440" w:lineRule="exact"/>
              <w:jc w:val="center"/>
              <w:rPr>
                <w:rFonts w:ascii="宋体" w:hAnsi="宋体"/>
                <w:szCs w:val="21"/>
              </w:rPr>
            </w:pPr>
          </w:p>
        </w:tc>
        <w:tc>
          <w:tcPr>
            <w:tcW w:w="2130" w:type="dxa"/>
            <w:gridSpan w:val="3"/>
            <w:vAlign w:val="center"/>
          </w:tcPr>
          <w:p>
            <w:pPr>
              <w:spacing w:line="440" w:lineRule="exact"/>
              <w:jc w:val="center"/>
              <w:rPr>
                <w:rFonts w:ascii="宋体" w:hAnsi="宋体"/>
                <w:szCs w:val="21"/>
              </w:rPr>
            </w:pPr>
            <w:r>
              <w:rPr>
                <w:rFonts w:ascii="宋体" w:hAnsi="宋体"/>
                <w:szCs w:val="21"/>
              </w:rPr>
              <w:t>学历</w:t>
            </w:r>
          </w:p>
        </w:tc>
        <w:tc>
          <w:tcPr>
            <w:tcW w:w="2135" w:type="dxa"/>
            <w:vAlign w:val="center"/>
          </w:tcPr>
          <w:p>
            <w:pPr>
              <w:spacing w:line="44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86" w:type="dxa"/>
            <w:vAlign w:val="center"/>
          </w:tcPr>
          <w:p>
            <w:pPr>
              <w:spacing w:line="440" w:lineRule="exact"/>
              <w:jc w:val="center"/>
              <w:rPr>
                <w:rFonts w:ascii="宋体" w:hAnsi="宋体"/>
                <w:szCs w:val="21"/>
              </w:rPr>
            </w:pPr>
            <w:r>
              <w:rPr>
                <w:rFonts w:ascii="宋体" w:hAnsi="宋体"/>
                <w:szCs w:val="21"/>
              </w:rPr>
              <w:t>职  称</w:t>
            </w:r>
          </w:p>
        </w:tc>
        <w:tc>
          <w:tcPr>
            <w:tcW w:w="1079" w:type="dxa"/>
            <w:gridSpan w:val="2"/>
            <w:vAlign w:val="center"/>
          </w:tcPr>
          <w:p>
            <w:pPr>
              <w:spacing w:line="440" w:lineRule="exact"/>
              <w:jc w:val="center"/>
              <w:rPr>
                <w:rFonts w:ascii="宋体" w:hAnsi="宋体"/>
                <w:szCs w:val="21"/>
              </w:rPr>
            </w:pPr>
          </w:p>
        </w:tc>
        <w:tc>
          <w:tcPr>
            <w:tcW w:w="927" w:type="dxa"/>
            <w:vAlign w:val="center"/>
          </w:tcPr>
          <w:p>
            <w:pPr>
              <w:spacing w:line="440" w:lineRule="exact"/>
              <w:jc w:val="center"/>
              <w:rPr>
                <w:rFonts w:ascii="宋体" w:hAnsi="宋体"/>
                <w:szCs w:val="21"/>
              </w:rPr>
            </w:pPr>
            <w:r>
              <w:rPr>
                <w:rFonts w:ascii="宋体" w:hAnsi="宋体"/>
                <w:szCs w:val="21"/>
              </w:rPr>
              <w:t>职 务</w:t>
            </w:r>
          </w:p>
        </w:tc>
        <w:tc>
          <w:tcPr>
            <w:tcW w:w="1065" w:type="dxa"/>
            <w:vAlign w:val="center"/>
          </w:tcPr>
          <w:p>
            <w:pPr>
              <w:spacing w:line="440" w:lineRule="exact"/>
              <w:jc w:val="center"/>
              <w:rPr>
                <w:rFonts w:ascii="宋体" w:hAnsi="宋体"/>
                <w:szCs w:val="21"/>
              </w:rPr>
            </w:pPr>
          </w:p>
        </w:tc>
        <w:tc>
          <w:tcPr>
            <w:tcW w:w="2130" w:type="dxa"/>
            <w:gridSpan w:val="3"/>
            <w:vAlign w:val="center"/>
          </w:tcPr>
          <w:p>
            <w:pPr>
              <w:spacing w:line="440" w:lineRule="exact"/>
              <w:jc w:val="center"/>
              <w:rPr>
                <w:rFonts w:ascii="宋体" w:hAnsi="宋体"/>
                <w:szCs w:val="21"/>
              </w:rPr>
            </w:pPr>
            <w:r>
              <w:rPr>
                <w:rFonts w:ascii="宋体" w:hAnsi="宋体"/>
                <w:szCs w:val="21"/>
              </w:rPr>
              <w:t>拟在本合同任职</w:t>
            </w:r>
          </w:p>
        </w:tc>
        <w:tc>
          <w:tcPr>
            <w:tcW w:w="2135" w:type="dxa"/>
            <w:vAlign w:val="center"/>
          </w:tcPr>
          <w:p>
            <w:pPr>
              <w:spacing w:line="44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86" w:type="dxa"/>
            <w:vAlign w:val="center"/>
          </w:tcPr>
          <w:p>
            <w:pPr>
              <w:spacing w:line="440" w:lineRule="exact"/>
              <w:rPr>
                <w:rFonts w:ascii="宋体" w:hAnsi="宋体"/>
                <w:szCs w:val="21"/>
              </w:rPr>
            </w:pPr>
            <w:r>
              <w:rPr>
                <w:rFonts w:ascii="宋体" w:hAnsi="宋体"/>
                <w:szCs w:val="21"/>
              </w:rPr>
              <w:t>毕业学校</w:t>
            </w:r>
          </w:p>
        </w:tc>
        <w:tc>
          <w:tcPr>
            <w:tcW w:w="7336" w:type="dxa"/>
            <w:gridSpan w:val="8"/>
            <w:vAlign w:val="top"/>
          </w:tcPr>
          <w:p>
            <w:pPr>
              <w:spacing w:line="440" w:lineRule="exact"/>
              <w:rPr>
                <w:rFonts w:ascii="宋体" w:hAnsi="宋体"/>
                <w:szCs w:val="21"/>
              </w:rPr>
            </w:pPr>
            <w:r>
              <w:rPr>
                <w:rFonts w:ascii="宋体" w:hAnsi="宋体"/>
                <w:szCs w:val="21"/>
              </w:rPr>
              <w:t xml:space="preserve">      年毕业于            学校        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522" w:type="dxa"/>
            <w:gridSpan w:val="9"/>
            <w:vAlign w:val="center"/>
          </w:tcPr>
          <w:p>
            <w:pPr>
              <w:spacing w:line="440" w:lineRule="exact"/>
              <w:rPr>
                <w:rFonts w:ascii="宋体" w:hAnsi="宋体"/>
                <w:szCs w:val="21"/>
              </w:rPr>
            </w:pPr>
            <w:r>
              <w:rPr>
                <w:rFonts w:ascii="宋体" w:hAnsi="宋体"/>
                <w:szCs w:val="21"/>
              </w:rPr>
              <w:t>主要工作经历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545" w:type="dxa"/>
            <w:gridSpan w:val="2"/>
            <w:vAlign w:val="center"/>
          </w:tcPr>
          <w:p>
            <w:pPr>
              <w:spacing w:line="440" w:lineRule="exact"/>
              <w:rPr>
                <w:rFonts w:ascii="宋体" w:hAnsi="宋体"/>
                <w:szCs w:val="21"/>
              </w:rPr>
            </w:pPr>
            <w:r>
              <w:rPr>
                <w:rFonts w:ascii="宋体" w:hAnsi="宋体"/>
                <w:szCs w:val="21"/>
              </w:rPr>
              <w:t>时  间</w:t>
            </w:r>
          </w:p>
        </w:tc>
        <w:tc>
          <w:tcPr>
            <w:tcW w:w="3420" w:type="dxa"/>
            <w:gridSpan w:val="4"/>
            <w:vAlign w:val="center"/>
          </w:tcPr>
          <w:p>
            <w:pPr>
              <w:spacing w:line="440" w:lineRule="exact"/>
              <w:rPr>
                <w:rFonts w:ascii="宋体" w:hAnsi="宋体"/>
                <w:szCs w:val="21"/>
              </w:rPr>
            </w:pPr>
            <w:r>
              <w:rPr>
                <w:rFonts w:ascii="宋体" w:hAnsi="宋体"/>
                <w:szCs w:val="21"/>
              </w:rPr>
              <w:t>参加过的类似项目</w:t>
            </w:r>
          </w:p>
        </w:tc>
        <w:tc>
          <w:tcPr>
            <w:tcW w:w="1261" w:type="dxa"/>
            <w:vAlign w:val="center"/>
          </w:tcPr>
          <w:p>
            <w:pPr>
              <w:spacing w:line="440" w:lineRule="exact"/>
              <w:rPr>
                <w:rFonts w:ascii="宋体" w:hAnsi="宋体"/>
                <w:szCs w:val="21"/>
              </w:rPr>
            </w:pPr>
            <w:r>
              <w:rPr>
                <w:rFonts w:ascii="宋体" w:hAnsi="宋体"/>
                <w:szCs w:val="21"/>
              </w:rPr>
              <w:t>担任职务</w:t>
            </w:r>
          </w:p>
        </w:tc>
        <w:tc>
          <w:tcPr>
            <w:tcW w:w="2296" w:type="dxa"/>
            <w:gridSpan w:val="2"/>
            <w:vAlign w:val="center"/>
          </w:tcPr>
          <w:p>
            <w:pPr>
              <w:spacing w:line="440" w:lineRule="exact"/>
              <w:rPr>
                <w:rFonts w:ascii="宋体" w:hAnsi="宋体"/>
                <w:szCs w:val="21"/>
              </w:rPr>
            </w:pPr>
            <w:r>
              <w:rPr>
                <w:rFonts w:ascii="宋体" w:hAnsi="宋体"/>
                <w:szCs w:val="21"/>
              </w:rPr>
              <w:t>发包人及联系电话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0" w:hRule="atLeast"/>
          <w:jc w:val="center"/>
        </w:trPr>
        <w:tc>
          <w:tcPr>
            <w:tcW w:w="1545" w:type="dxa"/>
            <w:gridSpan w:val="2"/>
            <w:vAlign w:val="top"/>
          </w:tcPr>
          <w:p>
            <w:pPr>
              <w:spacing w:line="440" w:lineRule="exact"/>
              <w:rPr>
                <w:rFonts w:eastAsia="黑体"/>
                <w:szCs w:val="21"/>
              </w:rPr>
            </w:pPr>
          </w:p>
        </w:tc>
        <w:tc>
          <w:tcPr>
            <w:tcW w:w="3420" w:type="dxa"/>
            <w:gridSpan w:val="4"/>
            <w:vAlign w:val="top"/>
          </w:tcPr>
          <w:p>
            <w:pPr>
              <w:spacing w:line="440" w:lineRule="exact"/>
              <w:rPr>
                <w:rFonts w:eastAsia="黑体"/>
                <w:szCs w:val="21"/>
              </w:rPr>
            </w:pPr>
          </w:p>
        </w:tc>
        <w:tc>
          <w:tcPr>
            <w:tcW w:w="1261" w:type="dxa"/>
            <w:vAlign w:val="top"/>
          </w:tcPr>
          <w:p>
            <w:pPr>
              <w:spacing w:line="440" w:lineRule="exact"/>
              <w:rPr>
                <w:rFonts w:eastAsia="黑体"/>
                <w:szCs w:val="21"/>
              </w:rPr>
            </w:pPr>
          </w:p>
        </w:tc>
        <w:tc>
          <w:tcPr>
            <w:tcW w:w="2296" w:type="dxa"/>
            <w:gridSpan w:val="2"/>
            <w:vAlign w:val="top"/>
          </w:tcPr>
          <w:p>
            <w:pPr>
              <w:spacing w:line="440" w:lineRule="exact"/>
              <w:rPr>
                <w:rFonts w:eastAsia="黑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0" w:hRule="atLeast"/>
          <w:jc w:val="center"/>
        </w:trPr>
        <w:tc>
          <w:tcPr>
            <w:tcW w:w="1545" w:type="dxa"/>
            <w:gridSpan w:val="2"/>
            <w:vAlign w:val="top"/>
          </w:tcPr>
          <w:p>
            <w:pPr>
              <w:spacing w:line="440" w:lineRule="exact"/>
              <w:rPr>
                <w:rFonts w:eastAsia="黑体"/>
                <w:szCs w:val="21"/>
              </w:rPr>
            </w:pPr>
          </w:p>
        </w:tc>
        <w:tc>
          <w:tcPr>
            <w:tcW w:w="3420" w:type="dxa"/>
            <w:gridSpan w:val="4"/>
            <w:vAlign w:val="top"/>
          </w:tcPr>
          <w:p>
            <w:pPr>
              <w:spacing w:line="440" w:lineRule="exact"/>
              <w:rPr>
                <w:rFonts w:eastAsia="黑体"/>
                <w:szCs w:val="21"/>
              </w:rPr>
            </w:pPr>
          </w:p>
        </w:tc>
        <w:tc>
          <w:tcPr>
            <w:tcW w:w="1261" w:type="dxa"/>
            <w:vAlign w:val="top"/>
          </w:tcPr>
          <w:p>
            <w:pPr>
              <w:spacing w:line="440" w:lineRule="exact"/>
              <w:rPr>
                <w:rFonts w:eastAsia="黑体"/>
                <w:szCs w:val="21"/>
              </w:rPr>
            </w:pPr>
          </w:p>
        </w:tc>
        <w:tc>
          <w:tcPr>
            <w:tcW w:w="2296" w:type="dxa"/>
            <w:gridSpan w:val="2"/>
            <w:vAlign w:val="top"/>
          </w:tcPr>
          <w:p>
            <w:pPr>
              <w:spacing w:line="440" w:lineRule="exact"/>
              <w:rPr>
                <w:rFonts w:eastAsia="黑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0" w:hRule="atLeast"/>
          <w:jc w:val="center"/>
        </w:trPr>
        <w:tc>
          <w:tcPr>
            <w:tcW w:w="1545" w:type="dxa"/>
            <w:gridSpan w:val="2"/>
            <w:vAlign w:val="top"/>
          </w:tcPr>
          <w:p>
            <w:pPr>
              <w:spacing w:line="440" w:lineRule="exact"/>
              <w:rPr>
                <w:rFonts w:eastAsia="黑体"/>
                <w:szCs w:val="21"/>
              </w:rPr>
            </w:pPr>
          </w:p>
        </w:tc>
        <w:tc>
          <w:tcPr>
            <w:tcW w:w="3420" w:type="dxa"/>
            <w:gridSpan w:val="4"/>
            <w:vAlign w:val="top"/>
          </w:tcPr>
          <w:p>
            <w:pPr>
              <w:spacing w:line="440" w:lineRule="exact"/>
              <w:rPr>
                <w:rFonts w:eastAsia="黑体"/>
                <w:szCs w:val="21"/>
              </w:rPr>
            </w:pPr>
          </w:p>
        </w:tc>
        <w:tc>
          <w:tcPr>
            <w:tcW w:w="1261" w:type="dxa"/>
            <w:vAlign w:val="top"/>
          </w:tcPr>
          <w:p>
            <w:pPr>
              <w:spacing w:line="440" w:lineRule="exact"/>
              <w:rPr>
                <w:rFonts w:eastAsia="黑体"/>
                <w:szCs w:val="21"/>
              </w:rPr>
            </w:pPr>
          </w:p>
        </w:tc>
        <w:tc>
          <w:tcPr>
            <w:tcW w:w="2296" w:type="dxa"/>
            <w:gridSpan w:val="2"/>
            <w:vAlign w:val="top"/>
          </w:tcPr>
          <w:p>
            <w:pPr>
              <w:spacing w:line="440" w:lineRule="exact"/>
              <w:rPr>
                <w:rFonts w:eastAsia="黑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0" w:hRule="atLeast"/>
          <w:jc w:val="center"/>
        </w:trPr>
        <w:tc>
          <w:tcPr>
            <w:tcW w:w="1545" w:type="dxa"/>
            <w:gridSpan w:val="2"/>
            <w:vAlign w:val="top"/>
          </w:tcPr>
          <w:p>
            <w:pPr>
              <w:spacing w:line="440" w:lineRule="exact"/>
              <w:rPr>
                <w:rFonts w:eastAsia="黑体"/>
                <w:szCs w:val="21"/>
              </w:rPr>
            </w:pPr>
          </w:p>
        </w:tc>
        <w:tc>
          <w:tcPr>
            <w:tcW w:w="3420" w:type="dxa"/>
            <w:gridSpan w:val="4"/>
            <w:vAlign w:val="top"/>
          </w:tcPr>
          <w:p>
            <w:pPr>
              <w:spacing w:line="440" w:lineRule="exact"/>
              <w:rPr>
                <w:rFonts w:eastAsia="黑体"/>
                <w:szCs w:val="21"/>
              </w:rPr>
            </w:pPr>
          </w:p>
        </w:tc>
        <w:tc>
          <w:tcPr>
            <w:tcW w:w="1261" w:type="dxa"/>
            <w:vAlign w:val="top"/>
          </w:tcPr>
          <w:p>
            <w:pPr>
              <w:spacing w:line="440" w:lineRule="exact"/>
              <w:rPr>
                <w:rFonts w:eastAsia="黑体"/>
                <w:szCs w:val="21"/>
              </w:rPr>
            </w:pPr>
          </w:p>
        </w:tc>
        <w:tc>
          <w:tcPr>
            <w:tcW w:w="2296" w:type="dxa"/>
            <w:gridSpan w:val="2"/>
            <w:vAlign w:val="top"/>
          </w:tcPr>
          <w:p>
            <w:pPr>
              <w:spacing w:line="440" w:lineRule="exact"/>
              <w:rPr>
                <w:rFonts w:eastAsia="黑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0" w:hRule="atLeast"/>
          <w:jc w:val="center"/>
        </w:trPr>
        <w:tc>
          <w:tcPr>
            <w:tcW w:w="1545" w:type="dxa"/>
            <w:gridSpan w:val="2"/>
            <w:vAlign w:val="top"/>
          </w:tcPr>
          <w:p>
            <w:pPr>
              <w:spacing w:line="440" w:lineRule="exact"/>
              <w:rPr>
                <w:rFonts w:eastAsia="黑体"/>
                <w:szCs w:val="21"/>
              </w:rPr>
            </w:pPr>
          </w:p>
        </w:tc>
        <w:tc>
          <w:tcPr>
            <w:tcW w:w="3420" w:type="dxa"/>
            <w:gridSpan w:val="4"/>
            <w:vAlign w:val="top"/>
          </w:tcPr>
          <w:p>
            <w:pPr>
              <w:spacing w:line="440" w:lineRule="exact"/>
              <w:rPr>
                <w:rFonts w:eastAsia="黑体"/>
                <w:szCs w:val="21"/>
              </w:rPr>
            </w:pPr>
          </w:p>
        </w:tc>
        <w:tc>
          <w:tcPr>
            <w:tcW w:w="1261" w:type="dxa"/>
            <w:vAlign w:val="top"/>
          </w:tcPr>
          <w:p>
            <w:pPr>
              <w:spacing w:line="440" w:lineRule="exact"/>
              <w:rPr>
                <w:rFonts w:eastAsia="黑体"/>
                <w:szCs w:val="21"/>
              </w:rPr>
            </w:pPr>
          </w:p>
        </w:tc>
        <w:tc>
          <w:tcPr>
            <w:tcW w:w="2296" w:type="dxa"/>
            <w:gridSpan w:val="2"/>
            <w:vAlign w:val="top"/>
          </w:tcPr>
          <w:p>
            <w:pPr>
              <w:spacing w:line="440" w:lineRule="exact"/>
              <w:rPr>
                <w:rFonts w:eastAsia="黑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0" w:hRule="atLeast"/>
          <w:jc w:val="center"/>
        </w:trPr>
        <w:tc>
          <w:tcPr>
            <w:tcW w:w="1545" w:type="dxa"/>
            <w:gridSpan w:val="2"/>
            <w:vAlign w:val="top"/>
          </w:tcPr>
          <w:p>
            <w:pPr>
              <w:spacing w:line="440" w:lineRule="exact"/>
              <w:rPr>
                <w:rFonts w:eastAsia="黑体"/>
                <w:szCs w:val="21"/>
              </w:rPr>
            </w:pPr>
          </w:p>
        </w:tc>
        <w:tc>
          <w:tcPr>
            <w:tcW w:w="3420" w:type="dxa"/>
            <w:gridSpan w:val="4"/>
            <w:vAlign w:val="top"/>
          </w:tcPr>
          <w:p>
            <w:pPr>
              <w:spacing w:line="440" w:lineRule="exact"/>
              <w:rPr>
                <w:rFonts w:eastAsia="黑体"/>
                <w:szCs w:val="21"/>
              </w:rPr>
            </w:pPr>
          </w:p>
        </w:tc>
        <w:tc>
          <w:tcPr>
            <w:tcW w:w="1261" w:type="dxa"/>
            <w:vAlign w:val="top"/>
          </w:tcPr>
          <w:p>
            <w:pPr>
              <w:spacing w:line="440" w:lineRule="exact"/>
              <w:rPr>
                <w:rFonts w:eastAsia="黑体"/>
                <w:szCs w:val="21"/>
              </w:rPr>
            </w:pPr>
          </w:p>
        </w:tc>
        <w:tc>
          <w:tcPr>
            <w:tcW w:w="2296" w:type="dxa"/>
            <w:gridSpan w:val="2"/>
            <w:vAlign w:val="top"/>
          </w:tcPr>
          <w:p>
            <w:pPr>
              <w:spacing w:line="440" w:lineRule="exact"/>
              <w:rPr>
                <w:rFonts w:eastAsia="黑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0" w:hRule="atLeast"/>
          <w:jc w:val="center"/>
        </w:trPr>
        <w:tc>
          <w:tcPr>
            <w:tcW w:w="1545" w:type="dxa"/>
            <w:gridSpan w:val="2"/>
            <w:vAlign w:val="top"/>
          </w:tcPr>
          <w:p>
            <w:pPr>
              <w:spacing w:line="440" w:lineRule="exact"/>
              <w:rPr>
                <w:rFonts w:eastAsia="黑体"/>
                <w:szCs w:val="21"/>
              </w:rPr>
            </w:pPr>
          </w:p>
        </w:tc>
        <w:tc>
          <w:tcPr>
            <w:tcW w:w="3420" w:type="dxa"/>
            <w:gridSpan w:val="4"/>
            <w:vAlign w:val="top"/>
          </w:tcPr>
          <w:p>
            <w:pPr>
              <w:spacing w:line="440" w:lineRule="exact"/>
              <w:rPr>
                <w:rFonts w:eastAsia="黑体"/>
                <w:szCs w:val="21"/>
              </w:rPr>
            </w:pPr>
          </w:p>
        </w:tc>
        <w:tc>
          <w:tcPr>
            <w:tcW w:w="1261" w:type="dxa"/>
            <w:vAlign w:val="top"/>
          </w:tcPr>
          <w:p>
            <w:pPr>
              <w:spacing w:line="440" w:lineRule="exact"/>
              <w:rPr>
                <w:rFonts w:eastAsia="黑体"/>
                <w:szCs w:val="21"/>
              </w:rPr>
            </w:pPr>
          </w:p>
        </w:tc>
        <w:tc>
          <w:tcPr>
            <w:tcW w:w="2296" w:type="dxa"/>
            <w:gridSpan w:val="2"/>
            <w:vAlign w:val="top"/>
          </w:tcPr>
          <w:p>
            <w:pPr>
              <w:spacing w:line="440" w:lineRule="exact"/>
              <w:rPr>
                <w:rFonts w:eastAsia="黑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0" w:hRule="atLeast"/>
          <w:jc w:val="center"/>
        </w:trPr>
        <w:tc>
          <w:tcPr>
            <w:tcW w:w="1545" w:type="dxa"/>
            <w:gridSpan w:val="2"/>
            <w:vAlign w:val="top"/>
          </w:tcPr>
          <w:p>
            <w:pPr>
              <w:spacing w:line="440" w:lineRule="exact"/>
              <w:rPr>
                <w:rFonts w:eastAsia="黑体"/>
                <w:szCs w:val="21"/>
              </w:rPr>
            </w:pPr>
          </w:p>
        </w:tc>
        <w:tc>
          <w:tcPr>
            <w:tcW w:w="3420" w:type="dxa"/>
            <w:gridSpan w:val="4"/>
            <w:vAlign w:val="top"/>
          </w:tcPr>
          <w:p>
            <w:pPr>
              <w:spacing w:line="440" w:lineRule="exact"/>
              <w:rPr>
                <w:rFonts w:eastAsia="黑体"/>
                <w:szCs w:val="21"/>
              </w:rPr>
            </w:pPr>
          </w:p>
        </w:tc>
        <w:tc>
          <w:tcPr>
            <w:tcW w:w="1261" w:type="dxa"/>
            <w:vAlign w:val="top"/>
          </w:tcPr>
          <w:p>
            <w:pPr>
              <w:spacing w:line="440" w:lineRule="exact"/>
              <w:rPr>
                <w:rFonts w:eastAsia="黑体"/>
                <w:szCs w:val="21"/>
              </w:rPr>
            </w:pPr>
          </w:p>
        </w:tc>
        <w:tc>
          <w:tcPr>
            <w:tcW w:w="2296" w:type="dxa"/>
            <w:gridSpan w:val="2"/>
            <w:vAlign w:val="top"/>
          </w:tcPr>
          <w:p>
            <w:pPr>
              <w:spacing w:line="440" w:lineRule="exact"/>
              <w:rPr>
                <w:rFonts w:eastAsia="黑体"/>
                <w:szCs w:val="21"/>
              </w:rPr>
            </w:pPr>
          </w:p>
        </w:tc>
      </w:tr>
    </w:tbl>
    <w:p/>
    <w:p/>
    <w:p/>
    <w:p/>
    <w:p/>
    <w:p>
      <w:pPr>
        <w:pStyle w:val="3"/>
        <w:jc w:val="center"/>
      </w:pPr>
      <w:bookmarkStart w:id="1241" w:name="_Toc144974875"/>
      <w:bookmarkStart w:id="1242" w:name="_Toc152042596"/>
      <w:bookmarkStart w:id="1243" w:name="_Toc152045807"/>
      <w:bookmarkStart w:id="1244" w:name="_Toc179632827"/>
      <w:bookmarkStart w:id="1245" w:name="_Toc246996372"/>
      <w:bookmarkStart w:id="1246" w:name="_Toc247085890"/>
      <w:bookmarkStart w:id="1247" w:name="_Toc26622"/>
      <w:bookmarkStart w:id="1248" w:name="_Toc246997115"/>
      <w:r>
        <w:rPr>
          <w:rFonts w:hint="eastAsia"/>
        </w:rPr>
        <w:t>七</w:t>
      </w:r>
      <w:r>
        <w:t>、资格审查资料</w:t>
      </w:r>
      <w:bookmarkEnd w:id="1241"/>
      <w:bookmarkEnd w:id="1242"/>
      <w:bookmarkEnd w:id="1243"/>
      <w:bookmarkEnd w:id="1244"/>
      <w:bookmarkEnd w:id="1245"/>
      <w:bookmarkEnd w:id="1246"/>
      <w:bookmarkEnd w:id="1247"/>
      <w:bookmarkEnd w:id="1248"/>
    </w:p>
    <w:p>
      <w:pPr>
        <w:pStyle w:val="4"/>
        <w:jc w:val="center"/>
      </w:pPr>
      <w:bookmarkStart w:id="1249" w:name="_Toc3258"/>
      <w:bookmarkStart w:id="1250" w:name="_Toc247085891"/>
      <w:bookmarkStart w:id="1251" w:name="_Toc246997116"/>
      <w:bookmarkStart w:id="1252" w:name="_Toc144974876"/>
      <w:bookmarkStart w:id="1253" w:name="_Toc152042597"/>
      <w:bookmarkStart w:id="1254" w:name="_Toc152045808"/>
      <w:bookmarkStart w:id="1255" w:name="_Toc179632828"/>
      <w:bookmarkStart w:id="1256" w:name="_Toc246996373"/>
      <w:r>
        <w:t>（一）投标人基本情况表</w:t>
      </w:r>
      <w:bookmarkEnd w:id="1249"/>
      <w:bookmarkEnd w:id="1250"/>
      <w:bookmarkEnd w:id="1251"/>
      <w:bookmarkEnd w:id="1252"/>
      <w:bookmarkEnd w:id="1253"/>
      <w:bookmarkEnd w:id="1254"/>
      <w:bookmarkEnd w:id="1255"/>
      <w:bookmarkEnd w:id="1256"/>
    </w:p>
    <w:tbl>
      <w:tblPr>
        <w:tblStyle w:val="41"/>
        <w:tblW w:w="8568"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28"/>
        <w:gridCol w:w="898"/>
        <w:gridCol w:w="951"/>
        <w:gridCol w:w="840"/>
        <w:gridCol w:w="420"/>
        <w:gridCol w:w="311"/>
        <w:gridCol w:w="1078"/>
        <w:gridCol w:w="490"/>
        <w:gridCol w:w="860"/>
        <w:gridCol w:w="992"/>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61" w:hRule="atLeast"/>
        </w:trPr>
        <w:tc>
          <w:tcPr>
            <w:tcW w:w="1728"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Cs w:val="21"/>
              </w:rPr>
            </w:pPr>
            <w:r>
              <w:rPr>
                <w:szCs w:val="21"/>
              </w:rPr>
              <w:t>投标人名称</w:t>
            </w:r>
          </w:p>
        </w:tc>
        <w:tc>
          <w:tcPr>
            <w:tcW w:w="6840" w:type="dxa"/>
            <w:gridSpan w:val="9"/>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11" w:hRule="atLeast"/>
        </w:trPr>
        <w:tc>
          <w:tcPr>
            <w:tcW w:w="1728"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Cs w:val="21"/>
              </w:rPr>
            </w:pPr>
            <w:r>
              <w:rPr>
                <w:szCs w:val="21"/>
              </w:rPr>
              <w:t>注册地址</w:t>
            </w:r>
          </w:p>
        </w:tc>
        <w:tc>
          <w:tcPr>
            <w:tcW w:w="3420"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Cs w:val="21"/>
              </w:rPr>
            </w:pPr>
          </w:p>
        </w:tc>
        <w:tc>
          <w:tcPr>
            <w:tcW w:w="1078"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Cs w:val="21"/>
              </w:rPr>
            </w:pPr>
            <w:r>
              <w:rPr>
                <w:szCs w:val="21"/>
              </w:rPr>
              <w:t>邮政编码</w:t>
            </w:r>
          </w:p>
        </w:tc>
        <w:tc>
          <w:tcPr>
            <w:tcW w:w="2342"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605" w:hRule="atLeast"/>
        </w:trPr>
        <w:tc>
          <w:tcPr>
            <w:tcW w:w="1728" w:type="dxa"/>
            <w:vMerge w:val="restart"/>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Cs w:val="21"/>
              </w:rPr>
            </w:pPr>
            <w:r>
              <w:rPr>
                <w:szCs w:val="21"/>
              </w:rPr>
              <w:t>联系方式</w:t>
            </w:r>
          </w:p>
        </w:tc>
        <w:tc>
          <w:tcPr>
            <w:tcW w:w="898"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Cs w:val="21"/>
              </w:rPr>
            </w:pPr>
            <w:r>
              <w:rPr>
                <w:szCs w:val="21"/>
              </w:rPr>
              <w:t>联系人</w:t>
            </w:r>
          </w:p>
        </w:tc>
        <w:tc>
          <w:tcPr>
            <w:tcW w:w="2522" w:type="dxa"/>
            <w:gridSpan w:val="4"/>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Cs w:val="21"/>
              </w:rPr>
            </w:pPr>
          </w:p>
        </w:tc>
        <w:tc>
          <w:tcPr>
            <w:tcW w:w="1078"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Cs w:val="21"/>
              </w:rPr>
            </w:pPr>
            <w:r>
              <w:rPr>
                <w:szCs w:val="21"/>
              </w:rPr>
              <w:t>电 话</w:t>
            </w:r>
          </w:p>
        </w:tc>
        <w:tc>
          <w:tcPr>
            <w:tcW w:w="2342"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613" w:hRule="atLeast"/>
        </w:trPr>
        <w:tc>
          <w:tcPr>
            <w:tcW w:w="1728" w:type="dxa"/>
            <w:vMerge w:val="continue"/>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Cs w:val="21"/>
              </w:rPr>
            </w:pPr>
          </w:p>
        </w:tc>
        <w:tc>
          <w:tcPr>
            <w:tcW w:w="898"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Cs w:val="21"/>
              </w:rPr>
            </w:pPr>
            <w:r>
              <w:rPr>
                <w:szCs w:val="21"/>
              </w:rPr>
              <w:t>传  真</w:t>
            </w:r>
          </w:p>
        </w:tc>
        <w:tc>
          <w:tcPr>
            <w:tcW w:w="2522" w:type="dxa"/>
            <w:gridSpan w:val="4"/>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Cs w:val="21"/>
              </w:rPr>
            </w:pPr>
          </w:p>
        </w:tc>
        <w:tc>
          <w:tcPr>
            <w:tcW w:w="1078"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Cs w:val="21"/>
              </w:rPr>
            </w:pPr>
            <w:r>
              <w:rPr>
                <w:szCs w:val="21"/>
              </w:rPr>
              <w:t>网 址</w:t>
            </w:r>
          </w:p>
        </w:tc>
        <w:tc>
          <w:tcPr>
            <w:tcW w:w="2342"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14" w:hRule="atLeast"/>
        </w:trPr>
        <w:tc>
          <w:tcPr>
            <w:tcW w:w="1728"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Cs w:val="21"/>
              </w:rPr>
            </w:pPr>
            <w:r>
              <w:rPr>
                <w:szCs w:val="21"/>
              </w:rPr>
              <w:t>组织结构</w:t>
            </w:r>
          </w:p>
        </w:tc>
        <w:tc>
          <w:tcPr>
            <w:tcW w:w="6840" w:type="dxa"/>
            <w:gridSpan w:val="9"/>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08" w:hRule="atLeast"/>
        </w:trPr>
        <w:tc>
          <w:tcPr>
            <w:tcW w:w="1728"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Cs w:val="21"/>
              </w:rPr>
            </w:pPr>
            <w:r>
              <w:rPr>
                <w:szCs w:val="21"/>
              </w:rPr>
              <w:t>法定代表人</w:t>
            </w:r>
          </w:p>
        </w:tc>
        <w:tc>
          <w:tcPr>
            <w:tcW w:w="898"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Cs w:val="21"/>
              </w:rPr>
            </w:pPr>
            <w:r>
              <w:rPr>
                <w:szCs w:val="21"/>
              </w:rPr>
              <w:t>姓名</w:t>
            </w:r>
          </w:p>
        </w:tc>
        <w:tc>
          <w:tcPr>
            <w:tcW w:w="951"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Cs w:val="21"/>
              </w:rPr>
            </w:pPr>
          </w:p>
        </w:tc>
        <w:tc>
          <w:tcPr>
            <w:tcW w:w="1260"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Cs w:val="21"/>
              </w:rPr>
            </w:pPr>
            <w:r>
              <w:rPr>
                <w:szCs w:val="21"/>
              </w:rPr>
              <w:t>技术职称</w:t>
            </w:r>
          </w:p>
        </w:tc>
        <w:tc>
          <w:tcPr>
            <w:tcW w:w="1879"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Cs w:val="21"/>
              </w:rPr>
            </w:pPr>
          </w:p>
        </w:tc>
        <w:tc>
          <w:tcPr>
            <w:tcW w:w="860"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Cs w:val="21"/>
              </w:rPr>
            </w:pPr>
            <w:r>
              <w:rPr>
                <w:szCs w:val="21"/>
              </w:rPr>
              <w:t>电话</w:t>
            </w:r>
          </w:p>
        </w:tc>
        <w:tc>
          <w:tcPr>
            <w:tcW w:w="992"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02" w:hRule="atLeast"/>
        </w:trPr>
        <w:tc>
          <w:tcPr>
            <w:tcW w:w="1728"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Cs w:val="21"/>
              </w:rPr>
            </w:pPr>
            <w:r>
              <w:rPr>
                <w:szCs w:val="21"/>
              </w:rPr>
              <w:t>技术负责人</w:t>
            </w:r>
          </w:p>
        </w:tc>
        <w:tc>
          <w:tcPr>
            <w:tcW w:w="898"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Cs w:val="21"/>
              </w:rPr>
            </w:pPr>
            <w:r>
              <w:rPr>
                <w:szCs w:val="21"/>
              </w:rPr>
              <w:t>姓名</w:t>
            </w:r>
          </w:p>
        </w:tc>
        <w:tc>
          <w:tcPr>
            <w:tcW w:w="951"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Cs w:val="21"/>
              </w:rPr>
            </w:pPr>
          </w:p>
        </w:tc>
        <w:tc>
          <w:tcPr>
            <w:tcW w:w="1260"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Cs w:val="21"/>
              </w:rPr>
            </w:pPr>
            <w:r>
              <w:rPr>
                <w:szCs w:val="21"/>
              </w:rPr>
              <w:t>技术职称</w:t>
            </w:r>
          </w:p>
        </w:tc>
        <w:tc>
          <w:tcPr>
            <w:tcW w:w="1879"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Cs w:val="21"/>
              </w:rPr>
            </w:pPr>
          </w:p>
        </w:tc>
        <w:tc>
          <w:tcPr>
            <w:tcW w:w="860"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Cs w:val="21"/>
              </w:rPr>
            </w:pPr>
            <w:r>
              <w:rPr>
                <w:szCs w:val="21"/>
              </w:rPr>
              <w:t>电话</w:t>
            </w:r>
          </w:p>
        </w:tc>
        <w:tc>
          <w:tcPr>
            <w:tcW w:w="992"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24" w:hRule="atLeast"/>
        </w:trPr>
        <w:tc>
          <w:tcPr>
            <w:tcW w:w="1728"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Cs w:val="21"/>
              </w:rPr>
            </w:pPr>
            <w:r>
              <w:rPr>
                <w:szCs w:val="21"/>
              </w:rPr>
              <w:t>成立时间</w:t>
            </w:r>
          </w:p>
        </w:tc>
        <w:tc>
          <w:tcPr>
            <w:tcW w:w="1849"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Cs w:val="21"/>
              </w:rPr>
            </w:pPr>
          </w:p>
        </w:tc>
        <w:tc>
          <w:tcPr>
            <w:tcW w:w="4991" w:type="dxa"/>
            <w:gridSpan w:val="7"/>
            <w:tcBorders>
              <w:top w:val="single" w:color="auto" w:sz="4" w:space="0"/>
              <w:left w:val="single" w:color="auto" w:sz="4" w:space="0"/>
              <w:bottom w:val="single" w:color="auto" w:sz="4" w:space="0"/>
              <w:right w:val="single" w:color="auto" w:sz="4" w:space="0"/>
            </w:tcBorders>
            <w:vAlign w:val="center"/>
          </w:tcPr>
          <w:p>
            <w:pPr>
              <w:topLinePunct/>
              <w:spacing w:line="440" w:lineRule="exact"/>
              <w:ind w:firstLine="105" w:firstLineChars="50"/>
              <w:jc w:val="center"/>
              <w:rPr>
                <w:szCs w:val="21"/>
              </w:rPr>
            </w:pPr>
            <w:r>
              <w:rPr>
                <w:szCs w:val="21"/>
              </w:rPr>
              <w:t>员工总人数：</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658" w:hRule="atLeast"/>
        </w:trPr>
        <w:tc>
          <w:tcPr>
            <w:tcW w:w="1728"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Cs w:val="21"/>
              </w:rPr>
            </w:pPr>
            <w:r>
              <w:rPr>
                <w:szCs w:val="21"/>
              </w:rPr>
              <w:t>企业资质等级</w:t>
            </w:r>
          </w:p>
        </w:tc>
        <w:tc>
          <w:tcPr>
            <w:tcW w:w="1849"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Cs w:val="21"/>
              </w:rPr>
            </w:pPr>
          </w:p>
        </w:tc>
        <w:tc>
          <w:tcPr>
            <w:tcW w:w="840" w:type="dxa"/>
            <w:vMerge w:val="restart"/>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Cs w:val="21"/>
              </w:rPr>
            </w:pPr>
            <w:r>
              <w:rPr>
                <w:szCs w:val="21"/>
              </w:rPr>
              <w:t>其中</w:t>
            </w:r>
          </w:p>
        </w:tc>
        <w:tc>
          <w:tcPr>
            <w:tcW w:w="2299" w:type="dxa"/>
            <w:gridSpan w:val="4"/>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Cs w:val="21"/>
              </w:rPr>
            </w:pPr>
            <w:r>
              <w:rPr>
                <w:szCs w:val="21"/>
              </w:rPr>
              <w:t>项目经理</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610" w:hRule="atLeast"/>
        </w:trPr>
        <w:tc>
          <w:tcPr>
            <w:tcW w:w="1728"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Cs w:val="21"/>
              </w:rPr>
            </w:pPr>
            <w:r>
              <w:rPr>
                <w:szCs w:val="21"/>
              </w:rPr>
              <w:t>营业执照号</w:t>
            </w:r>
          </w:p>
        </w:tc>
        <w:tc>
          <w:tcPr>
            <w:tcW w:w="1849"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Cs w:val="21"/>
              </w:rPr>
            </w:pPr>
          </w:p>
        </w:tc>
        <w:tc>
          <w:tcPr>
            <w:tcW w:w="840" w:type="dxa"/>
            <w:vMerge w:val="continue"/>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Cs w:val="21"/>
              </w:rPr>
            </w:pPr>
          </w:p>
        </w:tc>
        <w:tc>
          <w:tcPr>
            <w:tcW w:w="2299" w:type="dxa"/>
            <w:gridSpan w:val="4"/>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Cs w:val="21"/>
              </w:rPr>
            </w:pPr>
            <w:r>
              <w:rPr>
                <w:szCs w:val="21"/>
              </w:rPr>
              <w:t>高级职称人员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604" w:hRule="atLeast"/>
        </w:trPr>
        <w:tc>
          <w:tcPr>
            <w:tcW w:w="1728"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Cs w:val="21"/>
              </w:rPr>
            </w:pPr>
            <w:r>
              <w:rPr>
                <w:szCs w:val="21"/>
              </w:rPr>
              <w:t>注册资金</w:t>
            </w:r>
          </w:p>
        </w:tc>
        <w:tc>
          <w:tcPr>
            <w:tcW w:w="1849"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Cs w:val="21"/>
              </w:rPr>
            </w:pPr>
          </w:p>
        </w:tc>
        <w:tc>
          <w:tcPr>
            <w:tcW w:w="840" w:type="dxa"/>
            <w:vMerge w:val="continue"/>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Cs w:val="21"/>
              </w:rPr>
            </w:pPr>
          </w:p>
        </w:tc>
        <w:tc>
          <w:tcPr>
            <w:tcW w:w="2299" w:type="dxa"/>
            <w:gridSpan w:val="4"/>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Cs w:val="21"/>
              </w:rPr>
            </w:pPr>
            <w:r>
              <w:rPr>
                <w:szCs w:val="21"/>
              </w:rPr>
              <w:t>中级职称人员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626" w:hRule="atLeast"/>
        </w:trPr>
        <w:tc>
          <w:tcPr>
            <w:tcW w:w="1728"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Cs w:val="21"/>
              </w:rPr>
            </w:pPr>
            <w:r>
              <w:rPr>
                <w:szCs w:val="21"/>
              </w:rPr>
              <w:t>开户银行</w:t>
            </w:r>
          </w:p>
        </w:tc>
        <w:tc>
          <w:tcPr>
            <w:tcW w:w="1849"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Cs w:val="21"/>
              </w:rPr>
            </w:pPr>
          </w:p>
        </w:tc>
        <w:tc>
          <w:tcPr>
            <w:tcW w:w="840" w:type="dxa"/>
            <w:vMerge w:val="continue"/>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Cs w:val="21"/>
              </w:rPr>
            </w:pPr>
          </w:p>
        </w:tc>
        <w:tc>
          <w:tcPr>
            <w:tcW w:w="2299" w:type="dxa"/>
            <w:gridSpan w:val="4"/>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Cs w:val="21"/>
              </w:rPr>
            </w:pPr>
            <w:r>
              <w:rPr>
                <w:szCs w:val="21"/>
              </w:rPr>
              <w:t>初级职称人员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606" w:hRule="atLeast"/>
        </w:trPr>
        <w:tc>
          <w:tcPr>
            <w:tcW w:w="1728"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Cs w:val="21"/>
              </w:rPr>
            </w:pPr>
            <w:r>
              <w:rPr>
                <w:szCs w:val="21"/>
              </w:rPr>
              <w:t>账号</w:t>
            </w:r>
          </w:p>
        </w:tc>
        <w:tc>
          <w:tcPr>
            <w:tcW w:w="1849"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Cs w:val="21"/>
              </w:rPr>
            </w:pPr>
          </w:p>
        </w:tc>
        <w:tc>
          <w:tcPr>
            <w:tcW w:w="840" w:type="dxa"/>
            <w:vMerge w:val="continue"/>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Cs w:val="21"/>
              </w:rPr>
            </w:pPr>
          </w:p>
        </w:tc>
        <w:tc>
          <w:tcPr>
            <w:tcW w:w="2299" w:type="dxa"/>
            <w:gridSpan w:val="4"/>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pPr>
            <w:r>
              <w:rPr>
                <w:szCs w:val="21"/>
              </w:rPr>
              <w:t>技工</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880" w:hRule="atLeast"/>
        </w:trPr>
        <w:tc>
          <w:tcPr>
            <w:tcW w:w="1728" w:type="dxa"/>
            <w:tcBorders>
              <w:top w:val="single" w:color="auto" w:sz="4" w:space="0"/>
              <w:left w:val="single" w:color="auto" w:sz="4" w:space="0"/>
              <w:right w:val="single" w:color="auto" w:sz="4" w:space="0"/>
            </w:tcBorders>
            <w:vAlign w:val="center"/>
          </w:tcPr>
          <w:p>
            <w:pPr>
              <w:topLinePunct/>
              <w:spacing w:line="440" w:lineRule="exact"/>
              <w:ind w:firstLine="210" w:firstLineChars="100"/>
              <w:jc w:val="center"/>
              <w:rPr>
                <w:szCs w:val="21"/>
              </w:rPr>
            </w:pPr>
            <w:r>
              <w:rPr>
                <w:szCs w:val="21"/>
              </w:rPr>
              <w:t>经营范围</w:t>
            </w:r>
          </w:p>
        </w:tc>
        <w:tc>
          <w:tcPr>
            <w:tcW w:w="6840" w:type="dxa"/>
            <w:gridSpan w:val="9"/>
            <w:tcBorders>
              <w:top w:val="single" w:color="auto" w:sz="4" w:space="0"/>
              <w:left w:val="single" w:color="auto" w:sz="4" w:space="0"/>
              <w:right w:val="single" w:color="auto" w:sz="4" w:space="0"/>
            </w:tcBorders>
            <w:vAlign w:val="center"/>
          </w:tcPr>
          <w:p>
            <w:pPr>
              <w:topLinePunct/>
              <w:spacing w:line="440" w:lineRule="exact"/>
              <w:jc w:val="center"/>
              <w:rPr>
                <w:szCs w:val="21"/>
              </w:rPr>
            </w:pPr>
          </w:p>
          <w:p>
            <w:pPr>
              <w:topLinePunct/>
              <w:spacing w:line="440" w:lineRule="exact"/>
              <w:jc w:val="center"/>
              <w:rPr>
                <w:szCs w:val="21"/>
              </w:rPr>
            </w:pPr>
          </w:p>
          <w:p>
            <w:pPr>
              <w:topLinePunct/>
              <w:spacing w:line="440" w:lineRule="exact"/>
              <w:jc w:val="center"/>
              <w:rPr>
                <w:szCs w:val="21"/>
              </w:rPr>
            </w:pPr>
          </w:p>
          <w:p>
            <w:pPr>
              <w:topLinePunct/>
              <w:spacing w:line="440" w:lineRule="exact"/>
              <w:jc w:val="center"/>
              <w:rPr>
                <w:szCs w:val="21"/>
              </w:rPr>
            </w:pPr>
          </w:p>
          <w:p>
            <w:pPr>
              <w:topLinePunct/>
              <w:spacing w:line="440" w:lineRule="exact"/>
              <w:rPr>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15" w:hRule="atLeast"/>
        </w:trPr>
        <w:tc>
          <w:tcPr>
            <w:tcW w:w="1728"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Cs w:val="21"/>
              </w:rPr>
            </w:pPr>
            <w:r>
              <w:rPr>
                <w:szCs w:val="21"/>
              </w:rPr>
              <w:t>备注</w:t>
            </w:r>
          </w:p>
        </w:tc>
        <w:tc>
          <w:tcPr>
            <w:tcW w:w="6840" w:type="dxa"/>
            <w:gridSpan w:val="9"/>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Cs w:val="21"/>
              </w:rPr>
            </w:pPr>
          </w:p>
        </w:tc>
      </w:tr>
    </w:tbl>
    <w:p>
      <w:pPr>
        <w:topLinePunct/>
        <w:spacing w:line="440" w:lineRule="exact"/>
        <w:rPr>
          <w:sz w:val="20"/>
        </w:rPr>
      </w:pPr>
    </w:p>
    <w:p>
      <w:pPr>
        <w:spacing w:line="440" w:lineRule="exact"/>
        <w:ind w:firstLine="500" w:firstLineChars="250"/>
        <w:jc w:val="center"/>
        <w:rPr>
          <w:rFonts w:eastAsia="黑体"/>
          <w:sz w:val="20"/>
          <w:szCs w:val="20"/>
        </w:rPr>
      </w:pPr>
      <w:r>
        <w:rPr>
          <w:rFonts w:eastAsia="黑体"/>
          <w:sz w:val="20"/>
          <w:szCs w:val="20"/>
        </w:rPr>
        <w:br w:type="page"/>
      </w:r>
      <w:bookmarkStart w:id="1257" w:name="_Toc144974881"/>
      <w:bookmarkStart w:id="1258" w:name="_Toc179632833"/>
      <w:bookmarkStart w:id="1259" w:name="_Toc152042602"/>
      <w:bookmarkStart w:id="1260" w:name="_Toc152045813"/>
    </w:p>
    <w:p>
      <w:pPr>
        <w:pStyle w:val="4"/>
        <w:jc w:val="center"/>
      </w:pPr>
      <w:bookmarkStart w:id="1261" w:name="_Toc152042598"/>
      <w:bookmarkStart w:id="1262" w:name="_Toc9248"/>
      <w:bookmarkStart w:id="1263" w:name="_Toc247514301"/>
      <w:bookmarkStart w:id="1264" w:name="_Toc247527849"/>
      <w:bookmarkStart w:id="1265" w:name="_Toc265953295"/>
      <w:bookmarkStart w:id="1266" w:name="_Toc152045809"/>
      <w:bookmarkStart w:id="1267" w:name="_Toc144974877"/>
      <w:r>
        <w:t>（二）近年财务状况表</w:t>
      </w:r>
      <w:bookmarkEnd w:id="1261"/>
      <w:bookmarkEnd w:id="1262"/>
      <w:bookmarkEnd w:id="1263"/>
      <w:bookmarkEnd w:id="1264"/>
      <w:bookmarkEnd w:id="1265"/>
      <w:bookmarkEnd w:id="1266"/>
      <w:bookmarkEnd w:id="1267"/>
    </w:p>
    <w:p>
      <w:pPr>
        <w:topLinePunct/>
        <w:spacing w:line="440" w:lineRule="exact"/>
        <w:jc w:val="center"/>
        <w:rPr>
          <w:rFonts w:eastAsia="黑体"/>
          <w:sz w:val="20"/>
          <w:szCs w:val="20"/>
        </w:rPr>
      </w:pPr>
    </w:p>
    <w:p>
      <w:pPr>
        <w:spacing w:line="440" w:lineRule="exact"/>
        <w:rPr>
          <w:rFonts w:eastAsia="黑体"/>
          <w:sz w:val="23"/>
          <w:szCs w:val="23"/>
        </w:rPr>
      </w:pPr>
      <w:r>
        <w:rPr>
          <w:rFonts w:eastAsia="黑体"/>
          <w:sz w:val="20"/>
          <w:szCs w:val="20"/>
        </w:rPr>
        <w:br w:type="page"/>
      </w:r>
    </w:p>
    <w:p>
      <w:pPr>
        <w:pStyle w:val="4"/>
        <w:jc w:val="center"/>
      </w:pPr>
      <w:bookmarkStart w:id="1268" w:name="_Toc152045810"/>
      <w:bookmarkStart w:id="1269" w:name="_Toc247527850"/>
      <w:bookmarkStart w:id="1270" w:name="_Toc247514302"/>
      <w:bookmarkStart w:id="1271" w:name="_Toc265953296"/>
      <w:bookmarkStart w:id="1272" w:name="_Toc20946"/>
      <w:bookmarkStart w:id="1273" w:name="_Toc152042599"/>
      <w:bookmarkStart w:id="1274" w:name="_Toc144974878"/>
      <w:r>
        <w:t>（三）近年完成的类似项目情况表</w:t>
      </w:r>
      <w:bookmarkEnd w:id="1268"/>
      <w:bookmarkEnd w:id="1269"/>
      <w:bookmarkEnd w:id="1270"/>
      <w:bookmarkEnd w:id="1271"/>
      <w:bookmarkEnd w:id="1272"/>
      <w:bookmarkEnd w:id="1273"/>
      <w:bookmarkEnd w:id="1274"/>
    </w:p>
    <w:p>
      <w:pPr>
        <w:spacing w:line="440" w:lineRule="exact"/>
        <w:jc w:val="center"/>
        <w:rPr>
          <w:rFonts w:eastAsia="黑体"/>
          <w:sz w:val="23"/>
          <w:szCs w:val="23"/>
        </w:rPr>
      </w:pPr>
    </w:p>
    <w:tbl>
      <w:tblPr>
        <w:tblStyle w:val="41"/>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9"/>
        <w:gridCol w:w="62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0" w:hRule="atLeast"/>
        </w:trPr>
        <w:tc>
          <w:tcPr>
            <w:tcW w:w="2269" w:type="dxa"/>
            <w:vAlign w:val="center"/>
          </w:tcPr>
          <w:p>
            <w:pPr>
              <w:topLinePunct/>
              <w:spacing w:line="440" w:lineRule="exact"/>
              <w:jc w:val="center"/>
              <w:rPr>
                <w:szCs w:val="21"/>
              </w:rPr>
            </w:pPr>
            <w:r>
              <w:rPr>
                <w:szCs w:val="21"/>
              </w:rPr>
              <w:t>项目名称</w:t>
            </w:r>
          </w:p>
        </w:tc>
        <w:tc>
          <w:tcPr>
            <w:tcW w:w="6253" w:type="dxa"/>
            <w:vAlign w:val="top"/>
          </w:tcPr>
          <w:p>
            <w:pPr>
              <w:topLinePunct/>
              <w:spacing w:line="440" w:lineRule="exact"/>
              <w:rPr>
                <w:szCs w:val="21"/>
                <w:highlight w:val="black"/>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6" w:hRule="atLeast"/>
        </w:trPr>
        <w:tc>
          <w:tcPr>
            <w:tcW w:w="2269" w:type="dxa"/>
            <w:vAlign w:val="center"/>
          </w:tcPr>
          <w:p>
            <w:pPr>
              <w:topLinePunct/>
              <w:spacing w:line="440" w:lineRule="exact"/>
              <w:jc w:val="center"/>
              <w:rPr>
                <w:szCs w:val="21"/>
              </w:rPr>
            </w:pPr>
            <w:r>
              <w:rPr>
                <w:szCs w:val="21"/>
              </w:rPr>
              <w:t>项目所在地</w:t>
            </w:r>
          </w:p>
        </w:tc>
        <w:tc>
          <w:tcPr>
            <w:tcW w:w="6253" w:type="dxa"/>
            <w:vAlign w:val="top"/>
          </w:tcPr>
          <w:p>
            <w:pPr>
              <w:topLinePunct/>
              <w:spacing w:line="44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trPr>
        <w:tc>
          <w:tcPr>
            <w:tcW w:w="2269" w:type="dxa"/>
            <w:vAlign w:val="center"/>
          </w:tcPr>
          <w:p>
            <w:pPr>
              <w:topLinePunct/>
              <w:spacing w:line="440" w:lineRule="exact"/>
              <w:jc w:val="center"/>
              <w:rPr>
                <w:szCs w:val="21"/>
              </w:rPr>
            </w:pPr>
            <w:r>
              <w:rPr>
                <w:szCs w:val="21"/>
              </w:rPr>
              <w:t>发包人名称</w:t>
            </w:r>
          </w:p>
        </w:tc>
        <w:tc>
          <w:tcPr>
            <w:tcW w:w="6253" w:type="dxa"/>
            <w:vAlign w:val="top"/>
          </w:tcPr>
          <w:p>
            <w:pPr>
              <w:topLinePunct/>
              <w:spacing w:line="44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trPr>
        <w:tc>
          <w:tcPr>
            <w:tcW w:w="2269" w:type="dxa"/>
            <w:vAlign w:val="center"/>
          </w:tcPr>
          <w:p>
            <w:pPr>
              <w:topLinePunct/>
              <w:spacing w:line="440" w:lineRule="exact"/>
              <w:jc w:val="center"/>
              <w:rPr>
                <w:szCs w:val="21"/>
              </w:rPr>
            </w:pPr>
            <w:r>
              <w:rPr>
                <w:szCs w:val="21"/>
              </w:rPr>
              <w:t>发包人地址</w:t>
            </w:r>
          </w:p>
        </w:tc>
        <w:tc>
          <w:tcPr>
            <w:tcW w:w="6253" w:type="dxa"/>
            <w:vAlign w:val="top"/>
          </w:tcPr>
          <w:p>
            <w:pPr>
              <w:topLinePunct/>
              <w:spacing w:line="44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trPr>
        <w:tc>
          <w:tcPr>
            <w:tcW w:w="2269" w:type="dxa"/>
            <w:vAlign w:val="center"/>
          </w:tcPr>
          <w:p>
            <w:pPr>
              <w:topLinePunct/>
              <w:spacing w:line="440" w:lineRule="exact"/>
              <w:jc w:val="center"/>
              <w:rPr>
                <w:szCs w:val="21"/>
              </w:rPr>
            </w:pPr>
            <w:r>
              <w:rPr>
                <w:szCs w:val="21"/>
              </w:rPr>
              <w:t>发包人电话</w:t>
            </w:r>
          </w:p>
        </w:tc>
        <w:tc>
          <w:tcPr>
            <w:tcW w:w="6253" w:type="dxa"/>
            <w:vAlign w:val="top"/>
          </w:tcPr>
          <w:p>
            <w:pPr>
              <w:topLinePunct/>
              <w:spacing w:line="44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0" w:hRule="atLeast"/>
        </w:trPr>
        <w:tc>
          <w:tcPr>
            <w:tcW w:w="2269" w:type="dxa"/>
            <w:vAlign w:val="center"/>
          </w:tcPr>
          <w:p>
            <w:pPr>
              <w:topLinePunct/>
              <w:spacing w:line="440" w:lineRule="exact"/>
              <w:jc w:val="center"/>
              <w:rPr>
                <w:szCs w:val="21"/>
              </w:rPr>
            </w:pPr>
            <w:r>
              <w:rPr>
                <w:szCs w:val="21"/>
              </w:rPr>
              <w:t>合同价格</w:t>
            </w:r>
          </w:p>
        </w:tc>
        <w:tc>
          <w:tcPr>
            <w:tcW w:w="6253" w:type="dxa"/>
            <w:vAlign w:val="top"/>
          </w:tcPr>
          <w:p>
            <w:pPr>
              <w:topLinePunct/>
              <w:spacing w:line="44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4" w:hRule="atLeast"/>
        </w:trPr>
        <w:tc>
          <w:tcPr>
            <w:tcW w:w="2269" w:type="dxa"/>
            <w:vAlign w:val="center"/>
          </w:tcPr>
          <w:p>
            <w:pPr>
              <w:topLinePunct/>
              <w:spacing w:line="440" w:lineRule="exact"/>
              <w:jc w:val="center"/>
              <w:rPr>
                <w:szCs w:val="21"/>
              </w:rPr>
            </w:pPr>
            <w:r>
              <w:rPr>
                <w:szCs w:val="21"/>
              </w:rPr>
              <w:t>开工日期</w:t>
            </w:r>
          </w:p>
        </w:tc>
        <w:tc>
          <w:tcPr>
            <w:tcW w:w="6253" w:type="dxa"/>
            <w:vAlign w:val="top"/>
          </w:tcPr>
          <w:p>
            <w:pPr>
              <w:topLinePunct/>
              <w:spacing w:line="44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7" w:hRule="atLeast"/>
        </w:trPr>
        <w:tc>
          <w:tcPr>
            <w:tcW w:w="2269" w:type="dxa"/>
            <w:vAlign w:val="center"/>
          </w:tcPr>
          <w:p>
            <w:pPr>
              <w:topLinePunct/>
              <w:spacing w:line="440" w:lineRule="exact"/>
              <w:jc w:val="center"/>
              <w:rPr>
                <w:szCs w:val="21"/>
              </w:rPr>
            </w:pPr>
            <w:r>
              <w:rPr>
                <w:rFonts w:hint="eastAsia"/>
              </w:rPr>
              <w:t>竣工</w:t>
            </w:r>
            <w:r>
              <w:rPr>
                <w:szCs w:val="21"/>
              </w:rPr>
              <w:t>日期</w:t>
            </w:r>
          </w:p>
        </w:tc>
        <w:tc>
          <w:tcPr>
            <w:tcW w:w="6253" w:type="dxa"/>
            <w:vAlign w:val="top"/>
          </w:tcPr>
          <w:p>
            <w:pPr>
              <w:topLinePunct/>
              <w:spacing w:line="44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7" w:hRule="atLeast"/>
        </w:trPr>
        <w:tc>
          <w:tcPr>
            <w:tcW w:w="2269" w:type="dxa"/>
            <w:vAlign w:val="center"/>
          </w:tcPr>
          <w:p>
            <w:pPr>
              <w:topLinePunct/>
              <w:spacing w:line="440" w:lineRule="exact"/>
              <w:jc w:val="center"/>
              <w:rPr>
                <w:szCs w:val="21"/>
              </w:rPr>
            </w:pPr>
            <w:r>
              <w:rPr>
                <w:szCs w:val="21"/>
              </w:rPr>
              <w:t>承担的工作</w:t>
            </w:r>
          </w:p>
        </w:tc>
        <w:tc>
          <w:tcPr>
            <w:tcW w:w="6253" w:type="dxa"/>
            <w:vAlign w:val="top"/>
          </w:tcPr>
          <w:p>
            <w:pPr>
              <w:topLinePunct/>
              <w:spacing w:line="44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5" w:hRule="atLeast"/>
        </w:trPr>
        <w:tc>
          <w:tcPr>
            <w:tcW w:w="2269" w:type="dxa"/>
            <w:vAlign w:val="center"/>
          </w:tcPr>
          <w:p>
            <w:pPr>
              <w:topLinePunct/>
              <w:spacing w:line="440" w:lineRule="exact"/>
              <w:jc w:val="center"/>
              <w:rPr>
                <w:szCs w:val="21"/>
              </w:rPr>
            </w:pPr>
            <w:r>
              <w:rPr>
                <w:szCs w:val="21"/>
              </w:rPr>
              <w:t>工程质量</w:t>
            </w:r>
          </w:p>
        </w:tc>
        <w:tc>
          <w:tcPr>
            <w:tcW w:w="6253" w:type="dxa"/>
            <w:vAlign w:val="top"/>
          </w:tcPr>
          <w:p>
            <w:pPr>
              <w:topLinePunct/>
              <w:spacing w:line="44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trPr>
        <w:tc>
          <w:tcPr>
            <w:tcW w:w="2269" w:type="dxa"/>
            <w:vAlign w:val="center"/>
          </w:tcPr>
          <w:p>
            <w:pPr>
              <w:topLinePunct/>
              <w:spacing w:line="440" w:lineRule="exact"/>
              <w:jc w:val="center"/>
              <w:rPr>
                <w:szCs w:val="21"/>
              </w:rPr>
            </w:pPr>
            <w:r>
              <w:rPr>
                <w:szCs w:val="21"/>
              </w:rPr>
              <w:t>项目经理</w:t>
            </w:r>
          </w:p>
        </w:tc>
        <w:tc>
          <w:tcPr>
            <w:tcW w:w="6253" w:type="dxa"/>
            <w:vAlign w:val="top"/>
          </w:tcPr>
          <w:p>
            <w:pPr>
              <w:topLinePunct/>
              <w:spacing w:line="44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7" w:hRule="atLeast"/>
        </w:trPr>
        <w:tc>
          <w:tcPr>
            <w:tcW w:w="2269" w:type="dxa"/>
            <w:vAlign w:val="center"/>
          </w:tcPr>
          <w:p>
            <w:pPr>
              <w:topLinePunct/>
              <w:spacing w:line="440" w:lineRule="exact"/>
              <w:jc w:val="center"/>
              <w:rPr>
                <w:szCs w:val="21"/>
              </w:rPr>
            </w:pPr>
            <w:r>
              <w:rPr>
                <w:szCs w:val="21"/>
              </w:rPr>
              <w:t>技术负责人</w:t>
            </w:r>
          </w:p>
        </w:tc>
        <w:tc>
          <w:tcPr>
            <w:tcW w:w="6253" w:type="dxa"/>
            <w:vAlign w:val="top"/>
          </w:tcPr>
          <w:p>
            <w:pPr>
              <w:topLinePunct/>
              <w:spacing w:line="44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4" w:hRule="atLeast"/>
        </w:trPr>
        <w:tc>
          <w:tcPr>
            <w:tcW w:w="2269" w:type="dxa"/>
            <w:vAlign w:val="center"/>
          </w:tcPr>
          <w:p>
            <w:pPr>
              <w:topLinePunct/>
              <w:spacing w:line="440" w:lineRule="exact"/>
              <w:jc w:val="center"/>
              <w:rPr>
                <w:szCs w:val="21"/>
              </w:rPr>
            </w:pPr>
            <w:r>
              <w:rPr>
                <w:szCs w:val="21"/>
              </w:rPr>
              <w:t>项目描述</w:t>
            </w:r>
          </w:p>
        </w:tc>
        <w:tc>
          <w:tcPr>
            <w:tcW w:w="6253" w:type="dxa"/>
            <w:vAlign w:val="top"/>
          </w:tcPr>
          <w:p>
            <w:pPr>
              <w:topLinePunct/>
              <w:spacing w:line="440" w:lineRule="exact"/>
              <w:rPr>
                <w:szCs w:val="21"/>
              </w:rPr>
            </w:pPr>
          </w:p>
          <w:p>
            <w:pPr>
              <w:topLinePunct/>
              <w:spacing w:line="440" w:lineRule="exact"/>
              <w:rPr>
                <w:szCs w:val="21"/>
              </w:rPr>
            </w:pPr>
          </w:p>
          <w:p>
            <w:pPr>
              <w:topLinePunct/>
              <w:spacing w:line="440" w:lineRule="exact"/>
              <w:rPr>
                <w:szCs w:val="21"/>
              </w:rPr>
            </w:pPr>
          </w:p>
          <w:p>
            <w:pPr>
              <w:topLinePunct/>
              <w:spacing w:line="440" w:lineRule="exact"/>
              <w:rPr>
                <w:szCs w:val="21"/>
              </w:rPr>
            </w:pPr>
          </w:p>
          <w:p>
            <w:pPr>
              <w:topLinePunct/>
              <w:spacing w:line="440" w:lineRule="exact"/>
              <w:rPr>
                <w:szCs w:val="21"/>
              </w:rPr>
            </w:pPr>
          </w:p>
          <w:p>
            <w:pPr>
              <w:topLinePunct/>
              <w:spacing w:line="440" w:lineRule="exact"/>
              <w:rPr>
                <w:szCs w:val="21"/>
              </w:rPr>
            </w:pPr>
          </w:p>
          <w:p>
            <w:pPr>
              <w:topLinePunct/>
              <w:spacing w:line="44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4" w:hRule="atLeast"/>
        </w:trPr>
        <w:tc>
          <w:tcPr>
            <w:tcW w:w="2269" w:type="dxa"/>
            <w:vAlign w:val="center"/>
          </w:tcPr>
          <w:p>
            <w:pPr>
              <w:topLinePunct/>
              <w:spacing w:line="440" w:lineRule="exact"/>
              <w:jc w:val="center"/>
              <w:rPr>
                <w:szCs w:val="21"/>
              </w:rPr>
            </w:pPr>
            <w:r>
              <w:rPr>
                <w:szCs w:val="21"/>
              </w:rPr>
              <w:t>备注</w:t>
            </w:r>
          </w:p>
        </w:tc>
        <w:tc>
          <w:tcPr>
            <w:tcW w:w="6253" w:type="dxa"/>
            <w:vAlign w:val="top"/>
          </w:tcPr>
          <w:p>
            <w:pPr>
              <w:topLinePunct/>
              <w:spacing w:line="440" w:lineRule="exact"/>
              <w:rPr>
                <w:szCs w:val="21"/>
              </w:rPr>
            </w:pPr>
          </w:p>
        </w:tc>
      </w:tr>
    </w:tbl>
    <w:p>
      <w:pPr>
        <w:spacing w:line="440" w:lineRule="exact"/>
        <w:rPr>
          <w:rFonts w:eastAsia="黑体"/>
          <w:sz w:val="23"/>
          <w:szCs w:val="23"/>
        </w:rPr>
      </w:pPr>
    </w:p>
    <w:p>
      <w:pPr>
        <w:spacing w:line="440" w:lineRule="exact"/>
        <w:rPr>
          <w:rFonts w:eastAsia="黑体"/>
          <w:sz w:val="23"/>
          <w:szCs w:val="23"/>
        </w:rPr>
      </w:pPr>
    </w:p>
    <w:p>
      <w:pPr>
        <w:pStyle w:val="4"/>
        <w:jc w:val="center"/>
      </w:pPr>
      <w:bookmarkStart w:id="1275" w:name="_Toc265953297"/>
      <w:bookmarkStart w:id="1276" w:name="_Toc152045811"/>
      <w:bookmarkStart w:id="1277" w:name="_Toc247527851"/>
      <w:bookmarkStart w:id="1278" w:name="_Toc7936"/>
      <w:bookmarkStart w:id="1279" w:name="_Toc144974879"/>
      <w:bookmarkStart w:id="1280" w:name="_Toc247514303"/>
      <w:bookmarkStart w:id="1281" w:name="_Toc152042600"/>
      <w:r>
        <w:t>（四）正在</w:t>
      </w:r>
      <w:r>
        <w:rPr>
          <w:rFonts w:hint="eastAsia"/>
        </w:rPr>
        <w:t>实施</w:t>
      </w:r>
      <w:r>
        <w:t>的和新承接的项目情况表</w:t>
      </w:r>
      <w:bookmarkEnd w:id="1275"/>
      <w:bookmarkEnd w:id="1276"/>
      <w:bookmarkEnd w:id="1277"/>
      <w:bookmarkEnd w:id="1278"/>
      <w:bookmarkEnd w:id="1279"/>
      <w:bookmarkEnd w:id="1280"/>
      <w:bookmarkEnd w:id="1281"/>
    </w:p>
    <w:p>
      <w:pPr>
        <w:spacing w:line="440" w:lineRule="exact"/>
        <w:rPr>
          <w:rFonts w:eastAsia="黑体"/>
          <w:sz w:val="20"/>
          <w:szCs w:val="20"/>
        </w:rPr>
      </w:pPr>
    </w:p>
    <w:tbl>
      <w:tblPr>
        <w:tblStyle w:val="41"/>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19"/>
        <w:gridCol w:w="64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0" w:hRule="atLeast"/>
        </w:trPr>
        <w:tc>
          <w:tcPr>
            <w:tcW w:w="2119" w:type="dxa"/>
            <w:vAlign w:val="center"/>
          </w:tcPr>
          <w:p>
            <w:pPr>
              <w:topLinePunct/>
              <w:spacing w:line="440" w:lineRule="exact"/>
              <w:jc w:val="center"/>
              <w:rPr>
                <w:szCs w:val="21"/>
              </w:rPr>
            </w:pPr>
            <w:r>
              <w:rPr>
                <w:szCs w:val="21"/>
              </w:rPr>
              <w:t>项目名称</w:t>
            </w:r>
          </w:p>
        </w:tc>
        <w:tc>
          <w:tcPr>
            <w:tcW w:w="6403" w:type="dxa"/>
            <w:vAlign w:val="top"/>
          </w:tcPr>
          <w:p>
            <w:pPr>
              <w:topLinePunct/>
              <w:spacing w:line="44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6" w:hRule="atLeast"/>
        </w:trPr>
        <w:tc>
          <w:tcPr>
            <w:tcW w:w="2119" w:type="dxa"/>
            <w:vAlign w:val="center"/>
          </w:tcPr>
          <w:p>
            <w:pPr>
              <w:topLinePunct/>
              <w:spacing w:line="440" w:lineRule="exact"/>
              <w:jc w:val="center"/>
              <w:rPr>
                <w:szCs w:val="21"/>
              </w:rPr>
            </w:pPr>
            <w:r>
              <w:rPr>
                <w:szCs w:val="21"/>
              </w:rPr>
              <w:t>项目所在地</w:t>
            </w:r>
          </w:p>
        </w:tc>
        <w:tc>
          <w:tcPr>
            <w:tcW w:w="6403" w:type="dxa"/>
            <w:vAlign w:val="top"/>
          </w:tcPr>
          <w:p>
            <w:pPr>
              <w:topLinePunct/>
              <w:spacing w:line="44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trPr>
        <w:tc>
          <w:tcPr>
            <w:tcW w:w="2119" w:type="dxa"/>
            <w:vAlign w:val="center"/>
          </w:tcPr>
          <w:p>
            <w:pPr>
              <w:topLinePunct/>
              <w:spacing w:line="440" w:lineRule="exact"/>
              <w:jc w:val="center"/>
              <w:rPr>
                <w:szCs w:val="21"/>
              </w:rPr>
            </w:pPr>
            <w:r>
              <w:rPr>
                <w:szCs w:val="21"/>
              </w:rPr>
              <w:t>发包人名称</w:t>
            </w:r>
          </w:p>
        </w:tc>
        <w:tc>
          <w:tcPr>
            <w:tcW w:w="6403" w:type="dxa"/>
            <w:vAlign w:val="top"/>
          </w:tcPr>
          <w:p>
            <w:pPr>
              <w:topLinePunct/>
              <w:spacing w:line="44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trPr>
        <w:tc>
          <w:tcPr>
            <w:tcW w:w="2119" w:type="dxa"/>
            <w:vAlign w:val="center"/>
          </w:tcPr>
          <w:p>
            <w:pPr>
              <w:topLinePunct/>
              <w:spacing w:line="440" w:lineRule="exact"/>
              <w:jc w:val="center"/>
              <w:rPr>
                <w:szCs w:val="21"/>
              </w:rPr>
            </w:pPr>
            <w:r>
              <w:rPr>
                <w:szCs w:val="21"/>
              </w:rPr>
              <w:t>发包人地址</w:t>
            </w:r>
          </w:p>
        </w:tc>
        <w:tc>
          <w:tcPr>
            <w:tcW w:w="6403" w:type="dxa"/>
            <w:vAlign w:val="top"/>
          </w:tcPr>
          <w:p>
            <w:pPr>
              <w:topLinePunct/>
              <w:spacing w:line="44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trPr>
        <w:tc>
          <w:tcPr>
            <w:tcW w:w="2119" w:type="dxa"/>
            <w:vAlign w:val="center"/>
          </w:tcPr>
          <w:p>
            <w:pPr>
              <w:topLinePunct/>
              <w:spacing w:line="440" w:lineRule="exact"/>
              <w:jc w:val="center"/>
              <w:rPr>
                <w:szCs w:val="21"/>
              </w:rPr>
            </w:pPr>
            <w:r>
              <w:rPr>
                <w:szCs w:val="21"/>
              </w:rPr>
              <w:t>发包人电话</w:t>
            </w:r>
          </w:p>
        </w:tc>
        <w:tc>
          <w:tcPr>
            <w:tcW w:w="6403" w:type="dxa"/>
            <w:vAlign w:val="top"/>
          </w:tcPr>
          <w:p>
            <w:pPr>
              <w:topLinePunct/>
              <w:spacing w:line="44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0" w:hRule="atLeast"/>
        </w:trPr>
        <w:tc>
          <w:tcPr>
            <w:tcW w:w="2119" w:type="dxa"/>
            <w:vAlign w:val="center"/>
          </w:tcPr>
          <w:p>
            <w:pPr>
              <w:topLinePunct/>
              <w:spacing w:line="440" w:lineRule="exact"/>
              <w:jc w:val="center"/>
              <w:rPr>
                <w:szCs w:val="21"/>
              </w:rPr>
            </w:pPr>
            <w:r>
              <w:rPr>
                <w:szCs w:val="21"/>
              </w:rPr>
              <w:t>签约合同价</w:t>
            </w:r>
          </w:p>
        </w:tc>
        <w:tc>
          <w:tcPr>
            <w:tcW w:w="6403" w:type="dxa"/>
            <w:vAlign w:val="top"/>
          </w:tcPr>
          <w:p>
            <w:pPr>
              <w:topLinePunct/>
              <w:spacing w:line="44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4" w:hRule="atLeast"/>
        </w:trPr>
        <w:tc>
          <w:tcPr>
            <w:tcW w:w="2119" w:type="dxa"/>
            <w:vAlign w:val="center"/>
          </w:tcPr>
          <w:p>
            <w:pPr>
              <w:topLinePunct/>
              <w:spacing w:line="440" w:lineRule="exact"/>
              <w:jc w:val="center"/>
              <w:rPr>
                <w:szCs w:val="21"/>
              </w:rPr>
            </w:pPr>
            <w:r>
              <w:rPr>
                <w:szCs w:val="21"/>
              </w:rPr>
              <w:t>开工日期</w:t>
            </w:r>
          </w:p>
        </w:tc>
        <w:tc>
          <w:tcPr>
            <w:tcW w:w="6403" w:type="dxa"/>
            <w:vAlign w:val="top"/>
          </w:tcPr>
          <w:p>
            <w:pPr>
              <w:topLinePunct/>
              <w:spacing w:line="44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7" w:hRule="atLeast"/>
        </w:trPr>
        <w:tc>
          <w:tcPr>
            <w:tcW w:w="2119" w:type="dxa"/>
            <w:vAlign w:val="center"/>
          </w:tcPr>
          <w:p>
            <w:pPr>
              <w:topLinePunct/>
              <w:spacing w:line="440" w:lineRule="exact"/>
              <w:jc w:val="center"/>
              <w:rPr>
                <w:szCs w:val="21"/>
              </w:rPr>
            </w:pPr>
            <w:r>
              <w:rPr>
                <w:szCs w:val="21"/>
              </w:rPr>
              <w:t>计划</w:t>
            </w:r>
            <w:r>
              <w:rPr>
                <w:rFonts w:hint="eastAsia"/>
              </w:rPr>
              <w:t>竣工</w:t>
            </w:r>
            <w:r>
              <w:rPr>
                <w:szCs w:val="21"/>
              </w:rPr>
              <w:t>日期</w:t>
            </w:r>
          </w:p>
        </w:tc>
        <w:tc>
          <w:tcPr>
            <w:tcW w:w="6403" w:type="dxa"/>
            <w:vAlign w:val="top"/>
          </w:tcPr>
          <w:p>
            <w:pPr>
              <w:topLinePunct/>
              <w:spacing w:line="44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7" w:hRule="atLeast"/>
        </w:trPr>
        <w:tc>
          <w:tcPr>
            <w:tcW w:w="2119" w:type="dxa"/>
            <w:vAlign w:val="center"/>
          </w:tcPr>
          <w:p>
            <w:pPr>
              <w:topLinePunct/>
              <w:spacing w:line="440" w:lineRule="exact"/>
              <w:jc w:val="center"/>
              <w:rPr>
                <w:szCs w:val="21"/>
              </w:rPr>
            </w:pPr>
            <w:r>
              <w:rPr>
                <w:szCs w:val="21"/>
              </w:rPr>
              <w:t>承担的工作</w:t>
            </w:r>
          </w:p>
        </w:tc>
        <w:tc>
          <w:tcPr>
            <w:tcW w:w="6403" w:type="dxa"/>
            <w:vAlign w:val="top"/>
          </w:tcPr>
          <w:p>
            <w:pPr>
              <w:topLinePunct/>
              <w:spacing w:line="44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5" w:hRule="atLeast"/>
        </w:trPr>
        <w:tc>
          <w:tcPr>
            <w:tcW w:w="2119" w:type="dxa"/>
            <w:vAlign w:val="center"/>
          </w:tcPr>
          <w:p>
            <w:pPr>
              <w:topLinePunct/>
              <w:spacing w:line="440" w:lineRule="exact"/>
              <w:jc w:val="center"/>
              <w:rPr>
                <w:szCs w:val="21"/>
              </w:rPr>
            </w:pPr>
            <w:r>
              <w:rPr>
                <w:szCs w:val="21"/>
              </w:rPr>
              <w:t>工程质量</w:t>
            </w:r>
          </w:p>
        </w:tc>
        <w:tc>
          <w:tcPr>
            <w:tcW w:w="6403" w:type="dxa"/>
            <w:vAlign w:val="top"/>
          </w:tcPr>
          <w:p>
            <w:pPr>
              <w:topLinePunct/>
              <w:spacing w:line="44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trPr>
        <w:tc>
          <w:tcPr>
            <w:tcW w:w="2119" w:type="dxa"/>
            <w:vAlign w:val="center"/>
          </w:tcPr>
          <w:p>
            <w:pPr>
              <w:topLinePunct/>
              <w:spacing w:line="440" w:lineRule="exact"/>
              <w:jc w:val="center"/>
              <w:rPr>
                <w:szCs w:val="21"/>
              </w:rPr>
            </w:pPr>
            <w:r>
              <w:rPr>
                <w:szCs w:val="21"/>
              </w:rPr>
              <w:t>项目经理</w:t>
            </w:r>
          </w:p>
        </w:tc>
        <w:tc>
          <w:tcPr>
            <w:tcW w:w="6403" w:type="dxa"/>
            <w:vAlign w:val="top"/>
          </w:tcPr>
          <w:p>
            <w:pPr>
              <w:topLinePunct/>
              <w:spacing w:line="44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7" w:hRule="atLeast"/>
        </w:trPr>
        <w:tc>
          <w:tcPr>
            <w:tcW w:w="2119" w:type="dxa"/>
            <w:vAlign w:val="center"/>
          </w:tcPr>
          <w:p>
            <w:pPr>
              <w:topLinePunct/>
              <w:spacing w:line="440" w:lineRule="exact"/>
              <w:jc w:val="center"/>
              <w:rPr>
                <w:szCs w:val="21"/>
              </w:rPr>
            </w:pPr>
            <w:r>
              <w:rPr>
                <w:szCs w:val="21"/>
              </w:rPr>
              <w:t>技术负责人</w:t>
            </w:r>
          </w:p>
        </w:tc>
        <w:tc>
          <w:tcPr>
            <w:tcW w:w="6403" w:type="dxa"/>
            <w:vAlign w:val="top"/>
          </w:tcPr>
          <w:p>
            <w:pPr>
              <w:topLinePunct/>
              <w:spacing w:line="44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8" w:hRule="atLeast"/>
        </w:trPr>
        <w:tc>
          <w:tcPr>
            <w:tcW w:w="2119" w:type="dxa"/>
            <w:vAlign w:val="center"/>
          </w:tcPr>
          <w:p>
            <w:pPr>
              <w:topLinePunct/>
              <w:spacing w:line="440" w:lineRule="exact"/>
              <w:jc w:val="center"/>
              <w:rPr>
                <w:szCs w:val="21"/>
              </w:rPr>
            </w:pPr>
            <w:r>
              <w:rPr>
                <w:szCs w:val="21"/>
              </w:rPr>
              <w:t>项目描述</w:t>
            </w:r>
          </w:p>
        </w:tc>
        <w:tc>
          <w:tcPr>
            <w:tcW w:w="6403" w:type="dxa"/>
            <w:vAlign w:val="top"/>
          </w:tcPr>
          <w:p>
            <w:pPr>
              <w:topLinePunct/>
              <w:spacing w:line="440" w:lineRule="exact"/>
              <w:rPr>
                <w:szCs w:val="21"/>
              </w:rPr>
            </w:pPr>
          </w:p>
          <w:p>
            <w:pPr>
              <w:topLinePunct/>
              <w:spacing w:line="440" w:lineRule="exact"/>
              <w:rPr>
                <w:szCs w:val="21"/>
              </w:rPr>
            </w:pPr>
          </w:p>
          <w:p>
            <w:pPr>
              <w:topLinePunct/>
              <w:spacing w:line="440" w:lineRule="exact"/>
              <w:rPr>
                <w:szCs w:val="21"/>
              </w:rPr>
            </w:pPr>
          </w:p>
          <w:p>
            <w:pPr>
              <w:topLinePunct/>
              <w:spacing w:line="440" w:lineRule="exact"/>
              <w:rPr>
                <w:szCs w:val="21"/>
              </w:rPr>
            </w:pPr>
          </w:p>
          <w:p>
            <w:pPr>
              <w:topLinePunct/>
              <w:spacing w:line="440" w:lineRule="exact"/>
              <w:rPr>
                <w:szCs w:val="21"/>
              </w:rPr>
            </w:pPr>
          </w:p>
          <w:p>
            <w:pPr>
              <w:topLinePunct/>
              <w:spacing w:line="440" w:lineRule="exact"/>
              <w:rPr>
                <w:szCs w:val="21"/>
              </w:rPr>
            </w:pPr>
          </w:p>
          <w:p>
            <w:pPr>
              <w:topLinePunct/>
              <w:spacing w:line="44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8" w:hRule="atLeast"/>
        </w:trPr>
        <w:tc>
          <w:tcPr>
            <w:tcW w:w="2119" w:type="dxa"/>
            <w:vAlign w:val="center"/>
          </w:tcPr>
          <w:p>
            <w:pPr>
              <w:topLinePunct/>
              <w:spacing w:line="440" w:lineRule="exact"/>
              <w:jc w:val="center"/>
              <w:rPr>
                <w:szCs w:val="21"/>
              </w:rPr>
            </w:pPr>
            <w:r>
              <w:rPr>
                <w:szCs w:val="21"/>
              </w:rPr>
              <w:t>备注</w:t>
            </w:r>
          </w:p>
        </w:tc>
        <w:tc>
          <w:tcPr>
            <w:tcW w:w="6403" w:type="dxa"/>
            <w:vAlign w:val="top"/>
          </w:tcPr>
          <w:p>
            <w:pPr>
              <w:topLinePunct/>
              <w:spacing w:line="440" w:lineRule="exact"/>
              <w:rPr>
                <w:szCs w:val="21"/>
              </w:rPr>
            </w:pPr>
          </w:p>
        </w:tc>
      </w:tr>
    </w:tbl>
    <w:p>
      <w:pPr>
        <w:spacing w:line="440" w:lineRule="exact"/>
        <w:rPr>
          <w:rFonts w:eastAsia="黑体"/>
          <w:sz w:val="20"/>
          <w:szCs w:val="20"/>
        </w:rPr>
      </w:pPr>
    </w:p>
    <w:p>
      <w:pPr>
        <w:spacing w:line="440" w:lineRule="exact"/>
        <w:ind w:firstLine="500" w:firstLineChars="250"/>
        <w:jc w:val="center"/>
        <w:rPr>
          <w:rFonts w:eastAsia="黑体"/>
          <w:sz w:val="20"/>
          <w:szCs w:val="20"/>
        </w:rPr>
      </w:pPr>
    </w:p>
    <w:p>
      <w:pPr>
        <w:pStyle w:val="4"/>
        <w:jc w:val="center"/>
      </w:pPr>
      <w:bookmarkStart w:id="1282" w:name="_Toc246997117"/>
      <w:bookmarkStart w:id="1283" w:name="_Toc247085892"/>
      <w:bookmarkStart w:id="1284" w:name="_Toc246996374"/>
      <w:bookmarkStart w:id="1285" w:name="_Toc24280"/>
      <w:r>
        <w:rPr>
          <w:rFonts w:hint="eastAsia"/>
        </w:rPr>
        <w:t>（五）</w:t>
      </w:r>
      <w:bookmarkEnd w:id="1257"/>
      <w:bookmarkEnd w:id="1258"/>
      <w:bookmarkEnd w:id="1259"/>
      <w:bookmarkEnd w:id="1260"/>
      <w:bookmarkEnd w:id="1282"/>
      <w:bookmarkEnd w:id="1283"/>
      <w:bookmarkEnd w:id="1284"/>
      <w:r>
        <w:rPr>
          <w:rFonts w:hint="eastAsia"/>
        </w:rPr>
        <w:t>近年发生的诉讼及仲裁情况</w:t>
      </w:r>
      <w:bookmarkEnd w:id="1285"/>
    </w:p>
    <w:p>
      <w:pPr>
        <w:spacing w:line="400" w:lineRule="exact"/>
      </w:pPr>
      <w:r>
        <w:rPr>
          <w:rFonts w:hint="eastAsia"/>
          <w:b/>
          <w:bCs/>
        </w:rPr>
        <w:t>说明：</w:t>
      </w:r>
      <w:r>
        <w:rPr>
          <w:rFonts w:hint="eastAsia"/>
        </w:rPr>
        <w:t>近年发生的诉讼和仲裁情况仅限于投标人败诉的，且与履行施工承包合同有关的案件，不包括调解结案以及未裁决的仲裁或未终审判决的诉讼。</w:t>
      </w:r>
    </w:p>
    <w:p/>
    <w:p/>
    <w:p/>
    <w:p/>
    <w:p/>
    <w:p/>
    <w:p/>
    <w:p/>
    <w:p/>
    <w:p/>
    <w:p/>
    <w:p/>
    <w:p/>
    <w:p/>
    <w:p/>
    <w:p/>
    <w:p/>
    <w:p/>
    <w:p/>
    <w:p/>
    <w:p/>
    <w:p/>
    <w:p/>
    <w:p/>
    <w:p/>
    <w:p/>
    <w:p/>
    <w:p/>
    <w:p/>
    <w:p/>
    <w:p/>
    <w:p/>
    <w:p/>
    <w:p/>
    <w:p/>
    <w:p/>
    <w:p/>
    <w:p/>
    <w:p>
      <w:pPr>
        <w:pStyle w:val="4"/>
        <w:jc w:val="center"/>
      </w:pPr>
      <w:bookmarkStart w:id="1286" w:name="_Toc27291"/>
      <w:r>
        <w:rPr>
          <w:rFonts w:hint="eastAsia"/>
        </w:rPr>
        <w:t>（六）</w:t>
      </w:r>
      <w:r>
        <w:t>其他</w:t>
      </w:r>
      <w:r>
        <w:rPr>
          <w:rFonts w:hint="eastAsia"/>
        </w:rPr>
        <w:t>资格审查资</w:t>
      </w:r>
      <w:r>
        <w:t>料</w:t>
      </w:r>
      <w:bookmarkEnd w:id="1286"/>
    </w:p>
    <w:p>
      <w:pPr>
        <w:autoSpaceDE w:val="0"/>
        <w:autoSpaceDN w:val="0"/>
        <w:spacing w:line="360" w:lineRule="auto"/>
        <w:jc w:val="center"/>
        <w:rPr>
          <w:rFonts w:ascii="宋体"/>
          <w:color w:val="000000"/>
          <w:kern w:val="0"/>
        </w:rPr>
      </w:pPr>
      <w:r>
        <w:rPr>
          <w:rFonts w:hint="eastAsia" w:ascii="宋体"/>
          <w:color w:val="000000"/>
          <w:kern w:val="0"/>
        </w:rPr>
        <w:t>投标人须知前附表3.1.1“构成投标文件的其他材料”</w:t>
      </w:r>
    </w:p>
    <w:p>
      <w:pPr>
        <w:autoSpaceDE w:val="0"/>
        <w:autoSpaceDN w:val="0"/>
        <w:spacing w:line="360" w:lineRule="auto"/>
        <w:jc w:val="center"/>
        <w:rPr>
          <w:rFonts w:ascii="宋体"/>
          <w:b/>
          <w:color w:val="000000"/>
          <w:kern w:val="0"/>
        </w:rPr>
      </w:pPr>
      <w:r>
        <w:rPr>
          <w:rFonts w:hint="eastAsia" w:ascii="宋体"/>
          <w:b/>
          <w:color w:val="000000"/>
          <w:kern w:val="0"/>
        </w:rPr>
        <w:t>《行贿犯罪档案查询结果告知函》证明</w:t>
      </w:r>
    </w:p>
    <w:p>
      <w:pPr>
        <w:autoSpaceDE w:val="0"/>
        <w:autoSpaceDN w:val="0"/>
        <w:spacing w:line="360" w:lineRule="auto"/>
        <w:jc w:val="center"/>
        <w:rPr>
          <w:rFonts w:ascii="宋体"/>
          <w:b/>
          <w:color w:val="000000"/>
          <w:kern w:val="0"/>
        </w:rPr>
      </w:pPr>
      <w:r>
        <w:rPr>
          <w:rFonts w:hint="eastAsia" w:ascii="宋体"/>
          <w:b/>
          <w:color w:val="000000"/>
          <w:kern w:val="0"/>
        </w:rPr>
        <w:t>出具的项目经理、五大员的劳动关系证明</w:t>
      </w:r>
    </w:p>
    <w:p>
      <w:pPr>
        <w:autoSpaceDE w:val="0"/>
        <w:autoSpaceDN w:val="0"/>
        <w:spacing w:line="360" w:lineRule="auto"/>
        <w:jc w:val="center"/>
        <w:rPr>
          <w:rFonts w:ascii="宋体"/>
          <w:b/>
          <w:color w:val="000000"/>
          <w:kern w:val="0"/>
        </w:rPr>
      </w:pPr>
      <w:r>
        <w:rPr>
          <w:rFonts w:hint="eastAsia" w:ascii="宋体"/>
          <w:b/>
          <w:color w:val="000000"/>
          <w:kern w:val="0"/>
        </w:rPr>
        <w:t>项目经理无在建承诺（格式自拟，内容符合招标文件第二章前附表1.4.1项目要求）</w:t>
      </w:r>
    </w:p>
    <w:p>
      <w:pPr>
        <w:autoSpaceDE w:val="0"/>
        <w:autoSpaceDN w:val="0"/>
        <w:spacing w:line="360" w:lineRule="auto"/>
        <w:jc w:val="center"/>
        <w:rPr>
          <w:rFonts w:ascii="宋体"/>
          <w:b/>
          <w:color w:val="000000"/>
          <w:kern w:val="0"/>
        </w:rPr>
      </w:pPr>
      <w:r>
        <w:rPr>
          <w:rFonts w:hint="eastAsia" w:ascii="宋体"/>
          <w:b/>
          <w:color w:val="000000"/>
          <w:kern w:val="0"/>
        </w:rPr>
        <w:t>信誉证明（格式自拟，内容符合招标文件第二章前附表1.4.1项目要求）</w:t>
      </w:r>
    </w:p>
    <w:p>
      <w:pPr>
        <w:autoSpaceDE w:val="0"/>
        <w:autoSpaceDN w:val="0"/>
        <w:spacing w:line="360" w:lineRule="auto"/>
        <w:jc w:val="center"/>
        <w:rPr>
          <w:rFonts w:ascii="宋体"/>
          <w:b/>
          <w:color w:val="000000"/>
          <w:kern w:val="0"/>
        </w:rPr>
      </w:pPr>
      <w:r>
        <w:rPr>
          <w:rFonts w:hint="eastAsia" w:ascii="宋体"/>
          <w:b/>
          <w:color w:val="000000"/>
          <w:kern w:val="0"/>
        </w:rPr>
        <w:t>对农民工工资问题作出的承诺（格式自拟，内容符合招标文件第二章前附表9.11项目要求）</w:t>
      </w:r>
    </w:p>
    <w:p>
      <w:pPr>
        <w:autoSpaceDE w:val="0"/>
        <w:autoSpaceDN w:val="0"/>
        <w:spacing w:line="360" w:lineRule="auto"/>
        <w:jc w:val="center"/>
        <w:rPr>
          <w:rFonts w:ascii="宋体"/>
          <w:b/>
          <w:color w:val="000000"/>
          <w:kern w:val="0"/>
        </w:rPr>
      </w:pPr>
      <w:r>
        <w:rPr>
          <w:rFonts w:hint="eastAsia" w:ascii="宋体"/>
          <w:b/>
          <w:color w:val="000000"/>
          <w:kern w:val="0"/>
        </w:rPr>
        <w:t>投标人认为应附的其他材料</w:t>
      </w:r>
    </w:p>
    <w:p>
      <w:pPr>
        <w:autoSpaceDE w:val="0"/>
        <w:autoSpaceDN w:val="0"/>
        <w:spacing w:line="360" w:lineRule="auto"/>
        <w:jc w:val="center"/>
        <w:rPr>
          <w:rFonts w:ascii="宋体"/>
          <w:b/>
          <w:color w:val="000000"/>
          <w:kern w:val="0"/>
        </w:rPr>
      </w:pPr>
    </w:p>
    <w:p>
      <w:pPr>
        <w:autoSpaceDE w:val="0"/>
        <w:autoSpaceDN w:val="0"/>
        <w:spacing w:line="360" w:lineRule="auto"/>
        <w:jc w:val="center"/>
        <w:rPr>
          <w:rFonts w:ascii="宋体"/>
          <w:b/>
          <w:color w:val="000000"/>
          <w:kern w:val="0"/>
        </w:rPr>
      </w:pPr>
    </w:p>
    <w:p>
      <w:pPr>
        <w:autoSpaceDE w:val="0"/>
        <w:autoSpaceDN w:val="0"/>
        <w:spacing w:line="360" w:lineRule="auto"/>
        <w:jc w:val="center"/>
      </w:pPr>
    </w:p>
    <w:p/>
    <w:p/>
    <w:p/>
    <w:p/>
    <w:p/>
    <w:p/>
    <w:p/>
    <w:p/>
    <w:p/>
    <w:p/>
    <w:p/>
    <w:p/>
    <w:p/>
    <w:p/>
    <w:p/>
    <w:p/>
    <w:p/>
    <w:p/>
    <w:p/>
    <w:p/>
    <w:p/>
    <w:p/>
    <w:p/>
    <w:p/>
    <w:p/>
    <w:p/>
    <w:p/>
    <w:p/>
    <w:p/>
    <w:p/>
    <w:p>
      <w:pPr>
        <w:pStyle w:val="4"/>
      </w:pPr>
      <w:bookmarkStart w:id="1287" w:name="_Toc24865"/>
      <w:r>
        <w:rPr>
          <w:rFonts w:hint="eastAsia"/>
        </w:rPr>
        <w:t>八、投标承诺</w:t>
      </w:r>
      <w:bookmarkEnd w:id="1287"/>
    </w:p>
    <w:p>
      <w:pPr>
        <w:autoSpaceDE w:val="0"/>
        <w:autoSpaceDN w:val="0"/>
        <w:spacing w:line="360" w:lineRule="auto"/>
        <w:jc w:val="center"/>
        <w:rPr>
          <w:rFonts w:ascii="宋体"/>
          <w:color w:val="000000"/>
          <w:kern w:val="0"/>
        </w:rPr>
      </w:pPr>
      <w:r>
        <w:rPr>
          <w:rFonts w:hint="eastAsia" w:ascii="宋体"/>
          <w:color w:val="000000"/>
          <w:kern w:val="0"/>
        </w:rPr>
        <w:t>承诺书</w:t>
      </w:r>
    </w:p>
    <w:p>
      <w:pPr>
        <w:autoSpaceDE w:val="0"/>
        <w:autoSpaceDN w:val="0"/>
        <w:spacing w:line="360" w:lineRule="auto"/>
        <w:jc w:val="center"/>
        <w:rPr>
          <w:rFonts w:ascii="宋体"/>
          <w:color w:val="000000"/>
          <w:kern w:val="0"/>
        </w:rPr>
      </w:pPr>
    </w:p>
    <w:p>
      <w:pPr>
        <w:autoSpaceDE w:val="0"/>
        <w:autoSpaceDN w:val="0"/>
        <w:spacing w:line="360" w:lineRule="auto"/>
        <w:jc w:val="left"/>
        <w:rPr>
          <w:rFonts w:ascii="宋体"/>
          <w:color w:val="000000"/>
          <w:kern w:val="0"/>
        </w:rPr>
      </w:pPr>
      <w:r>
        <w:rPr>
          <w:rFonts w:hint="eastAsia" w:ascii="宋体"/>
          <w:color w:val="000000"/>
          <w:kern w:val="0"/>
        </w:rPr>
        <w:t>我单位承诺，对本项目所提供的所有资料、文件，均真实有效；如有弄虚作假情况，愿承担相应法律责任。</w:t>
      </w:r>
    </w:p>
    <w:p>
      <w:pPr>
        <w:autoSpaceDE w:val="0"/>
        <w:autoSpaceDN w:val="0"/>
        <w:spacing w:line="360" w:lineRule="auto"/>
        <w:jc w:val="center"/>
        <w:rPr>
          <w:rFonts w:ascii="宋体"/>
          <w:color w:val="000000"/>
          <w:kern w:val="0"/>
        </w:rPr>
      </w:pPr>
    </w:p>
    <w:p>
      <w:pPr>
        <w:autoSpaceDE w:val="0"/>
        <w:autoSpaceDN w:val="0"/>
        <w:spacing w:line="360" w:lineRule="auto"/>
        <w:jc w:val="center"/>
        <w:rPr>
          <w:rFonts w:ascii="宋体"/>
          <w:color w:val="000000"/>
          <w:kern w:val="0"/>
        </w:rPr>
      </w:pPr>
    </w:p>
    <w:p>
      <w:pPr>
        <w:autoSpaceDE w:val="0"/>
        <w:autoSpaceDN w:val="0"/>
        <w:spacing w:line="360" w:lineRule="auto"/>
        <w:jc w:val="center"/>
        <w:rPr>
          <w:rFonts w:ascii="宋体"/>
          <w:color w:val="000000"/>
          <w:kern w:val="0"/>
        </w:rPr>
      </w:pPr>
    </w:p>
    <w:p>
      <w:pPr>
        <w:autoSpaceDE w:val="0"/>
        <w:autoSpaceDN w:val="0"/>
        <w:spacing w:line="360" w:lineRule="auto"/>
        <w:jc w:val="right"/>
        <w:rPr>
          <w:rFonts w:ascii="宋体"/>
          <w:color w:val="000000"/>
          <w:kern w:val="0"/>
        </w:rPr>
      </w:pPr>
      <w:r>
        <w:rPr>
          <w:rFonts w:hint="eastAsia" w:ascii="宋体"/>
          <w:color w:val="000000"/>
          <w:kern w:val="0"/>
        </w:rPr>
        <w:t>投标单位名称：（盖单位公章）</w:t>
      </w:r>
    </w:p>
    <w:p>
      <w:pPr>
        <w:autoSpaceDE w:val="0"/>
        <w:autoSpaceDN w:val="0"/>
        <w:spacing w:line="360" w:lineRule="auto"/>
        <w:rPr>
          <w:rFonts w:ascii="宋体"/>
          <w:color w:val="000000"/>
          <w:kern w:val="0"/>
        </w:rPr>
      </w:pPr>
      <w:r>
        <w:rPr>
          <w:rFonts w:hint="eastAsia" w:ascii="宋体"/>
          <w:color w:val="000000"/>
          <w:kern w:val="0"/>
        </w:rPr>
        <w:t xml:space="preserve">                                                   法定代表人签字：</w:t>
      </w:r>
    </w:p>
    <w:p>
      <w:pPr>
        <w:jc w:val="right"/>
      </w:pPr>
    </w:p>
    <w:p/>
    <w:p/>
    <w:p/>
    <w:p/>
    <w:p/>
    <w:p/>
    <w:p/>
    <w:p/>
    <w:p/>
    <w:p/>
    <w:p/>
    <w:p/>
    <w:p/>
    <w:p/>
    <w:p/>
    <w:p/>
    <w:p/>
    <w:p/>
    <w:p/>
    <w:p/>
    <w:p/>
    <w:p/>
    <w:p>
      <w:pPr>
        <w:pStyle w:val="3"/>
        <w:spacing w:line="360" w:lineRule="exact"/>
        <w:jc w:val="center"/>
        <w:rPr>
          <w:rFonts w:ascii="宋体" w:eastAsia="宋体"/>
        </w:rPr>
      </w:pPr>
      <w:bookmarkStart w:id="1288" w:name="_Toc32019"/>
      <w:r>
        <w:rPr>
          <w:rFonts w:hint="eastAsia" w:ascii="宋体" w:eastAsia="宋体"/>
        </w:rPr>
        <w:t>廉政建设承诺书</w:t>
      </w:r>
      <w:bookmarkEnd w:id="1288"/>
    </w:p>
    <w:p>
      <w:pPr>
        <w:rPr>
          <w:rFonts w:ascii="宋体" w:hAnsi="宋体"/>
          <w:sz w:val="28"/>
          <w:szCs w:val="28"/>
        </w:rPr>
      </w:pPr>
    </w:p>
    <w:p>
      <w:r>
        <w:rPr>
          <w:rFonts w:hint="eastAsia" w:ascii="宋体" w:hAnsi="宋体"/>
          <w:sz w:val="28"/>
          <w:szCs w:val="28"/>
        </w:rPr>
        <w:t>致</w:t>
      </w:r>
      <w:r>
        <w:rPr>
          <w:rFonts w:hint="eastAsia" w:ascii="宋体" w:hAnsi="宋体"/>
          <w:sz w:val="28"/>
          <w:szCs w:val="28"/>
          <w:u w:val="single"/>
        </w:rPr>
        <w:t>招标人名称</w:t>
      </w:r>
      <w:r>
        <w:rPr>
          <w:rFonts w:hint="eastAsia"/>
        </w:rPr>
        <w:t>：</w:t>
      </w:r>
    </w:p>
    <w:p>
      <w:pPr>
        <w:spacing w:line="680" w:lineRule="exact"/>
        <w:ind w:firstLine="560" w:firstLineChars="200"/>
        <w:jc w:val="left"/>
        <w:rPr>
          <w:sz w:val="28"/>
          <w:szCs w:val="28"/>
        </w:rPr>
      </w:pPr>
      <w:r>
        <w:rPr>
          <w:rFonts w:hint="eastAsia"/>
          <w:sz w:val="28"/>
          <w:szCs w:val="28"/>
        </w:rPr>
        <w:t>根据收到贵方</w:t>
      </w:r>
      <w:r>
        <w:rPr>
          <w:rFonts w:hint="eastAsia"/>
          <w:sz w:val="28"/>
          <w:szCs w:val="28"/>
          <w:u w:val="single"/>
        </w:rPr>
        <w:t>项目名称</w:t>
      </w:r>
      <w:r>
        <w:rPr>
          <w:rFonts w:hint="eastAsia"/>
          <w:sz w:val="28"/>
          <w:szCs w:val="28"/>
        </w:rPr>
        <w:t>的招标文件，我方已仔细阅读了招标文件等资料，并且研究上述招标文件投标须知等其他有关文件，我方决定参加本工程的竞标，并且完全接受贵方招标文件的所有内容，同时在廉政责任方面作出如下承诺：</w:t>
      </w:r>
    </w:p>
    <w:p>
      <w:pPr>
        <w:spacing w:line="680" w:lineRule="exact"/>
        <w:ind w:firstLine="560" w:firstLineChars="200"/>
        <w:jc w:val="left"/>
        <w:rPr>
          <w:sz w:val="28"/>
          <w:szCs w:val="28"/>
        </w:rPr>
      </w:pPr>
      <w:r>
        <w:rPr>
          <w:rFonts w:hint="eastAsia"/>
          <w:sz w:val="28"/>
          <w:szCs w:val="28"/>
        </w:rPr>
        <w:t>我方保证遵守廉政建设各项规定，规范自身廉政行为，在竞标及工程建设过程中不发生不廉洁行为。</w:t>
      </w:r>
    </w:p>
    <w:p>
      <w:pPr>
        <w:spacing w:line="680" w:lineRule="exact"/>
        <w:ind w:firstLine="560" w:firstLineChars="200"/>
        <w:jc w:val="left"/>
        <w:rPr>
          <w:sz w:val="28"/>
          <w:szCs w:val="28"/>
        </w:rPr>
      </w:pPr>
      <w:r>
        <w:rPr>
          <w:rFonts w:hint="eastAsia"/>
          <w:sz w:val="28"/>
          <w:szCs w:val="28"/>
        </w:rPr>
        <w:t>我方若违反上述承诺，愿承担一切责任并接受处罚。</w:t>
      </w:r>
    </w:p>
    <w:p>
      <w:pPr>
        <w:spacing w:line="680" w:lineRule="exact"/>
        <w:ind w:firstLine="560" w:firstLineChars="200"/>
        <w:jc w:val="left"/>
        <w:rPr>
          <w:sz w:val="28"/>
          <w:szCs w:val="28"/>
        </w:rPr>
      </w:pPr>
    </w:p>
    <w:p>
      <w:pPr>
        <w:spacing w:line="680" w:lineRule="exact"/>
        <w:ind w:firstLine="560" w:firstLineChars="200"/>
        <w:jc w:val="left"/>
        <w:rPr>
          <w:sz w:val="28"/>
          <w:szCs w:val="28"/>
        </w:rPr>
      </w:pPr>
    </w:p>
    <w:p>
      <w:pPr>
        <w:spacing w:line="680" w:lineRule="exact"/>
        <w:ind w:firstLine="560" w:firstLineChars="200"/>
        <w:jc w:val="left"/>
        <w:rPr>
          <w:sz w:val="28"/>
          <w:szCs w:val="28"/>
        </w:rPr>
      </w:pPr>
      <w:r>
        <w:rPr>
          <w:rFonts w:hint="eastAsia"/>
          <w:sz w:val="28"/>
          <w:szCs w:val="28"/>
        </w:rPr>
        <w:t>投标人（盖单位章）：</w:t>
      </w:r>
    </w:p>
    <w:p>
      <w:pPr>
        <w:spacing w:line="680" w:lineRule="exact"/>
        <w:ind w:firstLine="560" w:firstLineChars="200"/>
        <w:jc w:val="left"/>
        <w:rPr>
          <w:sz w:val="28"/>
          <w:szCs w:val="28"/>
        </w:rPr>
      </w:pPr>
    </w:p>
    <w:p>
      <w:pPr>
        <w:spacing w:line="680" w:lineRule="exact"/>
        <w:ind w:firstLine="560" w:firstLineChars="200"/>
        <w:jc w:val="left"/>
        <w:rPr>
          <w:sz w:val="28"/>
          <w:szCs w:val="28"/>
        </w:rPr>
      </w:pPr>
      <w:r>
        <w:rPr>
          <w:rFonts w:hint="eastAsia"/>
          <w:sz w:val="28"/>
          <w:szCs w:val="28"/>
        </w:rPr>
        <w:t xml:space="preserve">法定代表人或授权人（签字）：                </w:t>
      </w:r>
    </w:p>
    <w:p>
      <w:pPr>
        <w:spacing w:line="680" w:lineRule="exact"/>
        <w:ind w:firstLine="560" w:firstLineChars="200"/>
        <w:jc w:val="left"/>
        <w:rPr>
          <w:sz w:val="28"/>
          <w:szCs w:val="28"/>
        </w:rPr>
      </w:pPr>
    </w:p>
    <w:p>
      <w:pPr>
        <w:jc w:val="right"/>
        <w:rPr>
          <w:sz w:val="28"/>
          <w:szCs w:val="28"/>
        </w:rPr>
      </w:pPr>
      <w:r>
        <w:rPr>
          <w:rFonts w:hint="eastAsia"/>
          <w:sz w:val="28"/>
          <w:szCs w:val="28"/>
        </w:rPr>
        <w:t>年   月   日</w:t>
      </w:r>
    </w:p>
    <w:p/>
    <w:sectPr>
      <w:pgSz w:w="11906" w:h="16838"/>
      <w:pgMar w:top="1440" w:right="1797" w:bottom="1440" w:left="179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Tahoma">
    <w:panose1 w:val="020B0604030504040204"/>
    <w:charset w:val="00"/>
    <w:family w:val="auto"/>
    <w:pitch w:val="default"/>
    <w:sig w:usb0="E1002EFF" w:usb1="C000605B" w:usb2="00000029" w:usb3="00000000" w:csb0="200101FF" w:csb1="2028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华文细黑">
    <w:panose1 w:val="02010600040101010101"/>
    <w:charset w:val="86"/>
    <w:family w:val="auto"/>
    <w:pitch w:val="default"/>
    <w:sig w:usb0="00000287" w:usb1="080F0000" w:usb2="00000000" w:usb3="00000000" w:csb0="0004009F" w:csb1="DFD70000"/>
  </w:font>
  <w:font w:name="方正黑体简体">
    <w:altName w:val="宋体"/>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方正大黑简体">
    <w:altName w:val="宋体"/>
    <w:panose1 w:val="00000000000000000000"/>
    <w:charset w:val="86"/>
    <w:family w:val="auto"/>
    <w:pitch w:val="default"/>
    <w:sig w:usb0="00000000" w:usb1="00000000" w:usb2="00000010" w:usb3="00000000" w:csb0="00040000" w:csb1="00000000"/>
  </w:font>
  <w:font w:name="MingLiU_HKSCS">
    <w:panose1 w:val="02020500000000000000"/>
    <w:charset w:val="88"/>
    <w:family w:val="auto"/>
    <w:pitch w:val="default"/>
    <w:sig w:usb0="A00002FF" w:usb1="38CFFCFA" w:usb2="00000016" w:usb3="00000000" w:csb0="00100001" w:csb1="00000000"/>
  </w:font>
  <w:font w:name="PMingLiU">
    <w:panose1 w:val="02020500000000000000"/>
    <w:charset w:val="88"/>
    <w:family w:val="auto"/>
    <w:pitch w:val="default"/>
    <w:sig w:usb0="A00002FF" w:usb1="28CFFCFA" w:usb2="00000016" w:usb3="00000000" w:csb0="00100001" w:csb1="00000000"/>
  </w:font>
  <w:font w:name="楷体">
    <w:panose1 w:val="02010609060101010101"/>
    <w:charset w:val="86"/>
    <w:family w:val="auto"/>
    <w:pitch w:val="default"/>
    <w:sig w:usb0="800002BF" w:usb1="38CF7CFA" w:usb2="00000016" w:usb3="00000000" w:csb0="00040001" w:csb1="00000000"/>
  </w:font>
  <w:font w:name="Calibri Light">
    <w:altName w:val="Calibri"/>
    <w:panose1 w:val="020F0302020204030204"/>
    <w:charset w:val="00"/>
    <w:family w:val="auto"/>
    <w:pitch w:val="default"/>
    <w:sig w:usb0="00000000" w:usb1="00000000" w:usb2="00000000" w:usb3="00000000" w:csb0="2000019F" w:csb1="00000000"/>
  </w:font>
  <w:font w:name="Palatino Linotype">
    <w:panose1 w:val="020405020503050A0304"/>
    <w:charset w:val="00"/>
    <w:family w:val="auto"/>
    <w:pitch w:val="default"/>
    <w:sig w:usb0="E0000287" w:usb1="40000013" w:usb2="00000000" w:usb3="00000000" w:csb0="2000019F" w:csb1="00000000"/>
  </w:font>
  <w:font w:name="Lucida Sans Unicode">
    <w:altName w:val="Lucida Sans"/>
    <w:panose1 w:val="020B0602030504020204"/>
    <w:charset w:val="00"/>
    <w:family w:val="auto"/>
    <w:pitch w:val="default"/>
    <w:sig w:usb0="00000000" w:usb1="00000000" w:usb2="00000000" w:usb3="00000000" w:csb0="200000BF" w:csb1="D7F70000"/>
  </w:font>
  <w:font w:name="Latha">
    <w:panose1 w:val="020B0604020202020204"/>
    <w:charset w:val="00"/>
    <w:family w:val="auto"/>
    <w:pitch w:val="default"/>
    <w:sig w:usb0="00100003" w:usb1="00000000" w:usb2="00000000" w:usb3="00000000" w:csb0="00000001" w:csb1="00000000"/>
  </w:font>
  <w:font w:name="Cambria Math">
    <w:panose1 w:val="02040503050406030204"/>
    <w:charset w:val="01"/>
    <w:family w:val="auto"/>
    <w:pitch w:val="default"/>
    <w:sig w:usb0="E00002FF" w:usb1="420024FF" w:usb2="00000000" w:usb3="00000000" w:csb0="2000019F" w:csb1="00000000"/>
  </w:font>
  <w:font w:name="Times New Roman CE">
    <w:altName w:val="Times New Roman"/>
    <w:panose1 w:val="00000000000000000000"/>
    <w:charset w:val="EE"/>
    <w:family w:val="auto"/>
    <w:pitch w:val="default"/>
    <w:sig w:usb0="00000000" w:usb1="00000000" w:usb2="00000000" w:usb3="00000000" w:csb0="00000002" w:csb1="00000000"/>
  </w:font>
  <w:font w:name="Times New Roman Cyr">
    <w:altName w:val="Times New Roman"/>
    <w:panose1 w:val="00000000000000000000"/>
    <w:charset w:val="CC"/>
    <w:family w:val="auto"/>
    <w:pitch w:val="default"/>
    <w:sig w:usb0="00000000" w:usb1="00000000" w:usb2="00000000" w:usb3="00000000" w:csb0="00000004" w:csb1="00000000"/>
  </w:font>
  <w:font w:name="Times New Roman Greek">
    <w:altName w:val="Times New Roman"/>
    <w:panose1 w:val="00000000000000000000"/>
    <w:charset w:val="A1"/>
    <w:family w:val="auto"/>
    <w:pitch w:val="default"/>
    <w:sig w:usb0="00000000" w:usb1="00000000" w:usb2="00000000" w:usb3="00000000" w:csb0="00000008" w:csb1="00000000"/>
  </w:font>
  <w:font w:name="Times New Roman Tur">
    <w:altName w:val="Times New Roman"/>
    <w:panose1 w:val="00000000000000000000"/>
    <w:charset w:val="A2"/>
    <w:family w:val="auto"/>
    <w:pitch w:val="default"/>
    <w:sig w:usb0="00000000" w:usb1="00000000" w:usb2="00000000" w:usb3="00000000" w:csb0="00000010" w:csb1="00000000"/>
  </w:font>
  <w:font w:name="Times New Roman (Hebrew)">
    <w:altName w:val="Times New Roman"/>
    <w:panose1 w:val="00000000000000000000"/>
    <w:charset w:val="B1"/>
    <w:family w:val="auto"/>
    <w:pitch w:val="default"/>
    <w:sig w:usb0="00000000" w:usb1="00000000" w:usb2="00000000" w:usb3="00000000" w:csb0="00000020" w:csb1="00000000"/>
  </w:font>
  <w:font w:name="Times New Roman (Arabic)">
    <w:altName w:val="Times New Roman"/>
    <w:panose1 w:val="00000000000000000000"/>
    <w:charset w:val="B2"/>
    <w:family w:val="auto"/>
    <w:pitch w:val="default"/>
    <w:sig w:usb0="00000000" w:usb1="00000000" w:usb2="00000000" w:usb3="00000000" w:csb0="00000040" w:csb1="00000000"/>
  </w:font>
  <w:font w:name="Times New Roman Baltic">
    <w:altName w:val="Times New Roman"/>
    <w:panose1 w:val="00000000000000000000"/>
    <w:charset w:val="BA"/>
    <w:family w:val="auto"/>
    <w:pitch w:val="default"/>
    <w:sig w:usb0="00000000" w:usb1="00000000" w:usb2="00000000" w:usb3="00000000" w:csb0="00000080" w:csb1="00000000"/>
  </w:font>
  <w:font w:name="Times New Roman (Vietnamese)">
    <w:altName w:val="Times New Roman"/>
    <w:panose1 w:val="00000000000000000000"/>
    <w:charset w:val="A3"/>
    <w:family w:val="auto"/>
    <w:pitch w:val="default"/>
    <w:sig w:usb0="00000000" w:usb1="00000000" w:usb2="00000000" w:usb3="00000000" w:csb0="00000100" w:csb1="00000000"/>
  </w:font>
  <w:font w:name="SimSun Western">
    <w:altName w:val="宋体"/>
    <w:panose1 w:val="00000000000000000000"/>
    <w:charset w:val="00"/>
    <w:family w:val="auto"/>
    <w:pitch w:val="default"/>
    <w:sig w:usb0="00000000" w:usb1="00000000" w:usb2="00000000" w:usb3="00000000" w:csb0="00000001" w:csb1="00000000"/>
  </w:font>
  <w:font w:name="Cambria CE">
    <w:altName w:val="Cambria"/>
    <w:panose1 w:val="00000000000000000000"/>
    <w:charset w:val="EE"/>
    <w:family w:val="auto"/>
    <w:pitch w:val="default"/>
    <w:sig w:usb0="00000000" w:usb1="00000000" w:usb2="00000000" w:usb3="00000000" w:csb0="00000002" w:csb1="00000000"/>
  </w:font>
  <w:font w:name="Cambria Cyr">
    <w:altName w:val="Cambria"/>
    <w:panose1 w:val="00000000000000000000"/>
    <w:charset w:val="CC"/>
    <w:family w:val="auto"/>
    <w:pitch w:val="default"/>
    <w:sig w:usb0="00000000" w:usb1="00000000" w:usb2="00000000" w:usb3="00000000" w:csb0="00000004" w:csb1="00000000"/>
  </w:font>
  <w:font w:name="Cambria Greek">
    <w:altName w:val="Cambria"/>
    <w:panose1 w:val="00000000000000000000"/>
    <w:charset w:val="A1"/>
    <w:family w:val="auto"/>
    <w:pitch w:val="default"/>
    <w:sig w:usb0="00000000" w:usb1="00000000" w:usb2="00000000" w:usb3="00000000" w:csb0="00000008" w:csb1="00000000"/>
  </w:font>
  <w:font w:name="Cambria Tur">
    <w:altName w:val="Cambria"/>
    <w:panose1 w:val="00000000000000000000"/>
    <w:charset w:val="A2"/>
    <w:family w:val="auto"/>
    <w:pitch w:val="default"/>
    <w:sig w:usb0="00000000" w:usb1="00000000" w:usb2="00000000" w:usb3="00000000" w:csb0="00000010" w:csb1="00000000"/>
  </w:font>
  <w:font w:name="Cambria Baltic">
    <w:altName w:val="Cambria"/>
    <w:panose1 w:val="00000000000000000000"/>
    <w:charset w:val="BA"/>
    <w:family w:val="auto"/>
    <w:pitch w:val="default"/>
    <w:sig w:usb0="00000000" w:usb1="00000000" w:usb2="00000000" w:usb3="00000000" w:csb0="00000080" w:csb1="00000000"/>
  </w:font>
  <w:font w:name="Cambria (Vietnamese)">
    <w:altName w:val="Cambria"/>
    <w:panose1 w:val="00000000000000000000"/>
    <w:charset w:val="A3"/>
    <w:family w:val="auto"/>
    <w:pitch w:val="default"/>
    <w:sig w:usb0="00000000" w:usb1="00000000" w:usb2="00000000" w:usb3="00000000" w:csb0="00000100" w:csb1="00000000"/>
  </w:font>
  <w:font w:name="Calibri CE">
    <w:altName w:val="Calibri"/>
    <w:panose1 w:val="00000000000000000000"/>
    <w:charset w:val="EE"/>
    <w:family w:val="auto"/>
    <w:pitch w:val="default"/>
    <w:sig w:usb0="00000000" w:usb1="00000000" w:usb2="00000000" w:usb3="00000000" w:csb0="00000002" w:csb1="00000000"/>
  </w:font>
  <w:font w:name="Calibri Cyr">
    <w:altName w:val="Calibri"/>
    <w:panose1 w:val="00000000000000000000"/>
    <w:charset w:val="CC"/>
    <w:family w:val="auto"/>
    <w:pitch w:val="default"/>
    <w:sig w:usb0="00000000" w:usb1="00000000" w:usb2="00000000" w:usb3="00000000" w:csb0="00000004" w:csb1="00000000"/>
  </w:font>
  <w:font w:name="Calibri Greek">
    <w:altName w:val="Calibri"/>
    <w:panose1 w:val="00000000000000000000"/>
    <w:charset w:val="A1"/>
    <w:family w:val="auto"/>
    <w:pitch w:val="default"/>
    <w:sig w:usb0="00000000" w:usb1="00000000" w:usb2="00000000" w:usb3="00000000" w:csb0="00000008" w:csb1="00000000"/>
  </w:font>
  <w:font w:name="Calibri Tur">
    <w:altName w:val="Calibri"/>
    <w:panose1 w:val="00000000000000000000"/>
    <w:charset w:val="A2"/>
    <w:family w:val="auto"/>
    <w:pitch w:val="default"/>
    <w:sig w:usb0="00000000" w:usb1="00000000" w:usb2="00000000" w:usb3="00000000" w:csb0="00000010" w:csb1="00000000"/>
  </w:font>
  <w:font w:name="Calibri Baltic">
    <w:altName w:val="Calibri"/>
    <w:panose1 w:val="00000000000000000000"/>
    <w:charset w:val="BA"/>
    <w:family w:val="auto"/>
    <w:pitch w:val="default"/>
    <w:sig w:usb0="00000000" w:usb1="00000000" w:usb2="00000000" w:usb3="00000000" w:csb0="00000080" w:csb1="00000000"/>
  </w:font>
  <w:font w:name="Calibri (Vietnamese)">
    <w:altName w:val="Calibri"/>
    <w:panose1 w:val="00000000000000000000"/>
    <w:charset w:val="A3"/>
    <w:family w:val="auto"/>
    <w:pitch w:val="default"/>
    <w:sig w:usb0="00000000" w:usb1="00000000" w:usb2="00000000" w:usb3="00000000" w:csb0="00000100" w:csb1="00000000"/>
  </w:font>
  <w:font w:name="Cambria Math CE">
    <w:altName w:val="Cambria"/>
    <w:panose1 w:val="00000000000000000000"/>
    <w:charset w:val="EE"/>
    <w:family w:val="auto"/>
    <w:pitch w:val="default"/>
    <w:sig w:usb0="00000000" w:usb1="00000000" w:usb2="00000000" w:usb3="00000000" w:csb0="00000002" w:csb1="00000000"/>
  </w:font>
  <w:font w:name="Cambria Math Cyr">
    <w:altName w:val="Cambria"/>
    <w:panose1 w:val="00000000000000000000"/>
    <w:charset w:val="CC"/>
    <w:family w:val="auto"/>
    <w:pitch w:val="default"/>
    <w:sig w:usb0="00000000" w:usb1="00000000" w:usb2="00000000" w:usb3="00000000" w:csb0="00000004" w:csb1="00000000"/>
  </w:font>
  <w:font w:name="Cambria Math Greek">
    <w:altName w:val="Cambria"/>
    <w:panose1 w:val="00000000000000000000"/>
    <w:charset w:val="A1"/>
    <w:family w:val="auto"/>
    <w:pitch w:val="default"/>
    <w:sig w:usb0="00000000" w:usb1="00000000" w:usb2="00000000" w:usb3="00000000" w:csb0="00000008" w:csb1="00000000"/>
  </w:font>
  <w:font w:name="Cambria Math Tur">
    <w:altName w:val="Cambria"/>
    <w:panose1 w:val="00000000000000000000"/>
    <w:charset w:val="A2"/>
    <w:family w:val="auto"/>
    <w:pitch w:val="default"/>
    <w:sig w:usb0="00000000" w:usb1="00000000" w:usb2="00000000" w:usb3="00000000" w:csb0="00000010" w:csb1="00000000"/>
  </w:font>
  <w:font w:name="Cambria Math Baltic">
    <w:altName w:val="Cambria"/>
    <w:panose1 w:val="00000000000000000000"/>
    <w:charset w:val="BA"/>
    <w:family w:val="auto"/>
    <w:pitch w:val="default"/>
    <w:sig w:usb0="00000000" w:usb1="00000000" w:usb2="00000000" w:usb3="00000000" w:csb0="00000080" w:csb1="00000000"/>
  </w:font>
  <w:font w:name="Cambria Math (Vietnamese)">
    <w:altName w:val="Cambria"/>
    <w:panose1 w:val="00000000000000000000"/>
    <w:charset w:val="A3"/>
    <w:family w:val="auto"/>
    <w:pitch w:val="default"/>
    <w:sig w:usb0="00000000" w:usb1="00000000" w:usb2="00000000" w:usb3="00000000" w:csb0="00000100" w:csb1="00000000"/>
  </w:font>
  <w:font w:name="Lucida Sans">
    <w:panose1 w:val="020B0602030504020204"/>
    <w:charset w:val="00"/>
    <w:family w:val="auto"/>
    <w:pitch w:val="default"/>
    <w:sig w:usb0="00000003" w:usb1="00000000" w:usb2="00000000" w:usb3="00000000" w:csb0="20000001" w:csb1="00000000"/>
  </w:font>
  <w:font w:name="Arial">
    <w:panose1 w:val="020B0604020202020204"/>
    <w:charset w:val="00"/>
    <w:family w:val="swiss"/>
    <w:pitch w:val="default"/>
    <w:sig w:usb0="E0002AFF" w:usb1="C0007843" w:usb2="00000009" w:usb3="00000000" w:csb0="400001FF" w:csb1="FFFF0000"/>
  </w:font>
  <w:font w:name="方正小标宋简体">
    <w:altName w:val="宋体"/>
    <w:panose1 w:val="02010601030101010101"/>
    <w:charset w:val="86"/>
    <w:family w:val="auto"/>
    <w:pitch w:val="default"/>
    <w:sig w:usb0="00000000" w:usb1="00000000" w:usb2="00000010" w:usb3="00000000" w:csb0="00040000" w:csb1="00000000"/>
  </w:font>
  <w:font w:name="方正北魏楷书简体">
    <w:altName w:val="黑体"/>
    <w:panose1 w:val="03000509000000000000"/>
    <w:charset w:val="86"/>
    <w:family w:val="script"/>
    <w:pitch w:val="default"/>
    <w:sig w:usb0="00000000" w:usb1="00000000" w:usb2="00000010" w:usb3="00000000" w:csb0="00040000" w:csb1="00000000"/>
  </w:font>
  <w:font w:name="新宋体">
    <w:panose1 w:val="02010609030101010101"/>
    <w:charset w:val="86"/>
    <w:family w:val="modern"/>
    <w:pitch w:val="default"/>
    <w:sig w:usb0="00000003" w:usb1="288F0000" w:usb2="00000006"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framePr w:wrap="around" w:vAnchor="text" w:hAnchor="margin" w:xAlign="right" w:y="1"/>
      <w:rPr>
        <w:rStyle w:val="36"/>
      </w:rPr>
    </w:pPr>
    <w:r>
      <w:fldChar w:fldCharType="begin"/>
    </w:r>
    <w:r>
      <w:rPr>
        <w:rStyle w:val="36"/>
      </w:rPr>
      <w:instrText xml:space="preserve">PAGE  </w:instrText>
    </w:r>
    <w:r>
      <w:fldChar w:fldCharType="separate"/>
    </w:r>
    <w:r>
      <w:rPr>
        <w:rStyle w:val="36"/>
      </w:rPr>
      <w:t>8</w:t>
    </w:r>
    <w:r>
      <w:fldChar w:fldCharType="end"/>
    </w:r>
  </w:p>
  <w:p>
    <w:pPr>
      <w:pStyle w:val="2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framePr w:wrap="around" w:vAnchor="text" w:hAnchor="margin" w:xAlign="right" w:y="1"/>
      <w:rPr>
        <w:rStyle w:val="36"/>
      </w:rPr>
    </w:pPr>
    <w:r>
      <w:fldChar w:fldCharType="begin"/>
    </w:r>
    <w:r>
      <w:rPr>
        <w:rStyle w:val="36"/>
      </w:rPr>
      <w:instrText xml:space="preserve">PAGE  </w:instrText>
    </w:r>
    <w:r>
      <w:fldChar w:fldCharType="separate"/>
    </w:r>
    <w:r>
      <w:rPr>
        <w:rStyle w:val="36"/>
      </w:rPr>
      <w:t>XII</w:t>
    </w:r>
    <w:r>
      <w:fldChar w:fldCharType="end"/>
    </w:r>
  </w:p>
  <w:p>
    <w:pPr>
      <w:pStyle w:val="2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lvl w:ilvl="0" w:tentative="0">
      <w:start w:val="1"/>
      <w:numFmt w:val="decimal"/>
      <w:suff w:val="nothing"/>
      <w:lvlText w:val="（%1）"/>
      <w:lvlJc w:val="left"/>
    </w:lvl>
    <w:lvl w:ilvl="1" w:tentative="0">
      <w:start w:val="2"/>
      <w:numFmt w:val="decimal"/>
      <w:lvlText w:val="%1.%2"/>
      <w:lvlJc w:val="left"/>
      <w:pPr>
        <w:tabs>
          <w:tab w:val="left" w:pos="1192"/>
        </w:tabs>
        <w:ind w:left="1192" w:hanging="720"/>
      </w:pPr>
      <w:rPr>
        <w:rFonts w:hint="default"/>
        <w:sz w:val="24"/>
        <w:szCs w:val="24"/>
      </w:rPr>
    </w:lvl>
    <w:lvl w:ilvl="2" w:tentative="0">
      <w:start w:val="1"/>
      <w:numFmt w:val="decimal"/>
      <w:lvlText w:val="%1.%2.%3"/>
      <w:lvlJc w:val="left"/>
      <w:pPr>
        <w:tabs>
          <w:tab w:val="left" w:pos="1664"/>
        </w:tabs>
        <w:ind w:left="1664" w:hanging="720"/>
      </w:pPr>
      <w:rPr>
        <w:rFonts w:hint="default"/>
      </w:rPr>
    </w:lvl>
    <w:lvl w:ilvl="3" w:tentative="0">
      <w:start w:val="1"/>
      <w:numFmt w:val="decimal"/>
      <w:lvlText w:val="%1.%2.%3.%4"/>
      <w:lvlJc w:val="left"/>
      <w:pPr>
        <w:tabs>
          <w:tab w:val="left" w:pos="2496"/>
        </w:tabs>
        <w:ind w:left="2496" w:hanging="1080"/>
      </w:pPr>
      <w:rPr>
        <w:rFonts w:hint="default"/>
      </w:rPr>
    </w:lvl>
    <w:lvl w:ilvl="4" w:tentative="0">
      <w:start w:val="1"/>
      <w:numFmt w:val="decimal"/>
      <w:lvlText w:val="%1.%2.%3.%4.%5"/>
      <w:lvlJc w:val="left"/>
      <w:pPr>
        <w:tabs>
          <w:tab w:val="left" w:pos="3328"/>
        </w:tabs>
        <w:ind w:left="3328" w:hanging="1440"/>
      </w:pPr>
      <w:rPr>
        <w:rFonts w:hint="default"/>
      </w:rPr>
    </w:lvl>
    <w:lvl w:ilvl="5" w:tentative="0">
      <w:start w:val="1"/>
      <w:numFmt w:val="decimal"/>
      <w:lvlText w:val="%1.%2.%3.%4.%5.%6"/>
      <w:lvlJc w:val="left"/>
      <w:pPr>
        <w:tabs>
          <w:tab w:val="left" w:pos="3800"/>
        </w:tabs>
        <w:ind w:left="3800" w:hanging="1440"/>
      </w:pPr>
      <w:rPr>
        <w:rFonts w:hint="default"/>
      </w:rPr>
    </w:lvl>
    <w:lvl w:ilvl="6" w:tentative="0">
      <w:start w:val="1"/>
      <w:numFmt w:val="decimal"/>
      <w:lvlText w:val="%1.%2.%3.%4.%5.%6.%7"/>
      <w:lvlJc w:val="left"/>
      <w:pPr>
        <w:tabs>
          <w:tab w:val="left" w:pos="4632"/>
        </w:tabs>
        <w:ind w:left="4632" w:hanging="1800"/>
      </w:pPr>
      <w:rPr>
        <w:rFonts w:hint="default"/>
      </w:rPr>
    </w:lvl>
    <w:lvl w:ilvl="7" w:tentative="0">
      <w:start w:val="1"/>
      <w:numFmt w:val="decimal"/>
      <w:lvlText w:val="%1.%2.%3.%4.%5.%6.%7.%8"/>
      <w:lvlJc w:val="left"/>
      <w:pPr>
        <w:tabs>
          <w:tab w:val="left" w:pos="5464"/>
        </w:tabs>
        <w:ind w:left="5464" w:hanging="2160"/>
      </w:pPr>
      <w:rPr>
        <w:rFonts w:hint="default"/>
      </w:rPr>
    </w:lvl>
    <w:lvl w:ilvl="8" w:tentative="0">
      <w:start w:val="1"/>
      <w:numFmt w:val="decimal"/>
      <w:lvlText w:val="%1.%2.%3.%4.%5.%6.%7.%8.%9"/>
      <w:lvlJc w:val="left"/>
      <w:pPr>
        <w:tabs>
          <w:tab w:val="left" w:pos="5936"/>
        </w:tabs>
        <w:ind w:left="5936" w:hanging="2160"/>
      </w:pPr>
      <w:rPr>
        <w:rFonts w:hint="default"/>
      </w:rPr>
    </w:lvl>
  </w:abstractNum>
  <w:abstractNum w:abstractNumId="1">
    <w:nsid w:val="03E21DDF"/>
    <w:multiLevelType w:val="multilevel"/>
    <w:tmpl w:val="03E21DDF"/>
    <w:lvl w:ilvl="0" w:tentative="0">
      <w:start w:val="1"/>
      <w:numFmt w:val="decimal"/>
      <w:lvlText w:val="%1)"/>
      <w:lvlJc w:val="left"/>
      <w:pPr>
        <w:ind w:left="420" w:hanging="420"/>
      </w:pPr>
    </w:lvl>
    <w:lvl w:ilvl="1" w:tentative="0">
      <w:start w:val="13"/>
      <w:numFmt w:val="bullet"/>
      <w:lvlText w:val="※"/>
      <w:lvlJc w:val="left"/>
      <w:pPr>
        <w:ind w:left="780" w:hanging="360"/>
      </w:pPr>
      <w:rPr>
        <w:rFonts w:hint="eastAsia" w:ascii="仿宋" w:hAnsi="仿宋" w:eastAsia="仿宋" w:cs="Times New Roman"/>
        <w:b/>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1CFF0D29"/>
    <w:multiLevelType w:val="multilevel"/>
    <w:tmpl w:val="1CFF0D29"/>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2F1F7469"/>
    <w:multiLevelType w:val="multilevel"/>
    <w:tmpl w:val="2F1F7469"/>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38D91C14"/>
    <w:multiLevelType w:val="multilevel"/>
    <w:tmpl w:val="38D91C14"/>
    <w:lvl w:ilvl="0" w:tentative="0">
      <w:start w:val="1"/>
      <w:numFmt w:val="decimalEnclosedCircle"/>
      <w:lvlText w:val="%1"/>
      <w:lvlJc w:val="left"/>
      <w:pPr>
        <w:tabs>
          <w:tab w:val="left" w:pos="0"/>
        </w:tabs>
        <w:ind w:left="360" w:hanging="360"/>
      </w:pPr>
      <w:rPr>
        <w:rFonts w:hint="default"/>
      </w:rPr>
    </w:lvl>
    <w:lvl w:ilvl="1" w:tentative="0">
      <w:start w:val="1"/>
      <w:numFmt w:val="lowerLetter"/>
      <w:lvlText w:val="%2)"/>
      <w:lvlJc w:val="left"/>
      <w:pPr>
        <w:tabs>
          <w:tab w:val="left" w:pos="0"/>
        </w:tabs>
        <w:ind w:left="840" w:hanging="420"/>
      </w:pPr>
    </w:lvl>
    <w:lvl w:ilvl="2" w:tentative="0">
      <w:start w:val="1"/>
      <w:numFmt w:val="lowerRoman"/>
      <w:lvlText w:val="%3."/>
      <w:lvlJc w:val="right"/>
      <w:pPr>
        <w:tabs>
          <w:tab w:val="left" w:pos="0"/>
        </w:tabs>
        <w:ind w:left="1260" w:hanging="420"/>
      </w:pPr>
    </w:lvl>
    <w:lvl w:ilvl="3" w:tentative="0">
      <w:start w:val="1"/>
      <w:numFmt w:val="decimal"/>
      <w:lvlText w:val="%4."/>
      <w:lvlJc w:val="left"/>
      <w:pPr>
        <w:tabs>
          <w:tab w:val="left" w:pos="0"/>
        </w:tabs>
        <w:ind w:left="1680" w:hanging="420"/>
      </w:pPr>
    </w:lvl>
    <w:lvl w:ilvl="4" w:tentative="0">
      <w:start w:val="1"/>
      <w:numFmt w:val="lowerLetter"/>
      <w:lvlText w:val="%5)"/>
      <w:lvlJc w:val="left"/>
      <w:pPr>
        <w:tabs>
          <w:tab w:val="left" w:pos="0"/>
        </w:tabs>
        <w:ind w:left="2100" w:hanging="420"/>
      </w:pPr>
    </w:lvl>
    <w:lvl w:ilvl="5" w:tentative="0">
      <w:start w:val="1"/>
      <w:numFmt w:val="lowerRoman"/>
      <w:lvlText w:val="%6."/>
      <w:lvlJc w:val="right"/>
      <w:pPr>
        <w:tabs>
          <w:tab w:val="left" w:pos="0"/>
        </w:tabs>
        <w:ind w:left="2520" w:hanging="420"/>
      </w:pPr>
    </w:lvl>
    <w:lvl w:ilvl="6" w:tentative="0">
      <w:start w:val="1"/>
      <w:numFmt w:val="decimal"/>
      <w:lvlText w:val="%7."/>
      <w:lvlJc w:val="left"/>
      <w:pPr>
        <w:tabs>
          <w:tab w:val="left" w:pos="0"/>
        </w:tabs>
        <w:ind w:left="2940" w:hanging="420"/>
      </w:pPr>
    </w:lvl>
    <w:lvl w:ilvl="7" w:tentative="0">
      <w:start w:val="1"/>
      <w:numFmt w:val="lowerLetter"/>
      <w:lvlText w:val="%8)"/>
      <w:lvlJc w:val="left"/>
      <w:pPr>
        <w:tabs>
          <w:tab w:val="left" w:pos="0"/>
        </w:tabs>
        <w:ind w:left="3360" w:hanging="420"/>
      </w:pPr>
    </w:lvl>
    <w:lvl w:ilvl="8" w:tentative="0">
      <w:start w:val="1"/>
      <w:numFmt w:val="lowerRoman"/>
      <w:lvlText w:val="%9."/>
      <w:lvlJc w:val="right"/>
      <w:pPr>
        <w:tabs>
          <w:tab w:val="left" w:pos="0"/>
        </w:tabs>
        <w:ind w:left="3780" w:hanging="420"/>
      </w:pPr>
    </w:lvl>
  </w:abstractNum>
  <w:abstractNum w:abstractNumId="5">
    <w:nsid w:val="42F86A85"/>
    <w:multiLevelType w:val="multilevel"/>
    <w:tmpl w:val="42F86A85"/>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54333F4B"/>
    <w:multiLevelType w:val="singleLevel"/>
    <w:tmpl w:val="54333F4B"/>
    <w:lvl w:ilvl="0" w:tentative="0">
      <w:start w:val="3"/>
      <w:numFmt w:val="decimal"/>
      <w:suff w:val="space"/>
      <w:lvlText w:val="%1."/>
      <w:lvlJc w:val="left"/>
    </w:lvl>
  </w:abstractNum>
  <w:abstractNum w:abstractNumId="7">
    <w:nsid w:val="54866261"/>
    <w:multiLevelType w:val="singleLevel"/>
    <w:tmpl w:val="54866261"/>
    <w:lvl w:ilvl="0" w:tentative="0">
      <w:start w:val="4"/>
      <w:numFmt w:val="chineseCounting"/>
      <w:suff w:val="space"/>
      <w:lvlText w:val="第%1章"/>
      <w:lvlJc w:val="left"/>
    </w:lvl>
  </w:abstractNum>
  <w:abstractNum w:abstractNumId="8">
    <w:nsid w:val="559BA603"/>
    <w:multiLevelType w:val="singleLevel"/>
    <w:tmpl w:val="559BA603"/>
    <w:lvl w:ilvl="0" w:tentative="0">
      <w:start w:val="4"/>
      <w:numFmt w:val="chineseCounting"/>
      <w:suff w:val="nothing"/>
      <w:lvlText w:val="（%1）"/>
      <w:lvlJc w:val="left"/>
    </w:lvl>
  </w:abstractNum>
  <w:abstractNum w:abstractNumId="9">
    <w:nsid w:val="57BE6B08"/>
    <w:multiLevelType w:val="singleLevel"/>
    <w:tmpl w:val="57BE6B08"/>
    <w:lvl w:ilvl="0" w:tentative="0">
      <w:start w:val="1"/>
      <w:numFmt w:val="decimal"/>
      <w:suff w:val="nothing"/>
      <w:lvlText w:val="（%1）"/>
      <w:lvlJc w:val="left"/>
    </w:lvl>
  </w:abstractNum>
  <w:abstractNum w:abstractNumId="10">
    <w:nsid w:val="58270163"/>
    <w:multiLevelType w:val="singleLevel"/>
    <w:tmpl w:val="58270163"/>
    <w:lvl w:ilvl="0" w:tentative="0">
      <w:start w:val="3"/>
      <w:numFmt w:val="chineseCounting"/>
      <w:suff w:val="space"/>
      <w:lvlText w:val="第%1章"/>
      <w:lvlJc w:val="left"/>
    </w:lvl>
  </w:abstractNum>
  <w:abstractNum w:abstractNumId="11">
    <w:nsid w:val="585BBAA3"/>
    <w:multiLevelType w:val="singleLevel"/>
    <w:tmpl w:val="585BBAA3"/>
    <w:lvl w:ilvl="0" w:tentative="0">
      <w:start w:val="1"/>
      <w:numFmt w:val="decimal"/>
      <w:suff w:val="nothing"/>
      <w:lvlText w:val="（%1）"/>
      <w:lvlJc w:val="left"/>
    </w:lvl>
  </w:abstractNum>
  <w:abstractNum w:abstractNumId="12">
    <w:nsid w:val="585BBC73"/>
    <w:multiLevelType w:val="singleLevel"/>
    <w:tmpl w:val="585BBC73"/>
    <w:lvl w:ilvl="0" w:tentative="0">
      <w:start w:val="1"/>
      <w:numFmt w:val="decimal"/>
      <w:suff w:val="nothing"/>
      <w:lvlText w:val="%1、"/>
      <w:lvlJc w:val="left"/>
    </w:lvl>
  </w:abstractNum>
  <w:abstractNum w:abstractNumId="13">
    <w:nsid w:val="59F96587"/>
    <w:multiLevelType w:val="multilevel"/>
    <w:tmpl w:val="59F96587"/>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6DE9632E"/>
    <w:multiLevelType w:val="multilevel"/>
    <w:tmpl w:val="6DE9632E"/>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9"/>
  </w:num>
  <w:num w:numId="2">
    <w:abstractNumId w:val="10"/>
  </w:num>
  <w:num w:numId="3">
    <w:abstractNumId w:val="0"/>
  </w:num>
  <w:num w:numId="4">
    <w:abstractNumId w:val="12"/>
  </w:num>
  <w:num w:numId="5">
    <w:abstractNumId w:val="7"/>
  </w:num>
  <w:num w:numId="6">
    <w:abstractNumId w:val="6"/>
  </w:num>
  <w:num w:numId="7">
    <w:abstractNumId w:val="3"/>
  </w:num>
  <w:num w:numId="8">
    <w:abstractNumId w:val="4"/>
  </w:num>
  <w:num w:numId="9">
    <w:abstractNumId w:val="11"/>
  </w:num>
  <w:num w:numId="10">
    <w:abstractNumId w:val="13"/>
  </w:num>
  <w:num w:numId="11">
    <w:abstractNumId w:val="1"/>
  </w:num>
  <w:num w:numId="12">
    <w:abstractNumId w:val="8"/>
  </w:num>
  <w:num w:numId="13">
    <w:abstractNumId w:val="5"/>
    <w:lvlOverride w:ilvl="0">
      <w:startOverride w:val="1"/>
    </w:lvlOverride>
  </w:num>
  <w:num w:numId="14">
    <w:abstractNumId w:val="2"/>
    <w:lvlOverride w:ilvl="0">
      <w:startOverride w:val="1"/>
    </w:lvlOverride>
  </w:num>
  <w:num w:numId="15">
    <w:abstractNumId w:val="14"/>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0000"/>
    <w:rsid w:val="008567DC"/>
    <w:rsid w:val="0146280E"/>
    <w:rsid w:val="01B864E8"/>
    <w:rsid w:val="07D1220E"/>
    <w:rsid w:val="097A21A2"/>
    <w:rsid w:val="0ACB2C85"/>
    <w:rsid w:val="0DA13F76"/>
    <w:rsid w:val="10E1782A"/>
    <w:rsid w:val="14991B49"/>
    <w:rsid w:val="16D67FC4"/>
    <w:rsid w:val="184A6677"/>
    <w:rsid w:val="1E1334D2"/>
    <w:rsid w:val="1FC905AE"/>
    <w:rsid w:val="20C70558"/>
    <w:rsid w:val="283469BE"/>
    <w:rsid w:val="31530850"/>
    <w:rsid w:val="33701E30"/>
    <w:rsid w:val="36454D83"/>
    <w:rsid w:val="3755306C"/>
    <w:rsid w:val="3EEF7369"/>
    <w:rsid w:val="3F835C52"/>
    <w:rsid w:val="426F4E5C"/>
    <w:rsid w:val="4A182ACF"/>
    <w:rsid w:val="50797065"/>
    <w:rsid w:val="53D84E1F"/>
    <w:rsid w:val="568039DB"/>
    <w:rsid w:val="59C8781F"/>
    <w:rsid w:val="607958AF"/>
    <w:rsid w:val="619D002E"/>
    <w:rsid w:val="69D946A2"/>
    <w:rsid w:val="6D3A7817"/>
    <w:rsid w:val="6F505867"/>
    <w:rsid w:val="7A5F37D6"/>
  </w:rsids>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5"/>
    <w:qFormat/>
    <w:uiPriority w:val="0"/>
    <w:pPr>
      <w:keepNext/>
      <w:keepLines/>
      <w:spacing w:before="340" w:after="330" w:line="576" w:lineRule="auto"/>
      <w:outlineLvl w:val="0"/>
    </w:pPr>
    <w:rPr>
      <w:b/>
      <w:bCs/>
      <w:kern w:val="44"/>
      <w:sz w:val="44"/>
      <w:szCs w:val="44"/>
    </w:rPr>
  </w:style>
  <w:style w:type="paragraph" w:styleId="3">
    <w:name w:val="heading 2"/>
    <w:basedOn w:val="1"/>
    <w:next w:val="1"/>
    <w:link w:val="56"/>
    <w:qFormat/>
    <w:uiPriority w:val="0"/>
    <w:pPr>
      <w:keepNext/>
      <w:keepLines/>
      <w:spacing w:before="260" w:after="260" w:line="415" w:lineRule="auto"/>
      <w:outlineLvl w:val="1"/>
    </w:pPr>
    <w:rPr>
      <w:rFonts w:ascii="Arial" w:hAnsi="Arial" w:eastAsia="黑体"/>
      <w:b/>
      <w:bCs/>
      <w:sz w:val="32"/>
      <w:szCs w:val="32"/>
    </w:rPr>
  </w:style>
  <w:style w:type="paragraph" w:styleId="4">
    <w:name w:val="heading 3"/>
    <w:basedOn w:val="1"/>
    <w:next w:val="1"/>
    <w:qFormat/>
    <w:uiPriority w:val="0"/>
    <w:pPr>
      <w:keepNext/>
      <w:keepLines/>
      <w:spacing w:before="260" w:after="260" w:line="415" w:lineRule="auto"/>
      <w:outlineLvl w:val="2"/>
    </w:pPr>
    <w:rPr>
      <w:b/>
      <w:bCs/>
      <w:sz w:val="32"/>
      <w:szCs w:val="32"/>
    </w:rPr>
  </w:style>
  <w:style w:type="paragraph" w:styleId="5">
    <w:name w:val="heading 4"/>
    <w:basedOn w:val="1"/>
    <w:next w:val="1"/>
    <w:qFormat/>
    <w:uiPriority w:val="0"/>
    <w:pPr>
      <w:keepNext/>
      <w:keepLines/>
      <w:spacing w:before="280" w:after="290" w:line="374" w:lineRule="auto"/>
      <w:outlineLvl w:val="3"/>
    </w:pPr>
    <w:rPr>
      <w:rFonts w:ascii="Arial" w:hAnsi="Arial" w:eastAsia="黑体"/>
      <w:b/>
      <w:bCs/>
      <w:sz w:val="28"/>
      <w:szCs w:val="28"/>
    </w:rPr>
  </w:style>
  <w:style w:type="paragraph" w:styleId="6">
    <w:name w:val="heading 6"/>
    <w:basedOn w:val="1"/>
    <w:next w:val="1"/>
    <w:qFormat/>
    <w:uiPriority w:val="0"/>
    <w:pPr>
      <w:keepNext/>
      <w:keepLines/>
      <w:widowControl/>
      <w:tabs>
        <w:tab w:val="left" w:pos="1440"/>
      </w:tabs>
      <w:spacing w:before="240" w:after="64" w:line="319" w:lineRule="auto"/>
      <w:ind w:left="1152" w:hanging="1152"/>
      <w:jc w:val="left"/>
      <w:outlineLvl w:val="5"/>
    </w:pPr>
    <w:rPr>
      <w:rFonts w:ascii="Arial" w:hAnsi="Arial" w:eastAsia="黑体"/>
      <w:b/>
      <w:bCs/>
      <w:kern w:val="0"/>
      <w:sz w:val="24"/>
    </w:rPr>
  </w:style>
  <w:style w:type="paragraph" w:styleId="7">
    <w:name w:val="heading 7"/>
    <w:basedOn w:val="1"/>
    <w:next w:val="1"/>
    <w:qFormat/>
    <w:uiPriority w:val="0"/>
    <w:pPr>
      <w:keepNext/>
      <w:keepLines/>
      <w:widowControl/>
      <w:tabs>
        <w:tab w:val="left" w:pos="2520"/>
      </w:tabs>
      <w:spacing w:before="240" w:after="64" w:line="319" w:lineRule="auto"/>
      <w:ind w:left="1296" w:hanging="1296"/>
      <w:jc w:val="left"/>
      <w:outlineLvl w:val="6"/>
    </w:pPr>
    <w:rPr>
      <w:b/>
      <w:bCs/>
      <w:kern w:val="0"/>
      <w:sz w:val="24"/>
    </w:rPr>
  </w:style>
  <w:style w:type="paragraph" w:styleId="8">
    <w:name w:val="heading 8"/>
    <w:basedOn w:val="1"/>
    <w:next w:val="1"/>
    <w:qFormat/>
    <w:uiPriority w:val="0"/>
    <w:pPr>
      <w:keepNext/>
      <w:keepLines/>
      <w:widowControl/>
      <w:tabs>
        <w:tab w:val="left" w:pos="1440"/>
      </w:tabs>
      <w:spacing w:before="240" w:after="64" w:line="319" w:lineRule="auto"/>
      <w:ind w:left="1440" w:hanging="1440"/>
      <w:jc w:val="left"/>
      <w:outlineLvl w:val="7"/>
    </w:pPr>
    <w:rPr>
      <w:rFonts w:ascii="Arial" w:hAnsi="Arial" w:eastAsia="黑体"/>
      <w:kern w:val="0"/>
      <w:sz w:val="24"/>
    </w:rPr>
  </w:style>
  <w:style w:type="paragraph" w:styleId="9">
    <w:name w:val="heading 9"/>
    <w:basedOn w:val="1"/>
    <w:next w:val="1"/>
    <w:qFormat/>
    <w:uiPriority w:val="0"/>
    <w:pPr>
      <w:keepNext/>
      <w:keepLines/>
      <w:widowControl/>
      <w:tabs>
        <w:tab w:val="left" w:pos="1584"/>
      </w:tabs>
      <w:spacing w:before="240" w:after="64" w:line="319" w:lineRule="auto"/>
      <w:ind w:left="1584" w:hanging="1584"/>
      <w:jc w:val="left"/>
      <w:outlineLvl w:val="8"/>
    </w:pPr>
    <w:rPr>
      <w:rFonts w:ascii="Arial" w:hAnsi="Arial" w:eastAsia="黑体"/>
      <w:kern w:val="0"/>
      <w:szCs w:val="21"/>
    </w:rPr>
  </w:style>
  <w:style w:type="character" w:default="1" w:styleId="35">
    <w:name w:val="Default Paragraph Font"/>
    <w:unhideWhenUsed/>
    <w:qFormat/>
    <w:uiPriority w:val="1"/>
  </w:style>
  <w:style w:type="table" w:default="1" w:styleId="41">
    <w:name w:val="Normal Table"/>
    <w:unhideWhenUsed/>
    <w:qFormat/>
    <w:uiPriority w:val="99"/>
    <w:tblPr>
      <w:tblLayout w:type="fixed"/>
      <w:tblCellMar>
        <w:top w:w="0" w:type="dxa"/>
        <w:left w:w="108" w:type="dxa"/>
        <w:bottom w:w="0" w:type="dxa"/>
        <w:right w:w="108" w:type="dxa"/>
      </w:tblCellMar>
    </w:tblPr>
    <w:tcPr>
      <w:textDirection w:val="lrTb"/>
    </w:tcPr>
  </w:style>
  <w:style w:type="paragraph" w:styleId="10">
    <w:name w:val="annotation subject"/>
    <w:basedOn w:val="11"/>
    <w:next w:val="11"/>
    <w:qFormat/>
    <w:uiPriority w:val="0"/>
    <w:rPr>
      <w:b/>
      <w:bCs/>
    </w:rPr>
  </w:style>
  <w:style w:type="paragraph" w:styleId="11">
    <w:name w:val="annotation text"/>
    <w:basedOn w:val="1"/>
    <w:link w:val="61"/>
    <w:qFormat/>
    <w:uiPriority w:val="0"/>
    <w:pPr>
      <w:jc w:val="left"/>
    </w:pPr>
  </w:style>
  <w:style w:type="paragraph" w:styleId="12">
    <w:name w:val="toc 7"/>
    <w:basedOn w:val="1"/>
    <w:next w:val="1"/>
    <w:qFormat/>
    <w:uiPriority w:val="0"/>
    <w:pPr>
      <w:ind w:left="1260"/>
      <w:jc w:val="left"/>
    </w:pPr>
    <w:rPr>
      <w:sz w:val="18"/>
      <w:szCs w:val="18"/>
    </w:rPr>
  </w:style>
  <w:style w:type="paragraph" w:styleId="13">
    <w:name w:val="Normal Indent"/>
    <w:basedOn w:val="1"/>
    <w:qFormat/>
    <w:uiPriority w:val="0"/>
    <w:pPr>
      <w:ind w:firstLine="420" w:firstLineChars="200"/>
    </w:pPr>
  </w:style>
  <w:style w:type="paragraph" w:styleId="14">
    <w:name w:val="Document Map"/>
    <w:basedOn w:val="1"/>
    <w:qFormat/>
    <w:uiPriority w:val="0"/>
    <w:pPr>
      <w:shd w:val="clear" w:color="auto" w:fill="000080"/>
    </w:pPr>
  </w:style>
  <w:style w:type="paragraph" w:styleId="15">
    <w:name w:val="Body Text 3"/>
    <w:basedOn w:val="1"/>
    <w:qFormat/>
    <w:uiPriority w:val="0"/>
    <w:rPr>
      <w:rFonts w:ascii="宋体"/>
      <w:sz w:val="24"/>
      <w:szCs w:val="20"/>
    </w:rPr>
  </w:style>
  <w:style w:type="paragraph" w:styleId="16">
    <w:name w:val="Body Text"/>
    <w:basedOn w:val="1"/>
    <w:qFormat/>
    <w:uiPriority w:val="0"/>
    <w:pPr>
      <w:spacing w:after="120"/>
    </w:pPr>
  </w:style>
  <w:style w:type="paragraph" w:styleId="17">
    <w:name w:val="Body Text Indent"/>
    <w:basedOn w:val="1"/>
    <w:qFormat/>
    <w:uiPriority w:val="0"/>
    <w:pPr>
      <w:spacing w:after="120"/>
      <w:ind w:left="420" w:leftChars="200"/>
    </w:pPr>
  </w:style>
  <w:style w:type="paragraph" w:styleId="18">
    <w:name w:val="toc 5"/>
    <w:basedOn w:val="1"/>
    <w:next w:val="1"/>
    <w:qFormat/>
    <w:uiPriority w:val="0"/>
    <w:pPr>
      <w:ind w:left="840"/>
      <w:jc w:val="left"/>
    </w:pPr>
    <w:rPr>
      <w:sz w:val="18"/>
      <w:szCs w:val="18"/>
    </w:rPr>
  </w:style>
  <w:style w:type="paragraph" w:styleId="19">
    <w:name w:val="toc 3"/>
    <w:basedOn w:val="1"/>
    <w:next w:val="1"/>
    <w:qFormat/>
    <w:uiPriority w:val="0"/>
    <w:pPr>
      <w:ind w:left="420"/>
      <w:jc w:val="left"/>
    </w:pPr>
    <w:rPr>
      <w:iCs/>
      <w:sz w:val="20"/>
      <w:szCs w:val="20"/>
    </w:rPr>
  </w:style>
  <w:style w:type="paragraph" w:styleId="20">
    <w:name w:val="Plain Text"/>
    <w:basedOn w:val="1"/>
    <w:qFormat/>
    <w:uiPriority w:val="0"/>
    <w:rPr>
      <w:rFonts w:ascii="Courier New" w:hAnsi="Courier New"/>
      <w:szCs w:val="20"/>
    </w:rPr>
  </w:style>
  <w:style w:type="paragraph" w:styleId="21">
    <w:name w:val="toc 8"/>
    <w:basedOn w:val="1"/>
    <w:next w:val="1"/>
    <w:qFormat/>
    <w:uiPriority w:val="0"/>
    <w:pPr>
      <w:ind w:left="1470"/>
      <w:jc w:val="left"/>
    </w:pPr>
    <w:rPr>
      <w:sz w:val="18"/>
      <w:szCs w:val="18"/>
    </w:rPr>
  </w:style>
  <w:style w:type="paragraph" w:styleId="22">
    <w:name w:val="Date"/>
    <w:basedOn w:val="1"/>
    <w:next w:val="1"/>
    <w:qFormat/>
    <w:uiPriority w:val="0"/>
    <w:rPr>
      <w:sz w:val="24"/>
      <w:szCs w:val="20"/>
    </w:rPr>
  </w:style>
  <w:style w:type="paragraph" w:styleId="23">
    <w:name w:val="Balloon Text"/>
    <w:basedOn w:val="1"/>
    <w:qFormat/>
    <w:uiPriority w:val="0"/>
    <w:rPr>
      <w:sz w:val="18"/>
      <w:szCs w:val="18"/>
    </w:rPr>
  </w:style>
  <w:style w:type="paragraph" w:styleId="24">
    <w:name w:val="footer"/>
    <w:basedOn w:val="1"/>
    <w:qFormat/>
    <w:uiPriority w:val="0"/>
    <w:pPr>
      <w:tabs>
        <w:tab w:val="center" w:pos="4153"/>
        <w:tab w:val="right" w:pos="8306"/>
      </w:tabs>
      <w:snapToGrid w:val="0"/>
      <w:jc w:val="left"/>
    </w:pPr>
    <w:rPr>
      <w:sz w:val="18"/>
      <w:szCs w:val="18"/>
    </w:rPr>
  </w:style>
  <w:style w:type="paragraph" w:styleId="2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26">
    <w:name w:val="toc 1"/>
    <w:basedOn w:val="1"/>
    <w:next w:val="1"/>
    <w:qFormat/>
    <w:uiPriority w:val="0"/>
    <w:pPr>
      <w:spacing w:before="120" w:after="120"/>
      <w:jc w:val="left"/>
    </w:pPr>
    <w:rPr>
      <w:b/>
      <w:bCs/>
      <w:caps/>
      <w:sz w:val="20"/>
      <w:szCs w:val="20"/>
    </w:rPr>
  </w:style>
  <w:style w:type="paragraph" w:styleId="27">
    <w:name w:val="toc 4"/>
    <w:basedOn w:val="1"/>
    <w:next w:val="1"/>
    <w:qFormat/>
    <w:uiPriority w:val="0"/>
    <w:pPr>
      <w:ind w:left="630"/>
      <w:jc w:val="left"/>
    </w:pPr>
    <w:rPr>
      <w:sz w:val="18"/>
      <w:szCs w:val="18"/>
    </w:rPr>
  </w:style>
  <w:style w:type="paragraph" w:styleId="28">
    <w:name w:val="footnote text"/>
    <w:basedOn w:val="1"/>
    <w:qFormat/>
    <w:uiPriority w:val="0"/>
    <w:rPr>
      <w:sz w:val="20"/>
      <w:szCs w:val="20"/>
    </w:rPr>
  </w:style>
  <w:style w:type="paragraph" w:styleId="29">
    <w:name w:val="toc 6"/>
    <w:basedOn w:val="1"/>
    <w:next w:val="1"/>
    <w:qFormat/>
    <w:uiPriority w:val="0"/>
    <w:pPr>
      <w:ind w:left="1050"/>
      <w:jc w:val="left"/>
    </w:pPr>
    <w:rPr>
      <w:sz w:val="18"/>
      <w:szCs w:val="18"/>
    </w:rPr>
  </w:style>
  <w:style w:type="paragraph" w:styleId="30">
    <w:name w:val="Body Text Indent 3"/>
    <w:basedOn w:val="1"/>
    <w:qFormat/>
    <w:uiPriority w:val="0"/>
    <w:pPr>
      <w:spacing w:after="120"/>
      <w:ind w:left="420" w:leftChars="200"/>
    </w:pPr>
    <w:rPr>
      <w:sz w:val="16"/>
      <w:szCs w:val="16"/>
    </w:rPr>
  </w:style>
  <w:style w:type="paragraph" w:styleId="31">
    <w:name w:val="table of figures"/>
    <w:basedOn w:val="1"/>
    <w:next w:val="1"/>
    <w:qFormat/>
    <w:uiPriority w:val="0"/>
    <w:pPr>
      <w:ind w:left="200" w:leftChars="200" w:hanging="200" w:hangingChars="200"/>
    </w:pPr>
  </w:style>
  <w:style w:type="paragraph" w:styleId="32">
    <w:name w:val="toc 2"/>
    <w:basedOn w:val="1"/>
    <w:next w:val="1"/>
    <w:qFormat/>
    <w:uiPriority w:val="0"/>
    <w:pPr>
      <w:ind w:left="210"/>
      <w:jc w:val="left"/>
    </w:pPr>
    <w:rPr>
      <w:smallCaps/>
      <w:sz w:val="20"/>
      <w:szCs w:val="20"/>
    </w:rPr>
  </w:style>
  <w:style w:type="paragraph" w:styleId="33">
    <w:name w:val="toc 9"/>
    <w:basedOn w:val="1"/>
    <w:next w:val="1"/>
    <w:qFormat/>
    <w:uiPriority w:val="0"/>
    <w:pPr>
      <w:ind w:left="1680"/>
      <w:jc w:val="left"/>
    </w:pPr>
    <w:rPr>
      <w:sz w:val="18"/>
      <w:szCs w:val="18"/>
    </w:rPr>
  </w:style>
  <w:style w:type="paragraph" w:styleId="34">
    <w:name w:val="Title"/>
    <w:basedOn w:val="1"/>
    <w:qFormat/>
    <w:uiPriority w:val="0"/>
    <w:pPr>
      <w:adjustRightInd w:val="0"/>
      <w:spacing w:before="240" w:after="60" w:line="420" w:lineRule="atLeast"/>
      <w:jc w:val="center"/>
      <w:textAlignment w:val="baseline"/>
      <w:outlineLvl w:val="0"/>
    </w:pPr>
    <w:rPr>
      <w:rFonts w:ascii="Arial" w:hAnsi="Arial"/>
      <w:b/>
      <w:kern w:val="0"/>
      <w:sz w:val="32"/>
      <w:szCs w:val="20"/>
    </w:rPr>
  </w:style>
  <w:style w:type="character" w:styleId="36">
    <w:name w:val="page number"/>
    <w:basedOn w:val="35"/>
    <w:qFormat/>
    <w:uiPriority w:val="0"/>
  </w:style>
  <w:style w:type="character" w:styleId="37">
    <w:name w:val="FollowedHyperlink"/>
    <w:qFormat/>
    <w:uiPriority w:val="0"/>
    <w:rPr>
      <w:color w:val="800080"/>
      <w:u w:val="single"/>
    </w:rPr>
  </w:style>
  <w:style w:type="character" w:styleId="38">
    <w:name w:val="Hyperlink"/>
    <w:qFormat/>
    <w:uiPriority w:val="0"/>
    <w:rPr>
      <w:color w:val="0000FF"/>
      <w:u w:val="single"/>
    </w:rPr>
  </w:style>
  <w:style w:type="character" w:styleId="39">
    <w:name w:val="annotation reference"/>
    <w:qFormat/>
    <w:uiPriority w:val="0"/>
    <w:rPr>
      <w:sz w:val="21"/>
      <w:szCs w:val="21"/>
    </w:rPr>
  </w:style>
  <w:style w:type="character" w:styleId="40">
    <w:name w:val="footnote reference"/>
    <w:qFormat/>
    <w:uiPriority w:val="0"/>
    <w:rPr>
      <w:vertAlign w:val="superscript"/>
    </w:rPr>
  </w:style>
  <w:style w:type="paragraph" w:customStyle="1" w:styleId="42">
    <w:name w:val="表格文字"/>
    <w:basedOn w:val="1"/>
    <w:qFormat/>
    <w:uiPriority w:val="0"/>
    <w:pPr>
      <w:adjustRightInd w:val="0"/>
      <w:spacing w:line="420" w:lineRule="atLeast"/>
      <w:jc w:val="left"/>
      <w:textAlignment w:val="baseline"/>
    </w:pPr>
    <w:rPr>
      <w:kern w:val="0"/>
      <w:szCs w:val="20"/>
    </w:rPr>
  </w:style>
  <w:style w:type="paragraph" w:customStyle="1" w:styleId="43">
    <w:name w:val="1"/>
    <w:basedOn w:val="1"/>
    <w:next w:val="1"/>
    <w:qFormat/>
    <w:uiPriority w:val="0"/>
  </w:style>
  <w:style w:type="paragraph" w:customStyle="1" w:styleId="44">
    <w:name w:val="样式4"/>
    <w:basedOn w:val="4"/>
    <w:qFormat/>
    <w:uiPriority w:val="0"/>
    <w:rPr>
      <w:rFonts w:eastAsia="Arial"/>
    </w:rPr>
  </w:style>
  <w:style w:type="paragraph" w:customStyle="1" w:styleId="45">
    <w:name w:val="p0"/>
    <w:basedOn w:val="1"/>
    <w:qFormat/>
    <w:uiPriority w:val="0"/>
    <w:pPr>
      <w:widowControl/>
      <w:ind w:firstLine="420"/>
      <w:jc w:val="left"/>
    </w:pPr>
    <w:rPr>
      <w:kern w:val="0"/>
      <w:sz w:val="20"/>
      <w:szCs w:val="20"/>
    </w:rPr>
  </w:style>
  <w:style w:type="paragraph" w:customStyle="1" w:styleId="46">
    <w:name w:val="样式3"/>
    <w:basedOn w:val="4"/>
    <w:qFormat/>
    <w:uiPriority w:val="0"/>
    <w:rPr>
      <w:rFonts w:eastAsia="Arial"/>
    </w:rPr>
  </w:style>
  <w:style w:type="paragraph" w:customStyle="1" w:styleId="47">
    <w:name w:val="样式 标题 3 + (中文) 黑体 小四 非加粗 段前: 7.8 磅 段后: 0 磅 行距: 固定值 20 磅"/>
    <w:basedOn w:val="4"/>
    <w:qFormat/>
    <w:uiPriority w:val="0"/>
    <w:pPr>
      <w:spacing w:before="0" w:after="0" w:line="400" w:lineRule="exact"/>
    </w:pPr>
    <w:rPr>
      <w:rFonts w:eastAsia="黑体" w:cs="宋体"/>
      <w:b w:val="0"/>
      <w:bCs w:val="0"/>
      <w:sz w:val="24"/>
      <w:szCs w:val="20"/>
    </w:rPr>
  </w:style>
  <w:style w:type="paragraph" w:customStyle="1" w:styleId="48">
    <w:name w:val="表格"/>
    <w:basedOn w:val="1"/>
    <w:qFormat/>
    <w:uiPriority w:val="0"/>
    <w:pPr>
      <w:jc w:val="center"/>
      <w:textAlignment w:val="center"/>
    </w:pPr>
    <w:rPr>
      <w:rFonts w:ascii="华文细黑" w:hAnsi="华文细黑"/>
      <w:kern w:val="0"/>
      <w:szCs w:val="20"/>
    </w:rPr>
  </w:style>
  <w:style w:type="paragraph" w:customStyle="1" w:styleId="49">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50">
    <w:name w:val="样式 标题 1 + 黑体 三号 非加粗 居中 段前: 6 磅 段后: 6 磅 行距: 固定值 20 磅"/>
    <w:basedOn w:val="2"/>
    <w:qFormat/>
    <w:uiPriority w:val="0"/>
    <w:pPr>
      <w:spacing w:before="120" w:after="120" w:line="400" w:lineRule="exact"/>
      <w:jc w:val="center"/>
    </w:pPr>
    <w:rPr>
      <w:rFonts w:ascii="黑体" w:hAnsi="黑体" w:eastAsia="黑体" w:cs="宋体"/>
      <w:b w:val="0"/>
      <w:bCs w:val="0"/>
      <w:sz w:val="32"/>
      <w:szCs w:val="20"/>
    </w:rPr>
  </w:style>
  <w:style w:type="paragraph" w:customStyle="1" w:styleId="51">
    <w:name w:val="样式1"/>
    <w:basedOn w:val="4"/>
    <w:qFormat/>
    <w:uiPriority w:val="0"/>
    <w:rPr>
      <w:rFonts w:eastAsia="Arial"/>
    </w:rPr>
  </w:style>
  <w:style w:type="paragraph" w:customStyle="1" w:styleId="52">
    <w:name w:val="样式2"/>
    <w:basedOn w:val="4"/>
    <w:qFormat/>
    <w:uiPriority w:val="0"/>
  </w:style>
  <w:style w:type="paragraph" w:customStyle="1" w:styleId="53">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paragraph" w:customStyle="1" w:styleId="54">
    <w:name w:val="Char"/>
    <w:basedOn w:val="1"/>
    <w:qFormat/>
    <w:uiPriority w:val="0"/>
    <w:pPr>
      <w:tabs>
        <w:tab w:val="left" w:pos="360"/>
      </w:tabs>
    </w:pPr>
    <w:rPr>
      <w:sz w:val="24"/>
    </w:rPr>
  </w:style>
  <w:style w:type="character" w:customStyle="1" w:styleId="55">
    <w:name w:val="标题 1 Char Char"/>
    <w:link w:val="2"/>
    <w:qFormat/>
    <w:uiPriority w:val="0"/>
    <w:rPr>
      <w:rFonts w:eastAsia="宋体"/>
      <w:b/>
      <w:bCs/>
      <w:kern w:val="44"/>
      <w:sz w:val="44"/>
      <w:szCs w:val="44"/>
      <w:lang w:val="en-US" w:eastAsia="zh-CN" w:bidi="ar-SA"/>
    </w:rPr>
  </w:style>
  <w:style w:type="character" w:customStyle="1" w:styleId="56">
    <w:name w:val="标题 2 Char Char"/>
    <w:link w:val="3"/>
    <w:qFormat/>
    <w:uiPriority w:val="0"/>
    <w:rPr>
      <w:rFonts w:ascii="Arial" w:hAnsi="Arial" w:eastAsia="黑体"/>
      <w:b/>
      <w:bCs/>
      <w:kern w:val="2"/>
      <w:sz w:val="32"/>
      <w:szCs w:val="32"/>
      <w:lang w:val="en-US" w:eastAsia="zh-CN" w:bidi="ar-SA"/>
    </w:rPr>
  </w:style>
  <w:style w:type="character" w:customStyle="1" w:styleId="57">
    <w:name w:val="Char Char8"/>
    <w:qFormat/>
    <w:uiPriority w:val="0"/>
    <w:rPr>
      <w:rFonts w:ascii="Arial" w:hAnsi="Arial" w:eastAsia="黑体"/>
      <w:b/>
      <w:bCs/>
      <w:kern w:val="2"/>
      <w:sz w:val="32"/>
      <w:szCs w:val="32"/>
      <w:lang w:val="en-US" w:eastAsia="zh-CN" w:bidi="ar-SA"/>
    </w:rPr>
  </w:style>
  <w:style w:type="character" w:customStyle="1" w:styleId="58">
    <w:name w:val="font161"/>
    <w:qFormat/>
    <w:uiPriority w:val="0"/>
    <w:rPr>
      <w:b/>
      <w:bCs/>
      <w:sz w:val="32"/>
      <w:szCs w:val="32"/>
    </w:rPr>
  </w:style>
  <w:style w:type="character" w:customStyle="1" w:styleId="59">
    <w:name w:val="Char Char7"/>
    <w:qFormat/>
    <w:uiPriority w:val="0"/>
    <w:rPr>
      <w:rFonts w:ascii="Arial" w:hAnsi="Arial" w:eastAsia="黑体"/>
      <w:b/>
      <w:bCs/>
      <w:kern w:val="2"/>
      <w:sz w:val="32"/>
      <w:szCs w:val="32"/>
      <w:lang w:val="en-US" w:eastAsia="zh-CN" w:bidi="ar-SA"/>
    </w:rPr>
  </w:style>
  <w:style w:type="character" w:customStyle="1" w:styleId="60">
    <w:name w:val="Char Char2"/>
    <w:qFormat/>
    <w:uiPriority w:val="0"/>
    <w:rPr>
      <w:rFonts w:eastAsia="宋体"/>
      <w:kern w:val="2"/>
      <w:sz w:val="21"/>
      <w:szCs w:val="24"/>
      <w:lang w:val="en-US" w:eastAsia="zh-CN" w:bidi="ar-SA"/>
    </w:rPr>
  </w:style>
  <w:style w:type="character" w:customStyle="1" w:styleId="61">
    <w:name w:val="批注文字 Char Char"/>
    <w:link w:val="11"/>
    <w:qFormat/>
    <w:uiPriority w:val="0"/>
    <w:rPr>
      <w:rFonts w:eastAsia="宋体"/>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e510</Company>
  <Pages>91</Pages>
  <Words>7783</Words>
  <Characters>44365</Characters>
  <Lines>369</Lines>
  <Paragraphs>104</Paragraphs>
  <ScaleCrop>false</ScaleCrop>
  <LinksUpToDate>false</LinksUpToDate>
  <CharactersWithSpaces>0</CharactersWithSpaces>
  <Application>WPS Office_10.1.0.6028_F1E327BC-269C-435d-A152-05C5408002CA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2016-11-29T08:20:00Z</dcterms:created>
  <dc:creator>e510</dc:creator>
  <cp:lastModifiedBy>Administrator</cp:lastModifiedBy>
  <cp:lastPrinted>2016-12-02T02:06:00Z</cp:lastPrinted>
  <dcterms:modified xsi:type="dcterms:W3CDTF">2016-12-23T01:37:25Z</dcterms:modified>
  <dc:title>中华人民共和国</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2052-10.1.0.6028</vt:lpwstr>
  </property>
</Properties>
</file>