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493" w:type="dxa"/>
        <w:jc w:val="center"/>
        <w:tblCellSpacing w:w="0" w:type="dxa"/>
        <w:tblInd w:w="-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45" w:type="dxa"/>
          <w:left w:w="45" w:type="dxa"/>
          <w:bottom w:w="45" w:type="dxa"/>
          <w:right w:w="45" w:type="dxa"/>
        </w:tblCellMar>
      </w:tblPr>
      <w:tblGrid>
        <w:gridCol w:w="8493"/>
      </w:tblGrid>
      <w:tr>
        <w:trPr>
          <w:trHeight w:val="300" w:hRule="atLeast"/>
          <w:tblCellSpacing w:w="0" w:type="dxa"/>
          <w:jc w:val="center"/>
        </w:trPr>
        <w:tc>
          <w:tcPr>
            <w:tcW w:w="8493" w:type="dxa"/>
            <w:tcMar>
              <w:top w:w="120" w:type="dxa"/>
              <w:left w:w="45" w:type="dxa"/>
              <w:bottom w:w="45" w:type="dxa"/>
              <w:right w:w="45" w:type="dxa"/>
            </w:tcMar>
            <w:vAlign w:val="center"/>
          </w:tcPr>
          <w:p>
            <w:pPr>
              <w:spacing w:line="480" w:lineRule="exact"/>
              <w:jc w:val="center"/>
              <w:rPr>
                <w:rFonts w:ascii="仿宋" w:hAnsi="仿宋" w:eastAsia="仿宋" w:cs="仿宋"/>
                <w:b/>
                <w:sz w:val="28"/>
                <w:szCs w:val="28"/>
              </w:rPr>
            </w:pPr>
            <w:r>
              <w:rPr>
                <w:rFonts w:hint="eastAsia" w:ascii="仿宋" w:hAnsi="仿宋" w:eastAsia="仿宋" w:cs="仿宋"/>
                <w:b/>
                <w:sz w:val="28"/>
                <w:szCs w:val="28"/>
              </w:rPr>
              <w:t>温县公共资源交易平台采购项目询价公告</w:t>
            </w:r>
          </w:p>
          <w:p>
            <w:pPr>
              <w:spacing w:line="480" w:lineRule="exact"/>
              <w:ind w:firstLine="700" w:firstLineChars="250"/>
              <w:jc w:val="left"/>
              <w:rPr>
                <w:rFonts w:ascii="仿宋" w:hAnsi="仿宋" w:eastAsia="仿宋" w:cs="仿宋"/>
                <w:sz w:val="28"/>
                <w:szCs w:val="28"/>
              </w:rPr>
            </w:pPr>
            <w:r>
              <w:rPr>
                <w:rFonts w:hint="eastAsia" w:ascii="仿宋" w:hAnsi="仿宋" w:eastAsia="仿宋" w:cs="仿宋"/>
                <w:sz w:val="28"/>
                <w:szCs w:val="28"/>
              </w:rPr>
              <w:t>中科高盛咨询集团有限公司受温县公共资源交易中心委托，就温县公共资源交易平台采购项目以询价方式进行采购，现欢迎符合相关条件的供应商参加。</w:t>
            </w:r>
          </w:p>
          <w:p>
            <w:pPr>
              <w:spacing w:line="480" w:lineRule="exact"/>
              <w:rPr>
                <w:rFonts w:ascii="仿宋" w:hAnsi="仿宋" w:eastAsia="仿宋" w:cs="仿宋"/>
                <w:sz w:val="28"/>
                <w:szCs w:val="28"/>
              </w:rPr>
            </w:pPr>
            <w:r>
              <w:rPr>
                <w:rFonts w:hint="eastAsia" w:ascii="仿宋" w:hAnsi="仿宋" w:eastAsia="仿宋" w:cs="仿宋"/>
                <w:sz w:val="28"/>
                <w:szCs w:val="28"/>
              </w:rPr>
              <w:t xml:space="preserve">一、采购项目名称：温县公共资源交易平台采购项目 </w:t>
            </w:r>
            <w:r>
              <w:rPr>
                <w:rFonts w:ascii="仿宋" w:hAnsi="仿宋" w:eastAsia="仿宋" w:cs="仿宋"/>
                <w:sz w:val="28"/>
                <w:szCs w:val="28"/>
              </w:rPr>
              <w:t xml:space="preserve"> </w:t>
            </w:r>
          </w:p>
          <w:p>
            <w:pPr>
              <w:spacing w:line="480" w:lineRule="exact"/>
              <w:jc w:val="left"/>
              <w:rPr>
                <w:rFonts w:ascii="仿宋" w:hAnsi="仿宋" w:eastAsia="仿宋" w:cs="仿宋"/>
                <w:sz w:val="28"/>
                <w:szCs w:val="28"/>
              </w:rPr>
            </w:pPr>
            <w:r>
              <w:rPr>
                <w:rFonts w:hint="eastAsia" w:ascii="仿宋" w:hAnsi="仿宋" w:eastAsia="仿宋" w:cs="仿宋"/>
                <w:sz w:val="28"/>
                <w:szCs w:val="28"/>
              </w:rPr>
              <w:t>二、项目编号：温交易[2016]198-1号              </w:t>
            </w:r>
          </w:p>
          <w:p>
            <w:pPr>
              <w:spacing w:line="480" w:lineRule="exact"/>
              <w:rPr>
                <w:rFonts w:ascii="仿宋" w:hAnsi="仿宋" w:eastAsia="仿宋" w:cs="仿宋"/>
                <w:sz w:val="28"/>
                <w:szCs w:val="28"/>
              </w:rPr>
            </w:pPr>
            <w:r>
              <w:rPr>
                <w:rFonts w:hint="eastAsia" w:ascii="仿宋" w:hAnsi="仿宋" w:eastAsia="仿宋" w:cs="仿宋"/>
                <w:sz w:val="28"/>
                <w:szCs w:val="28"/>
              </w:rPr>
              <w:t>三、采购项目简要说明：</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1、采购内容：监控交换机、网络监听拼接大屏、控制键盘、解码器等。</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2、预算金额： 415100.00元（大写：肆拾壹万伍仟壹佰圆整）</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3、报价单格式如下：</w:t>
            </w:r>
            <w:r>
              <w:rPr>
                <w:rFonts w:ascii="仿宋" w:hAnsi="仿宋" w:eastAsia="仿宋" w:cs="仿宋"/>
                <w:sz w:val="28"/>
                <w:szCs w:val="28"/>
              </w:rPr>
              <w:t xml:space="preserve"> </w:t>
            </w:r>
          </w:p>
          <w:p>
            <w:pPr>
              <w:spacing w:line="480" w:lineRule="exact"/>
              <w:jc w:val="center"/>
              <w:rPr>
                <w:rFonts w:ascii="仿宋" w:hAnsi="仿宋" w:eastAsia="仿宋" w:cs="仿宋"/>
                <w:sz w:val="28"/>
                <w:szCs w:val="28"/>
              </w:rPr>
            </w:pPr>
            <w:r>
              <w:rPr>
                <w:rFonts w:hint="eastAsia" w:ascii="仿宋" w:hAnsi="仿宋" w:eastAsia="仿宋" w:cs="仿宋"/>
                <w:sz w:val="28"/>
                <w:szCs w:val="28"/>
              </w:rPr>
              <w:t>询价报价单</w:t>
            </w:r>
          </w:p>
          <w:p>
            <w:pPr>
              <w:spacing w:line="480" w:lineRule="exact"/>
              <w:rPr>
                <w:rFonts w:ascii="仿宋" w:hAnsi="仿宋" w:eastAsia="仿宋" w:cs="仿宋"/>
                <w:sz w:val="28"/>
                <w:szCs w:val="28"/>
              </w:rPr>
            </w:pPr>
            <w:r>
              <w:rPr>
                <w:rFonts w:hint="eastAsia" w:ascii="仿宋" w:hAnsi="仿宋" w:eastAsia="仿宋" w:cs="仿宋"/>
                <w:sz w:val="28"/>
                <w:szCs w:val="28"/>
              </w:rPr>
              <w:t>项目名称：</w:t>
            </w:r>
          </w:p>
          <w:p>
            <w:pPr>
              <w:spacing w:line="480" w:lineRule="exact"/>
              <w:rPr>
                <w:rFonts w:ascii="仿宋" w:hAnsi="仿宋" w:eastAsia="仿宋" w:cs="仿宋"/>
                <w:sz w:val="28"/>
                <w:szCs w:val="28"/>
              </w:rPr>
            </w:pPr>
            <w:r>
              <w:rPr>
                <w:rFonts w:hint="eastAsia" w:ascii="仿宋" w:hAnsi="仿宋" w:eastAsia="仿宋" w:cs="仿宋"/>
                <w:sz w:val="28"/>
                <w:szCs w:val="28"/>
              </w:rPr>
              <w:t>项目编号：温交易[2016]198-1号 </w:t>
            </w:r>
          </w:p>
          <w:tbl>
            <w:tblPr>
              <w:tblW w:w="8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67"/>
              <w:gridCol w:w="1421"/>
              <w:gridCol w:w="1145"/>
              <w:gridCol w:w="1145"/>
              <w:gridCol w:w="1144"/>
              <w:gridCol w:w="1144"/>
              <w:gridCol w:w="1527"/>
            </w:tblGrid>
            <w:tr>
              <w:trPr>
                <w:trHeight w:val="794" w:hRule="exact"/>
              </w:trPr>
              <w:tc>
                <w:tcPr>
                  <w:tcW w:w="867"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序号</w:t>
                  </w:r>
                </w:p>
              </w:tc>
              <w:tc>
                <w:tcPr>
                  <w:tcW w:w="1421"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货物名称</w:t>
                  </w:r>
                </w:p>
              </w:tc>
              <w:tc>
                <w:tcPr>
                  <w:tcW w:w="1145"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品牌型号</w:t>
                  </w:r>
                </w:p>
              </w:tc>
              <w:tc>
                <w:tcPr>
                  <w:tcW w:w="1145"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数量</w:t>
                  </w:r>
                </w:p>
              </w:tc>
              <w:tc>
                <w:tcPr>
                  <w:tcW w:w="1144"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单价</w:t>
                  </w:r>
                </w:p>
              </w:tc>
              <w:tc>
                <w:tcPr>
                  <w:tcW w:w="1144"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总价</w:t>
                  </w:r>
                </w:p>
              </w:tc>
              <w:tc>
                <w:tcPr>
                  <w:tcW w:w="1527"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备注</w:t>
                  </w:r>
                </w:p>
              </w:tc>
            </w:tr>
            <w:tr>
              <w:trPr>
                <w:trHeight w:val="564" w:hRule="exact"/>
              </w:trPr>
              <w:tc>
                <w:tcPr>
                  <w:tcW w:w="867" w:type="dxa"/>
                  <w:vAlign w:val="center"/>
                </w:tcPr>
                <w:p>
                  <w:pPr>
                    <w:spacing w:line="360" w:lineRule="auto"/>
                    <w:jc w:val="center"/>
                    <w:rPr>
                      <w:rFonts w:ascii="仿宋" w:hAnsi="仿宋" w:eastAsia="仿宋" w:cs="仿宋"/>
                      <w:sz w:val="28"/>
                      <w:szCs w:val="28"/>
                    </w:rPr>
                  </w:pPr>
                </w:p>
              </w:tc>
              <w:tc>
                <w:tcPr>
                  <w:tcW w:w="1421" w:type="dxa"/>
                  <w:vAlign w:val="center"/>
                </w:tcPr>
                <w:p>
                  <w:pPr>
                    <w:spacing w:line="360" w:lineRule="auto"/>
                    <w:jc w:val="center"/>
                    <w:rPr>
                      <w:rFonts w:ascii="仿宋" w:hAnsi="仿宋" w:eastAsia="仿宋" w:cs="仿宋"/>
                      <w:sz w:val="28"/>
                      <w:szCs w:val="28"/>
                    </w:rPr>
                  </w:pPr>
                </w:p>
              </w:tc>
              <w:tc>
                <w:tcPr>
                  <w:tcW w:w="1145" w:type="dxa"/>
                  <w:vAlign w:val="center"/>
                </w:tcPr>
                <w:p>
                  <w:pPr>
                    <w:spacing w:line="360" w:lineRule="auto"/>
                    <w:jc w:val="center"/>
                    <w:rPr>
                      <w:rFonts w:ascii="仿宋" w:hAnsi="仿宋" w:eastAsia="仿宋" w:cs="仿宋"/>
                      <w:sz w:val="28"/>
                      <w:szCs w:val="28"/>
                    </w:rPr>
                  </w:pPr>
                </w:p>
              </w:tc>
              <w:tc>
                <w:tcPr>
                  <w:tcW w:w="1145" w:type="dxa"/>
                  <w:vAlign w:val="center"/>
                </w:tcPr>
                <w:p>
                  <w:pPr>
                    <w:spacing w:line="360" w:lineRule="auto"/>
                    <w:jc w:val="center"/>
                    <w:rPr>
                      <w:rFonts w:ascii="仿宋" w:hAnsi="仿宋" w:eastAsia="仿宋" w:cs="仿宋"/>
                      <w:sz w:val="28"/>
                      <w:szCs w:val="28"/>
                    </w:rPr>
                  </w:pPr>
                </w:p>
              </w:tc>
              <w:tc>
                <w:tcPr>
                  <w:tcW w:w="1144" w:type="dxa"/>
                  <w:vAlign w:val="center"/>
                </w:tcPr>
                <w:p>
                  <w:pPr>
                    <w:spacing w:line="360" w:lineRule="auto"/>
                    <w:jc w:val="center"/>
                    <w:rPr>
                      <w:rFonts w:ascii="仿宋" w:hAnsi="仿宋" w:eastAsia="仿宋" w:cs="仿宋"/>
                      <w:sz w:val="28"/>
                      <w:szCs w:val="28"/>
                    </w:rPr>
                  </w:pPr>
                </w:p>
              </w:tc>
              <w:tc>
                <w:tcPr>
                  <w:tcW w:w="1144" w:type="dxa"/>
                  <w:vAlign w:val="center"/>
                </w:tcPr>
                <w:p>
                  <w:pPr>
                    <w:spacing w:line="360" w:lineRule="auto"/>
                    <w:jc w:val="center"/>
                    <w:rPr>
                      <w:rFonts w:ascii="仿宋" w:hAnsi="仿宋" w:eastAsia="仿宋" w:cs="仿宋"/>
                      <w:sz w:val="28"/>
                      <w:szCs w:val="28"/>
                    </w:rPr>
                  </w:pPr>
                </w:p>
              </w:tc>
              <w:tc>
                <w:tcPr>
                  <w:tcW w:w="1527" w:type="dxa"/>
                  <w:vAlign w:val="center"/>
                </w:tcPr>
                <w:p>
                  <w:pPr>
                    <w:spacing w:line="360" w:lineRule="auto"/>
                    <w:jc w:val="center"/>
                    <w:rPr>
                      <w:rFonts w:ascii="仿宋" w:hAnsi="仿宋" w:eastAsia="仿宋" w:cs="仿宋"/>
                      <w:sz w:val="28"/>
                      <w:szCs w:val="28"/>
                    </w:rPr>
                  </w:pPr>
                </w:p>
              </w:tc>
            </w:tr>
            <w:tr>
              <w:trPr>
                <w:trHeight w:val="575" w:hRule="exact"/>
              </w:trPr>
              <w:tc>
                <w:tcPr>
                  <w:tcW w:w="867" w:type="dxa"/>
                  <w:vAlign w:val="center"/>
                </w:tcPr>
                <w:p>
                  <w:pPr>
                    <w:spacing w:line="360" w:lineRule="auto"/>
                    <w:jc w:val="center"/>
                    <w:rPr>
                      <w:rFonts w:ascii="仿宋" w:hAnsi="仿宋" w:eastAsia="仿宋" w:cs="仿宋"/>
                      <w:sz w:val="28"/>
                      <w:szCs w:val="28"/>
                    </w:rPr>
                  </w:pPr>
                  <w:r>
                    <w:rPr>
                      <w:rFonts w:hint="eastAsia" w:ascii="仿宋" w:hAnsi="仿宋" w:eastAsia="仿宋" w:cs="仿宋"/>
                      <w:sz w:val="28"/>
                      <w:szCs w:val="28"/>
                    </w:rPr>
                    <w:t>…</w:t>
                  </w:r>
                </w:p>
              </w:tc>
              <w:tc>
                <w:tcPr>
                  <w:tcW w:w="1421" w:type="dxa"/>
                  <w:vAlign w:val="center"/>
                </w:tcPr>
                <w:p>
                  <w:pPr>
                    <w:spacing w:line="360" w:lineRule="auto"/>
                    <w:jc w:val="center"/>
                    <w:rPr>
                      <w:rFonts w:ascii="仿宋" w:hAnsi="仿宋" w:eastAsia="仿宋" w:cs="仿宋"/>
                      <w:sz w:val="28"/>
                      <w:szCs w:val="28"/>
                    </w:rPr>
                  </w:pPr>
                </w:p>
              </w:tc>
              <w:tc>
                <w:tcPr>
                  <w:tcW w:w="1145" w:type="dxa"/>
                  <w:vAlign w:val="center"/>
                </w:tcPr>
                <w:p>
                  <w:pPr>
                    <w:spacing w:line="360" w:lineRule="auto"/>
                    <w:jc w:val="center"/>
                    <w:rPr>
                      <w:rFonts w:ascii="仿宋" w:hAnsi="仿宋" w:eastAsia="仿宋" w:cs="仿宋"/>
                      <w:sz w:val="28"/>
                      <w:szCs w:val="28"/>
                    </w:rPr>
                  </w:pPr>
                </w:p>
              </w:tc>
              <w:tc>
                <w:tcPr>
                  <w:tcW w:w="1145" w:type="dxa"/>
                  <w:vAlign w:val="center"/>
                </w:tcPr>
                <w:p>
                  <w:pPr>
                    <w:spacing w:line="360" w:lineRule="auto"/>
                    <w:jc w:val="center"/>
                    <w:rPr>
                      <w:rFonts w:ascii="仿宋" w:hAnsi="仿宋" w:eastAsia="仿宋" w:cs="仿宋"/>
                      <w:sz w:val="28"/>
                      <w:szCs w:val="28"/>
                    </w:rPr>
                  </w:pPr>
                </w:p>
              </w:tc>
              <w:tc>
                <w:tcPr>
                  <w:tcW w:w="1144" w:type="dxa"/>
                  <w:vAlign w:val="center"/>
                </w:tcPr>
                <w:p>
                  <w:pPr>
                    <w:spacing w:line="360" w:lineRule="auto"/>
                    <w:jc w:val="center"/>
                    <w:rPr>
                      <w:rFonts w:ascii="仿宋" w:hAnsi="仿宋" w:eastAsia="仿宋" w:cs="仿宋"/>
                      <w:sz w:val="28"/>
                      <w:szCs w:val="28"/>
                    </w:rPr>
                  </w:pPr>
                </w:p>
              </w:tc>
              <w:tc>
                <w:tcPr>
                  <w:tcW w:w="1144" w:type="dxa"/>
                  <w:vAlign w:val="center"/>
                </w:tcPr>
                <w:p>
                  <w:pPr>
                    <w:spacing w:line="360" w:lineRule="auto"/>
                    <w:jc w:val="center"/>
                    <w:rPr>
                      <w:rFonts w:ascii="仿宋" w:hAnsi="仿宋" w:eastAsia="仿宋" w:cs="仿宋"/>
                      <w:sz w:val="28"/>
                      <w:szCs w:val="28"/>
                    </w:rPr>
                  </w:pPr>
                </w:p>
              </w:tc>
              <w:tc>
                <w:tcPr>
                  <w:tcW w:w="1527" w:type="dxa"/>
                  <w:vAlign w:val="center"/>
                </w:tcPr>
                <w:p>
                  <w:pPr>
                    <w:spacing w:line="360" w:lineRule="auto"/>
                    <w:jc w:val="center"/>
                    <w:rPr>
                      <w:rFonts w:ascii="仿宋" w:hAnsi="仿宋" w:eastAsia="仿宋" w:cs="仿宋"/>
                      <w:sz w:val="28"/>
                      <w:szCs w:val="28"/>
                    </w:rPr>
                  </w:pPr>
                </w:p>
              </w:tc>
            </w:tr>
            <w:tr>
              <w:trPr>
                <w:trHeight w:val="569" w:hRule="exact"/>
              </w:trPr>
              <w:tc>
                <w:tcPr>
                  <w:tcW w:w="8393" w:type="dxa"/>
                  <w:gridSpan w:val="7"/>
                  <w:vAlign w:val="center"/>
                </w:tcPr>
                <w:p>
                  <w:pPr>
                    <w:spacing w:line="360" w:lineRule="auto"/>
                    <w:rPr>
                      <w:rFonts w:ascii="仿宋" w:hAnsi="仿宋" w:eastAsia="仿宋" w:cs="仿宋"/>
                      <w:sz w:val="28"/>
                      <w:szCs w:val="28"/>
                    </w:rPr>
                  </w:pPr>
                  <w:r>
                    <w:rPr>
                      <w:rFonts w:hint="eastAsia" w:ascii="仿宋" w:hAnsi="仿宋" w:eastAsia="仿宋" w:cs="仿宋"/>
                      <w:sz w:val="28"/>
                      <w:szCs w:val="28"/>
                    </w:rPr>
                    <w:t>投标总价（小写）：</w:t>
                  </w:r>
                </w:p>
              </w:tc>
            </w:tr>
            <w:tr>
              <w:trPr>
                <w:trHeight w:val="549" w:hRule="exact"/>
              </w:trPr>
              <w:tc>
                <w:tcPr>
                  <w:tcW w:w="8393" w:type="dxa"/>
                  <w:gridSpan w:val="7"/>
                  <w:vAlign w:val="center"/>
                </w:tcPr>
                <w:p>
                  <w:pPr>
                    <w:spacing w:line="360" w:lineRule="auto"/>
                    <w:rPr>
                      <w:rFonts w:ascii="仿宋" w:hAnsi="仿宋" w:eastAsia="仿宋" w:cs="仿宋"/>
                      <w:sz w:val="28"/>
                      <w:szCs w:val="28"/>
                    </w:rPr>
                  </w:pPr>
                  <w:r>
                    <w:rPr>
                      <w:rFonts w:hint="eastAsia" w:ascii="仿宋" w:hAnsi="仿宋" w:eastAsia="仿宋" w:cs="仿宋"/>
                      <w:sz w:val="28"/>
                      <w:szCs w:val="28"/>
                    </w:rPr>
                    <w:t>投标总价（大写）：</w:t>
                  </w:r>
                </w:p>
              </w:tc>
            </w:tr>
          </w:tbl>
          <w:p>
            <w:pPr>
              <w:spacing w:line="480" w:lineRule="exact"/>
              <w:rPr>
                <w:rFonts w:ascii="仿宋" w:hAnsi="仿宋" w:eastAsia="仿宋" w:cs="仿宋"/>
                <w:sz w:val="28"/>
                <w:szCs w:val="28"/>
              </w:rPr>
            </w:pPr>
            <w:r>
              <w:rPr>
                <w:rFonts w:hint="eastAsia" w:ascii="仿宋" w:hAnsi="仿宋" w:eastAsia="仿宋" w:cs="仿宋"/>
                <w:sz w:val="28"/>
                <w:szCs w:val="28"/>
              </w:rPr>
              <w:t>注：1、供应商可根据实际情况自行添加表格内容。</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2、报价一经涂改，应在涂改处加盖单位公章或供应商代表签字或盖章，否则其响应作无效响应性文件处理。</w:t>
            </w:r>
          </w:p>
          <w:p>
            <w:pPr>
              <w:spacing w:line="480" w:lineRule="exact"/>
              <w:rPr>
                <w:rFonts w:ascii="仿宋" w:hAnsi="仿宋" w:eastAsia="仿宋" w:cs="仿宋"/>
                <w:sz w:val="28"/>
                <w:szCs w:val="28"/>
              </w:rPr>
            </w:pPr>
            <w:r>
              <w:rPr>
                <w:rFonts w:hint="eastAsia" w:ascii="仿宋" w:hAnsi="仿宋" w:eastAsia="仿宋" w:cs="仿宋"/>
                <w:sz w:val="28"/>
                <w:szCs w:val="28"/>
              </w:rPr>
              <w:t xml:space="preserve"> 3、所有价格均应为人民币报价，金额单位为元。投标价格包括所有招标范围内的费用（均为含税价）；</w:t>
            </w:r>
          </w:p>
          <w:p>
            <w:pPr>
              <w:spacing w:line="480" w:lineRule="exact"/>
              <w:ind w:firstLine="140" w:firstLineChars="50"/>
              <w:rPr>
                <w:rFonts w:ascii="仿宋" w:hAnsi="仿宋" w:eastAsia="仿宋" w:cs="仿宋"/>
                <w:sz w:val="28"/>
                <w:szCs w:val="28"/>
              </w:rPr>
            </w:pPr>
            <w:r>
              <w:rPr>
                <w:rFonts w:hint="eastAsia" w:ascii="仿宋" w:hAnsi="仿宋" w:eastAsia="仿宋" w:cs="仿宋"/>
                <w:sz w:val="28"/>
                <w:szCs w:val="28"/>
              </w:rPr>
              <w:t xml:space="preserve">单位名称：（公章）          </w:t>
            </w:r>
          </w:p>
          <w:p>
            <w:pPr>
              <w:spacing w:line="480" w:lineRule="exact"/>
              <w:rPr>
                <w:rFonts w:ascii="仿宋" w:hAnsi="仿宋" w:eastAsia="仿宋" w:cs="仿宋"/>
                <w:sz w:val="28"/>
                <w:szCs w:val="28"/>
              </w:rPr>
            </w:pPr>
            <w:r>
              <w:rPr>
                <w:rFonts w:hint="eastAsia" w:ascii="仿宋" w:hAnsi="仿宋" w:eastAsia="仿宋" w:cs="仿宋"/>
                <w:sz w:val="28"/>
                <w:szCs w:val="28"/>
              </w:rPr>
              <w:t>法定代表人或委托代理人：（签字或盖章）</w:t>
            </w:r>
          </w:p>
          <w:p>
            <w:pPr>
              <w:spacing w:line="360" w:lineRule="auto"/>
              <w:jc w:val="right"/>
              <w:rPr>
                <w:rFonts w:ascii="仿宋" w:hAnsi="仿宋" w:eastAsia="仿宋" w:cs="仿宋"/>
                <w:sz w:val="28"/>
                <w:szCs w:val="28"/>
              </w:rPr>
            </w:pPr>
            <w:r>
              <w:rPr>
                <w:rFonts w:hint="eastAsia" w:ascii="仿宋" w:hAnsi="仿宋" w:eastAsia="仿宋" w:cs="仿宋"/>
                <w:sz w:val="28"/>
                <w:szCs w:val="28"/>
              </w:rPr>
              <w:t>年  月  日</w:t>
            </w: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r>
              <w:rPr>
                <w:rFonts w:hint="eastAsia" w:ascii="仿宋" w:hAnsi="仿宋" w:eastAsia="仿宋" w:cs="仿宋"/>
                <w:sz w:val="28"/>
                <w:szCs w:val="28"/>
              </w:rPr>
              <w:t>4.主要货物清单及技术要求</w:t>
            </w:r>
            <w:r>
              <w:rPr>
                <w:rFonts w:ascii="仿宋" w:hAnsi="仿宋" w:eastAsia="仿宋" w:cs="仿宋"/>
                <w:sz w:val="28"/>
                <w:szCs w:val="28"/>
              </w:rPr>
              <w:t xml:space="preserve"> </w:t>
            </w:r>
          </w:p>
          <w:tbl>
            <w:tblPr>
              <w:tblW w:w="8310" w:type="dxa"/>
              <w:jc w:val="center"/>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416"/>
              <w:gridCol w:w="614"/>
              <w:gridCol w:w="4608"/>
              <w:gridCol w:w="416"/>
              <w:gridCol w:w="416"/>
              <w:gridCol w:w="599"/>
              <w:gridCol w:w="625"/>
              <w:gridCol w:w="616"/>
            </w:tblGrid>
            <w:tr>
              <w:trPr>
                <w:trHeight w:val="522" w:hRule="atLeast"/>
                <w:jc w:val="center"/>
              </w:trPr>
              <w:tc>
                <w:tcPr>
                  <w:tcW w:w="416"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序号</w:t>
                  </w:r>
                </w:p>
              </w:tc>
              <w:tc>
                <w:tcPr>
                  <w:tcW w:w="614" w:type="dxa"/>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设备名称</w:t>
                  </w:r>
                </w:p>
              </w:tc>
              <w:tc>
                <w:tcPr>
                  <w:tcW w:w="4608" w:type="dxa"/>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参 数</w:t>
                  </w:r>
                </w:p>
              </w:tc>
              <w:tc>
                <w:tcPr>
                  <w:tcW w:w="416" w:type="dxa"/>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单位</w:t>
                  </w:r>
                </w:p>
              </w:tc>
              <w:tc>
                <w:tcPr>
                  <w:tcW w:w="416" w:type="dxa"/>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数量</w:t>
                  </w:r>
                </w:p>
              </w:tc>
              <w:tc>
                <w:tcPr>
                  <w:tcW w:w="599" w:type="dxa"/>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单价</w:t>
                  </w:r>
                </w:p>
              </w:tc>
              <w:tc>
                <w:tcPr>
                  <w:tcW w:w="625" w:type="dxa"/>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合计</w:t>
                  </w:r>
                </w:p>
              </w:tc>
              <w:tc>
                <w:tcPr>
                  <w:tcW w:w="616" w:type="dxa"/>
                  <w:tcBorders>
                    <w:top w:val="single" w:color="000000"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备注</w:t>
                  </w:r>
                </w:p>
              </w:tc>
            </w:tr>
            <w:tr>
              <w:trPr>
                <w:trHeight w:val="285"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1</w:t>
                  </w:r>
                </w:p>
              </w:tc>
              <w:tc>
                <w:tcPr>
                  <w:tcW w:w="614" w:type="dxa"/>
                  <w:tcBorders>
                    <w:top w:val="nil"/>
                    <w:left w:val="nil"/>
                    <w:bottom w:val="single" w:color="auto"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网络监听拼接大屏</w:t>
                  </w:r>
                </w:p>
              </w:tc>
              <w:tc>
                <w:tcPr>
                  <w:tcW w:w="4608" w:type="dxa"/>
                  <w:tcBorders>
                    <w:top w:val="nil"/>
                    <w:left w:val="nil"/>
                    <w:bottom w:val="single" w:color="auto"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46寸LCD显示单元</w:t>
                  </w:r>
                </w:p>
                <w:p>
                  <w:pPr>
                    <w:widowControl/>
                    <w:jc w:val="left"/>
                    <w:rPr>
                      <w:rFonts w:ascii="宋体" w:hAnsi="宋体" w:eastAsia="宋体" w:cs="宋体"/>
                      <w:kern w:val="0"/>
                      <w:szCs w:val="21"/>
                    </w:rPr>
                  </w:pPr>
                  <w:r>
                    <w:rPr>
                      <w:rFonts w:hint="eastAsia" w:ascii="宋体" w:hAnsi="宋体" w:eastAsia="宋体" w:cs="宋体"/>
                      <w:kern w:val="0"/>
                      <w:szCs w:val="21"/>
                    </w:rPr>
                    <w:t>★规格：LCD显示单元为：46“超窄边液晶屏；物理分辨率达到1920×1080，亮度达到520cd/㎡，对比度达到6000:1；物理拼缝≤5.3mm。输入接口：VGAX1，DVIX1，BNCX1，YPbPrX1,HDMIX1;输出接口：VGAX1，DVIX1，BNCX2。</w:t>
                  </w:r>
                </w:p>
                <w:p>
                  <w:pPr>
                    <w:widowControl/>
                    <w:jc w:val="left"/>
                    <w:rPr>
                      <w:rFonts w:ascii="宋体" w:hAnsi="宋体" w:eastAsia="宋体" w:cs="宋体"/>
                      <w:kern w:val="0"/>
                      <w:szCs w:val="21"/>
                    </w:rPr>
                  </w:pPr>
                  <w:r>
                    <w:rPr>
                      <w:rFonts w:hint="eastAsia" w:ascii="宋体" w:hAnsi="宋体" w:eastAsia="宋体" w:cs="宋体"/>
                      <w:kern w:val="0"/>
                      <w:szCs w:val="21"/>
                    </w:rPr>
                    <w:t xml:space="preserve"> LCD拼接显示系统应支持多屏图像拼接，画面可整屏显示，也可分屏显示、跨屏、漫游显示，全屏范围内显示无非线性失真效果，整个屏幕亮度均匀，无暗角或亮角等现象，画面稳定无闪烁。</w:t>
                  </w:r>
                </w:p>
                <w:p>
                  <w:pPr>
                    <w:widowControl/>
                    <w:jc w:val="left"/>
                    <w:rPr>
                      <w:rFonts w:ascii="宋体" w:hAnsi="宋体" w:eastAsia="宋体" w:cs="宋体"/>
                      <w:kern w:val="0"/>
                      <w:szCs w:val="21"/>
                    </w:rPr>
                  </w:pPr>
                  <w:r>
                    <w:rPr>
                      <w:rFonts w:hint="eastAsia" w:ascii="宋体" w:hAnsi="宋体" w:eastAsia="宋体" w:cs="宋体"/>
                      <w:kern w:val="0"/>
                      <w:szCs w:val="21"/>
                    </w:rPr>
                    <w:t>LCD显示单元采用超宽视角液晶屏，视角可达178°，画面的输出精确和稳定，色彩饱和靓丽，屏幕更加明亮，画质更加清晰，画面衔接流畅自然，整体显示流畅完美，呈现完美的显示效果。</w:t>
                  </w:r>
                </w:p>
                <w:p>
                  <w:pPr>
                    <w:widowControl/>
                    <w:jc w:val="left"/>
                    <w:rPr>
                      <w:rFonts w:ascii="宋体" w:hAnsi="宋体" w:eastAsia="宋体" w:cs="宋体"/>
                      <w:kern w:val="0"/>
                      <w:szCs w:val="21"/>
                    </w:rPr>
                  </w:pPr>
                  <w:r>
                    <w:rPr>
                      <w:rFonts w:hint="eastAsia" w:ascii="宋体" w:hAnsi="宋体" w:eastAsia="宋体" w:cs="宋体"/>
                      <w:kern w:val="0"/>
                      <w:szCs w:val="21"/>
                    </w:rPr>
                    <w:t xml:space="preserve"> LCD显示单元采用专业FPGA图像处理芯片，支持7个等级的去雾强度设置，用户可根据不同场景选择不同等级；采用自动去雾等级设置功能，设备可以根据当前场景自动匹配选择去雾参数设置；支持支持3个夜景模式选择，使光线较暗场景的图像亮度得到改善★LCD显示单元可选配内置解码引擎，采用ARM+DSP嵌入式构架，支持直接IPC取流解码显示；支持轮巡解码、流媒体功能，可1/4/9/16分屏显示；支持H264、MJPEG、MPEG4解码显示 . 提供3C认证。</w:t>
                  </w:r>
                </w:p>
                <w:p>
                  <w:pPr>
                    <w:widowControl/>
                    <w:jc w:val="left"/>
                    <w:rPr>
                      <w:rFonts w:ascii="宋体" w:hAnsi="宋体" w:eastAsia="宋体" w:cs="宋体"/>
                      <w:kern w:val="0"/>
                      <w:szCs w:val="21"/>
                    </w:rPr>
                  </w:pPr>
                  <w:r>
                    <w:rPr>
                      <w:rFonts w:hint="eastAsia" w:ascii="宋体" w:hAnsi="宋体" w:eastAsia="宋体" w:cs="宋体"/>
                      <w:kern w:val="0"/>
                      <w:szCs w:val="21"/>
                    </w:rPr>
                    <w:t>LCD可选配显示单元通过光控模块，实现根据环境光线强弱自动调整大屏显示亮度，使显示效果保持在最优状态，同时实现节约能源</w:t>
                  </w:r>
                </w:p>
                <w:p>
                  <w:pPr>
                    <w:widowControl/>
                    <w:jc w:val="left"/>
                    <w:rPr>
                      <w:rFonts w:ascii="宋体" w:hAnsi="宋体" w:eastAsia="宋体" w:cs="宋体"/>
                      <w:kern w:val="0"/>
                      <w:szCs w:val="21"/>
                    </w:rPr>
                  </w:pPr>
                  <w:r>
                    <w:rPr>
                      <w:rFonts w:hint="eastAsia" w:ascii="宋体" w:hAnsi="宋体" w:eastAsia="宋体" w:cs="宋体"/>
                      <w:kern w:val="0"/>
                      <w:szCs w:val="21"/>
                    </w:rPr>
                    <w:t>LCD显示单元支持U盘点播，内置MPEG、JPEG和RealMedia解码器，方便用户播放视频文件</w:t>
                  </w:r>
                </w:p>
                <w:p>
                  <w:pPr>
                    <w:widowControl/>
                    <w:jc w:val="left"/>
                    <w:rPr>
                      <w:rFonts w:ascii="宋体" w:hAnsi="宋体" w:eastAsia="宋体" w:cs="宋体"/>
                      <w:kern w:val="0"/>
                      <w:szCs w:val="21"/>
                    </w:rPr>
                  </w:pPr>
                  <w:r>
                    <w:rPr>
                      <w:rFonts w:hint="eastAsia" w:ascii="宋体" w:hAnsi="宋体" w:eastAsia="宋体" w:cs="宋体"/>
                      <w:kern w:val="0"/>
                      <w:szCs w:val="21"/>
                    </w:rPr>
                    <w:t>★提供加盖厂商公章.营业执照需在有效期内且有效营业范围内，必须项</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9</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含线材、支架等</w:t>
                  </w:r>
                </w:p>
              </w:tc>
            </w:tr>
            <w:tr>
              <w:trPr>
                <w:trHeight w:val="870"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2</w:t>
                  </w:r>
                </w:p>
              </w:tc>
              <w:tc>
                <w:tcPr>
                  <w:tcW w:w="614" w:type="dxa"/>
                  <w:tcBorders>
                    <w:top w:val="single" w:color="auto" w:sz="4" w:space="0"/>
                    <w:left w:val="nil"/>
                    <w:bottom w:val="single" w:color="000000"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控制键盘</w:t>
                  </w:r>
                </w:p>
              </w:tc>
              <w:tc>
                <w:tcPr>
                  <w:tcW w:w="4608" w:type="dxa"/>
                  <w:tcBorders>
                    <w:top w:val="single" w:color="auto" w:sz="4" w:space="0"/>
                    <w:left w:val="nil"/>
                    <w:bottom w:val="single" w:color="000000"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网络键盘，网络/串口（232/485）接入方式，4维摇杆控制，7 英寸800*480 的触摸式液晶屏，音频输入/输出口，1个USB接口，1路1080P，兼容公司各行业平台软件、全系列前后端、监控中心设备。</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285"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3</w:t>
                  </w:r>
                </w:p>
              </w:tc>
              <w:tc>
                <w:tcPr>
                  <w:tcW w:w="614" w:type="dxa"/>
                  <w:tcBorders>
                    <w:top w:val="nil"/>
                    <w:left w:val="nil"/>
                    <w:bottom w:val="single" w:color="auto"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解码器</w:t>
                  </w:r>
                </w:p>
              </w:tc>
              <w:tc>
                <w:tcPr>
                  <w:tcW w:w="4608" w:type="dxa"/>
                  <w:tcBorders>
                    <w:top w:val="nil"/>
                    <w:left w:val="nil"/>
                    <w:bottom w:val="single" w:color="auto" w:sz="4" w:space="0"/>
                    <w:right w:val="single" w:color="000000" w:sz="4" w:space="0"/>
                  </w:tcBorders>
                  <w:vAlign w:val="center"/>
                </w:tcPr>
                <w:p>
                  <w:pPr>
                    <w:widowControl/>
                    <w:jc w:val="left"/>
                    <w:rPr>
                      <w:rFonts w:ascii="宋体" w:hAnsi="宋体" w:eastAsia="宋体" w:cs="宋体"/>
                      <w:kern w:val="0"/>
                      <w:szCs w:val="21"/>
                    </w:rPr>
                  </w:pPr>
                  <w:r>
                    <w:rPr>
                      <w:rFonts w:hint="eastAsia" w:ascii="宋体" w:hAnsi="宋体" w:eastAsia="宋体" w:cs="宋体"/>
                      <w:kern w:val="0"/>
                      <w:szCs w:val="21"/>
                    </w:rPr>
                    <w:t>★需支持H.265、H.264、MPEG4、MJPEG等主流的编码格式</w:t>
                  </w:r>
                </w:p>
                <w:p>
                  <w:pPr>
                    <w:widowControl/>
                    <w:jc w:val="left"/>
                    <w:rPr>
                      <w:rFonts w:ascii="宋体" w:hAnsi="宋体" w:eastAsia="宋体" w:cs="宋体"/>
                      <w:kern w:val="0"/>
                      <w:szCs w:val="21"/>
                    </w:rPr>
                  </w:pPr>
                  <w:r>
                    <w:rPr>
                      <w:rFonts w:hint="eastAsia" w:ascii="宋体" w:hAnsi="宋体" w:eastAsia="宋体" w:cs="宋体"/>
                      <w:kern w:val="0"/>
                      <w:szCs w:val="21"/>
                    </w:rPr>
                    <w:t>PS、RTP、TS、ES等主流的封装格式</w:t>
                  </w:r>
                </w:p>
                <w:p>
                  <w:pPr>
                    <w:widowControl/>
                    <w:jc w:val="left"/>
                    <w:rPr>
                      <w:rFonts w:ascii="宋体" w:hAnsi="宋体" w:eastAsia="宋体" w:cs="宋体"/>
                      <w:kern w:val="0"/>
                      <w:szCs w:val="21"/>
                    </w:rPr>
                  </w:pPr>
                  <w:r>
                    <w:rPr>
                      <w:rFonts w:hint="eastAsia" w:ascii="宋体" w:hAnsi="宋体" w:eastAsia="宋体" w:cs="宋体"/>
                      <w:kern w:val="0"/>
                      <w:szCs w:val="21"/>
                    </w:rPr>
                    <w:t>★H.265、H.264的Baseline、Main、High-profile编码级别</w:t>
                  </w:r>
                </w:p>
                <w:p>
                  <w:pPr>
                    <w:widowControl/>
                    <w:jc w:val="left"/>
                    <w:rPr>
                      <w:rFonts w:ascii="宋体" w:hAnsi="宋体" w:eastAsia="宋体" w:cs="宋体"/>
                      <w:kern w:val="0"/>
                      <w:szCs w:val="21"/>
                    </w:rPr>
                  </w:pPr>
                  <w:r>
                    <w:rPr>
                      <w:rFonts w:hint="eastAsia" w:ascii="宋体" w:hAnsi="宋体" w:eastAsia="宋体" w:cs="宋体"/>
                      <w:kern w:val="0"/>
                      <w:szCs w:val="21"/>
                    </w:rPr>
                    <w:t>G.722、G.711A、G.726、G.711U、MPEG2-L2、AAC音频格式的解码</w:t>
                  </w:r>
                </w:p>
                <w:p>
                  <w:pPr>
                    <w:widowControl/>
                    <w:jc w:val="left"/>
                    <w:rPr>
                      <w:rFonts w:ascii="宋体" w:hAnsi="宋体" w:eastAsia="宋体" w:cs="宋体"/>
                      <w:kern w:val="0"/>
                      <w:szCs w:val="21"/>
                    </w:rPr>
                  </w:pPr>
                  <w:r>
                    <w:rPr>
                      <w:rFonts w:hint="eastAsia" w:ascii="宋体" w:hAnsi="宋体" w:eastAsia="宋体" w:cs="宋体"/>
                      <w:kern w:val="0"/>
                      <w:szCs w:val="21"/>
                    </w:rPr>
                    <w:t>★最少支持16路1080P及以下分辨率同时实时解码</w:t>
                  </w:r>
                </w:p>
                <w:p>
                  <w:pPr>
                    <w:widowControl/>
                    <w:jc w:val="left"/>
                    <w:rPr>
                      <w:rFonts w:ascii="宋体" w:hAnsi="宋体" w:eastAsia="宋体" w:cs="宋体"/>
                      <w:kern w:val="0"/>
                      <w:szCs w:val="21"/>
                    </w:rPr>
                  </w:pPr>
                  <w:r>
                    <w:rPr>
                      <w:rFonts w:hint="eastAsia" w:ascii="宋体" w:hAnsi="宋体" w:eastAsia="宋体" w:cs="宋体"/>
                      <w:kern w:val="0"/>
                      <w:szCs w:val="21"/>
                    </w:rPr>
                    <w:t>多元化的解码控制模式</w:t>
                  </w:r>
                </w:p>
                <w:p>
                  <w:pPr>
                    <w:widowControl/>
                    <w:jc w:val="left"/>
                    <w:rPr>
                      <w:rFonts w:ascii="宋体" w:hAnsi="宋体" w:eastAsia="宋体" w:cs="宋体"/>
                      <w:kern w:val="0"/>
                      <w:szCs w:val="21"/>
                    </w:rPr>
                  </w:pPr>
                  <w:r>
                    <w:rPr>
                      <w:rFonts w:hint="eastAsia" w:ascii="宋体" w:hAnsi="宋体" w:eastAsia="宋体" w:cs="宋体"/>
                      <w:kern w:val="0"/>
                      <w:szCs w:val="21"/>
                    </w:rPr>
                    <w:t>★主动解码和被动解码两种解码模式；</w:t>
                  </w:r>
                </w:p>
                <w:p>
                  <w:pPr>
                    <w:widowControl/>
                    <w:jc w:val="left"/>
                    <w:rPr>
                      <w:rFonts w:ascii="宋体" w:hAnsi="宋体" w:eastAsia="宋体" w:cs="宋体"/>
                      <w:kern w:val="0"/>
                      <w:szCs w:val="21"/>
                    </w:rPr>
                  </w:pPr>
                  <w:r>
                    <w:rPr>
                      <w:rFonts w:hint="eastAsia" w:ascii="宋体" w:hAnsi="宋体" w:eastAsia="宋体" w:cs="宋体"/>
                      <w:kern w:val="0"/>
                      <w:szCs w:val="21"/>
                    </w:rPr>
                    <w:t>★开窗、窗口漫游功能</w:t>
                  </w:r>
                </w:p>
                <w:p>
                  <w:pPr>
                    <w:widowControl/>
                    <w:jc w:val="left"/>
                    <w:rPr>
                      <w:rFonts w:ascii="宋体" w:hAnsi="宋体" w:eastAsia="宋体" w:cs="宋体"/>
                      <w:kern w:val="0"/>
                      <w:szCs w:val="21"/>
                    </w:rPr>
                  </w:pPr>
                  <w:r>
                    <w:rPr>
                      <w:rFonts w:hint="eastAsia" w:ascii="宋体" w:hAnsi="宋体" w:eastAsia="宋体" w:cs="宋体"/>
                      <w:kern w:val="0"/>
                      <w:szCs w:val="21"/>
                    </w:rPr>
                    <w:t>远程录像文件的解码输出；</w:t>
                  </w:r>
                </w:p>
                <w:p>
                  <w:pPr>
                    <w:widowControl/>
                    <w:jc w:val="left"/>
                    <w:rPr>
                      <w:rFonts w:ascii="宋体" w:hAnsi="宋体" w:eastAsia="宋体" w:cs="宋体"/>
                      <w:kern w:val="0"/>
                      <w:szCs w:val="21"/>
                    </w:rPr>
                  </w:pPr>
                  <w:r>
                    <w:rPr>
                      <w:rFonts w:hint="eastAsia" w:ascii="宋体" w:hAnsi="宋体" w:eastAsia="宋体" w:cs="宋体"/>
                      <w:kern w:val="0"/>
                      <w:szCs w:val="21"/>
                    </w:rPr>
                    <w:t>直连前端设备解码上墙和通过流媒体转发的方式解码上墙；</w:t>
                  </w:r>
                </w:p>
                <w:p>
                  <w:pPr>
                    <w:widowControl/>
                    <w:jc w:val="left"/>
                    <w:rPr>
                      <w:rFonts w:ascii="宋体" w:hAnsi="宋体" w:eastAsia="宋体" w:cs="宋体"/>
                      <w:kern w:val="0"/>
                      <w:szCs w:val="21"/>
                    </w:rPr>
                  </w:pPr>
                  <w:r>
                    <w:rPr>
                      <w:rFonts w:hint="eastAsia" w:ascii="宋体" w:hAnsi="宋体" w:eastAsia="宋体" w:cs="宋体"/>
                      <w:kern w:val="0"/>
                      <w:szCs w:val="21"/>
                    </w:rPr>
                    <w:t>使用RTSP URL方式从编码设备取流解码；</w:t>
                  </w:r>
                </w:p>
                <w:p>
                  <w:pPr>
                    <w:widowControl/>
                    <w:jc w:val="left"/>
                    <w:rPr>
                      <w:rFonts w:ascii="宋体" w:hAnsi="宋体" w:eastAsia="宋体" w:cs="宋体"/>
                      <w:kern w:val="0"/>
                      <w:szCs w:val="21"/>
                    </w:rPr>
                  </w:pPr>
                  <w:r>
                    <w:rPr>
                      <w:rFonts w:hint="eastAsia" w:ascii="宋体" w:hAnsi="宋体" w:eastAsia="宋体" w:cs="宋体"/>
                      <w:kern w:val="0"/>
                      <w:szCs w:val="21"/>
                    </w:rPr>
                    <w:t>透明通道传输，可远程控制DVR或DVS上连接的云台；</w:t>
                  </w:r>
                </w:p>
                <w:p>
                  <w:pPr>
                    <w:widowControl/>
                    <w:jc w:val="left"/>
                    <w:rPr>
                      <w:rFonts w:ascii="宋体" w:hAnsi="宋体" w:eastAsia="宋体" w:cs="宋体"/>
                      <w:kern w:val="0"/>
                      <w:szCs w:val="21"/>
                    </w:rPr>
                  </w:pPr>
                  <w:r>
                    <w:rPr>
                      <w:rFonts w:hint="eastAsia" w:ascii="宋体" w:hAnsi="宋体" w:eastAsia="宋体" w:cs="宋体"/>
                      <w:kern w:val="0"/>
                      <w:szCs w:val="21"/>
                    </w:rPr>
                    <w:t>音频矩阵，可任意指定解码音频输出口；</w:t>
                  </w:r>
                </w:p>
                <w:p>
                  <w:pPr>
                    <w:widowControl/>
                    <w:jc w:val="left"/>
                    <w:rPr>
                      <w:rFonts w:ascii="宋体" w:hAnsi="宋体" w:eastAsia="宋体" w:cs="宋体"/>
                      <w:kern w:val="0"/>
                      <w:szCs w:val="21"/>
                    </w:rPr>
                  </w:pPr>
                  <w:r>
                    <w:rPr>
                      <w:rFonts w:hint="eastAsia" w:ascii="宋体" w:hAnsi="宋体" w:eastAsia="宋体" w:cs="宋体"/>
                      <w:kern w:val="0"/>
                      <w:szCs w:val="21"/>
                    </w:rPr>
                    <w:t>PC机视频信号上墙</w:t>
                  </w:r>
                </w:p>
                <w:p>
                  <w:pPr>
                    <w:widowControl/>
                    <w:jc w:val="left"/>
                    <w:rPr>
                      <w:rFonts w:ascii="宋体" w:hAnsi="宋体" w:eastAsia="宋体" w:cs="宋体"/>
                      <w:kern w:val="0"/>
                      <w:szCs w:val="21"/>
                    </w:rPr>
                  </w:pPr>
                  <w:r>
                    <w:rPr>
                      <w:rFonts w:hint="eastAsia" w:ascii="宋体" w:hAnsi="宋体" w:eastAsia="宋体" w:cs="宋体"/>
                      <w:kern w:val="0"/>
                      <w:szCs w:val="21"/>
                    </w:rPr>
                    <w:t>★ONVIF标准协议接入设备；</w:t>
                  </w:r>
                </w:p>
                <w:p>
                  <w:pPr>
                    <w:widowControl/>
                    <w:jc w:val="left"/>
                    <w:rPr>
                      <w:rFonts w:ascii="宋体" w:hAnsi="宋体" w:eastAsia="宋体" w:cs="宋体"/>
                      <w:kern w:val="0"/>
                      <w:szCs w:val="21"/>
                    </w:rPr>
                  </w:pPr>
                  <w:r>
                    <w:rPr>
                      <w:rFonts w:hint="eastAsia" w:ascii="宋体" w:hAnsi="宋体" w:eastAsia="宋体" w:cs="宋体"/>
                      <w:kern w:val="0"/>
                      <w:szCs w:val="21"/>
                    </w:rPr>
                    <w:t>RTP\RTSP协议进行设备预览；</w:t>
                  </w:r>
                </w:p>
                <w:p>
                  <w:pPr>
                    <w:widowControl/>
                    <w:jc w:val="left"/>
                    <w:rPr>
                      <w:rFonts w:ascii="宋体" w:hAnsi="宋体" w:eastAsia="宋体" w:cs="宋体"/>
                      <w:kern w:val="0"/>
                      <w:szCs w:val="21"/>
                    </w:rPr>
                  </w:pPr>
                  <w:r>
                    <w:rPr>
                      <w:rFonts w:hint="eastAsia" w:ascii="宋体" w:hAnsi="宋体" w:eastAsia="宋体" w:cs="宋体"/>
                      <w:kern w:val="0"/>
                      <w:szCs w:val="21"/>
                    </w:rPr>
                    <w:t>平台以SDK方式集成设备。</w:t>
                  </w:r>
                </w:p>
                <w:p>
                  <w:pPr>
                    <w:widowControl/>
                    <w:jc w:val="left"/>
                    <w:rPr>
                      <w:rFonts w:ascii="宋体" w:hAnsi="宋体" w:eastAsia="宋体" w:cs="宋体"/>
                      <w:kern w:val="0"/>
                      <w:szCs w:val="21"/>
                    </w:rPr>
                  </w:pPr>
                  <w:r>
                    <w:rPr>
                      <w:rFonts w:hint="eastAsia" w:ascii="宋体" w:hAnsi="宋体" w:eastAsia="宋体" w:cs="宋体"/>
                      <w:kern w:val="0"/>
                      <w:szCs w:val="21"/>
                    </w:rPr>
                    <w:t>★GB28181协议接入设备</w:t>
                  </w:r>
                </w:p>
                <w:p>
                  <w:pPr>
                    <w:widowControl/>
                    <w:jc w:val="left"/>
                    <w:rPr>
                      <w:rFonts w:ascii="宋体" w:hAnsi="宋体" w:eastAsia="宋体" w:cs="宋体"/>
                      <w:kern w:val="0"/>
                      <w:szCs w:val="21"/>
                    </w:rPr>
                  </w:pPr>
                  <w:r>
                    <w:rPr>
                      <w:rFonts w:hint="eastAsia" w:ascii="宋体" w:hAnsi="宋体" w:eastAsia="宋体" w:cs="宋体"/>
                      <w:kern w:val="0"/>
                      <w:szCs w:val="21"/>
                    </w:rPr>
                    <w:t>WEB方式访问、配置和管理；</w:t>
                  </w:r>
                </w:p>
                <w:p>
                  <w:pPr>
                    <w:widowControl/>
                    <w:jc w:val="left"/>
                    <w:rPr>
                      <w:rFonts w:ascii="宋体" w:hAnsi="宋体" w:eastAsia="宋体" w:cs="宋体"/>
                      <w:kern w:val="0"/>
                      <w:szCs w:val="21"/>
                    </w:rPr>
                  </w:pPr>
                  <w:r>
                    <w:rPr>
                      <w:rFonts w:hint="eastAsia" w:ascii="宋体" w:hAnsi="宋体" w:eastAsia="宋体" w:cs="宋体"/>
                      <w:kern w:val="0"/>
                      <w:szCs w:val="21"/>
                    </w:rPr>
                    <w:t>远程获取和配置参数，支持远程导出和导入参数；</w:t>
                  </w:r>
                </w:p>
                <w:p>
                  <w:pPr>
                    <w:widowControl/>
                    <w:jc w:val="left"/>
                    <w:rPr>
                      <w:rFonts w:ascii="宋体" w:hAnsi="宋体" w:eastAsia="宋体" w:cs="宋体"/>
                      <w:kern w:val="0"/>
                      <w:szCs w:val="21"/>
                    </w:rPr>
                  </w:pPr>
                  <w:r>
                    <w:rPr>
                      <w:rFonts w:hint="eastAsia" w:ascii="宋体" w:hAnsi="宋体" w:eastAsia="宋体" w:cs="宋体"/>
                      <w:kern w:val="0"/>
                      <w:szCs w:val="21"/>
                    </w:rPr>
                    <w:t>远程获取系统运行状态、系统日志；</w:t>
                  </w:r>
                </w:p>
                <w:p>
                  <w:pPr>
                    <w:widowControl/>
                    <w:jc w:val="left"/>
                    <w:rPr>
                      <w:rFonts w:ascii="宋体" w:hAnsi="宋体" w:eastAsia="宋体" w:cs="宋体"/>
                      <w:kern w:val="0"/>
                      <w:szCs w:val="21"/>
                    </w:rPr>
                  </w:pPr>
                  <w:r>
                    <w:rPr>
                      <w:rFonts w:hint="eastAsia" w:ascii="宋体" w:hAnsi="宋体" w:eastAsia="宋体" w:cs="宋体"/>
                      <w:kern w:val="0"/>
                      <w:szCs w:val="21"/>
                    </w:rPr>
                    <w:t>远程重启、恢复默认配置、升级等日常维护                ★（注：提供公安部型式检测报告并加盖生产厂家公章，其中加★号项为必须满足项）                              营业执照需在有效期内且有效营业范围内，必须项</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tcBorders>
                    <w:top w:val="nil"/>
                    <w:left w:val="nil"/>
                    <w:bottom w:val="single" w:color="000000" w:sz="4" w:space="0"/>
                    <w:right w:val="single" w:color="000000" w:sz="4" w:space="0"/>
                  </w:tcBorders>
                  <w:vAlign w:val="center"/>
                </w:tcPr>
                <w:p>
                  <w:pPr>
                    <w:widowControl/>
                    <w:jc w:val="center"/>
                    <w:rPr>
                      <w:rFonts w:ascii="宋体" w:hAnsi="宋体" w:eastAsia="宋体" w:cs="宋体"/>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4</w:t>
                  </w:r>
                </w:p>
              </w:tc>
              <w:tc>
                <w:tcPr>
                  <w:tcW w:w="614" w:type="dxa"/>
                  <w:vMerge w:val="restart"/>
                  <w:tcBorders>
                    <w:top w:val="single" w:color="auto" w:sz="4" w:space="0"/>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拾音器</w:t>
                  </w:r>
                </w:p>
              </w:tc>
              <w:tc>
                <w:tcPr>
                  <w:tcW w:w="4608" w:type="dxa"/>
                  <w:tcBorders>
                    <w:top w:val="single" w:color="auto" w:sz="4" w:space="0"/>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采用进口高保真低噪音处理芯片和专用的咪头。</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14</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center"/>
                    <w:rPr>
                      <w:rFonts w:ascii="宋体" w:hAnsi="宋体" w:eastAsia="宋体" w:cs="宋体"/>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自动增益控制电路，语音纯正清晰，噪声更小。</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运用编解码技术，有效消除干扰和回音。</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独特设计的“电子噪声动态闭环抑制电路” 能彻底消除“嘶嘶”电子噪音，实现完美收音。价格低，性价比高。</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0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适合大规模安装。监听范围10-100平方米。</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3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电压：线性电源（变压器）直流9-12V   耗电电流：20MA</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频率范围：100-100KHZ    输出阻抗：600欧姆非平衡</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连线方式：红（电源正）黑（公共地）白（音频正）</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适用与海康、大华、汉邦等录像机</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5</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核心交换机</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整机性能 固化端口：≥24个10/100/1000Mbps自适应电口，≥4个1000Mbps SFP光口，最大可用端口≥28个</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xml:space="preserve">电子评标组网管理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考虑到设备的节能环保，要求采用无风扇静音设计</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配置及日志存储等简化维护和管理，配置USB端口&gt;=1个</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交换容量≥208Gbps；包转发率≥51Mpps；</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基本功能  支持RIP、OSPFv2，保留指标测试权利</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支持STP、RSTP、MSTP，MSTP实例数≥64，并保留指标测试权利  支持链路聚合组数≥32组，并保留指标测试权利</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支持4K个802.1Q VLAN，支持QinQ</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支持Super VLAN、Guest VLAN、Share VLAN、Protocol VLAN、Private VLAN，保留指标测试权利。支持IGMP v1/v2，保留指标测试权利。</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支持SP、WRR 、SP+WRR、DRR、SP+DRR等多种QoS队列，保留指标测试权利。支持DHCP Server、DHCP/BOOTP Client、DHCP Relay、DHCP Snooping，保留指标测试权利。</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96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支持ACL功能：标准IP ACL、扩展IP ACL（基于IP地址、TCP/UDP端口号的硬件ACL）、MAC扩展ACL、专家级ACL （可同时基于VLAN号、以太网类型、MAC地址、IP地址、TCP/UDP端口号、协议类型等灵活组合的硬件ACL），保留指标测试权利。</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支持可快速检测链路的通断和光纤链路的单向性，并支持端口下的环路检测功能，防止端口下因私接Hub等设备形成的环路而导致网络故障的现象。</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安全特性   支持802.1X和WEB认证计费功能，交换机端口能同时开启以上两项功能，互不冲突和制约。</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96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支持抗攻击，支持CPU限速功能，能限制非法报文对CPU的攻击，保护交换机工作的稳定性。支持ARP防欺骗功能，能够禁止非法用户的ARP欺骗报文，保护合法用户免受其害，防止合法用户的数据被窃取。</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支持端口配置IP地址过滤，ACL等，支持DHCP下的IP+MAC+端口的自动绑定；支持源IP地址防欺骗功能，支持防非法组播源功能。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支持DHCP抗攻击、ICMP抗攻击、防IP扫描攻击，支持DOS protection抗攻击功能等。支持QoS配置，实现端口限速功能，且在交换机端口启用802.1X和WEB认证功能下能正常使用，。</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99"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管理功能支持SNMPv1/v2c/、CLI(Telnet/Console)、RMON(1,2,3,9)、SSH、Syslog、NTP/SNTP 要求所投网络品牌为同一品牌，以方便管理</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6</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存储服务器</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规格 19英寸工业标准2U机架式服务器  芯片组：Intel C610芯片组</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处理器 2颗Intel Xeon E5-2609 v3（6核/1.9GHz/15M缓存）</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120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内存 2条4GB RDIMM ECC 2133 DDR4 内存，≥16条扩展插槽，≥512GB内存扩展  硬盘 3块1TB 7.2K 热插拔3.5寸SATA硬盘,最大支持8*3.5寸硬盘扩展  RAID功能 RAID500阵列卡, 支持SATA/SAS RAID 0/1/5    配件 DVD-RW光驱，USB键盘鼠标，机架安装滑动导轨</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电源 1+1冗余750W钛金电源</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网卡 ≥标配2个千兆以太网控制器，1个独享的管理端口</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I/O扩展 扩展槽最多支持≥6个PCIe 3.0接口, 5个USB接口，1个串口,2个VGA接口 ★冷却系统 支持3+1冗余热插拔系统风扇</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144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服务器管理 标配千台以上服务器节点的管理授权，IPMI 2.0，B/S架构，支持管理本地和远程的服务器，可实现服务器故障报警、批量的系统资源管理以及系统性能监控等功能；被管理的服务器无需安装代理软件；鼠标所到之处显示提示信息；跟踪服务器硬件配置变化；远程服务器控制及电源管理，并从控制台远程监控系统ID状态；高级功能：支持实现远程的iKVM管理和光驱、软驱的重定向功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厂商认证 原厂商获得中国合格评定国家认可委员会（CNAS）实验室认可证书,厂商售后服务体系通过CCCS钻石五星级认证，原厂商具备《信息安全服务资质》安全工程一级。</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服务 原厂商3年保修，原厂上架安装或系统安装服务，原厂3年故障硬盘免回收服务，原厂硬盘数据丢失拯救服务；为保证设备的可靠性服务，要求提供原厂针对本项目的授权原件和售后服务承诺函原件</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7</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服务器工作站</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处理器 Intel i5-6600四核处理器，主频≥3.3GHz，缓存≥6M </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芯片组 Intel C236及以上 内存 8G DDR4 2133MHz ECC内存*2，最大可支持64G内存 硬盘 1TB 7200rpm SATA3硬盘，最大可支持4个3.5"硬盘槽位；提供M.2硬盘槽位，并支持NVMe SSD硬盘；</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显示器 23寸液晶显示器    显卡 NVIDIA Quadro K620专业显卡（1G显存）   光驱 DVD光驱  网卡 集成千兆网卡</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587"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接口 ≧ 8个USB（6个USB 3.0）接口，串口，前置麦克风/音频接口、后置音频接口，提供VGA+2*DP视频接口 ，配置9合1读卡器，可选多功能扩展模块（支持多合一读卡器（29合1） 、IEEE1394接口、eSATA接口）；PCI槽位 配置2个PCIe Gen3.0x16、1个PCIe Gen 3.0x4（16长度）、2个PCIe Gen2.0x1；电源 250W   机箱 塔式标准机箱，内嵌式把手设计，易于搬运  后面板挂锁环：防止机器内关键部件被拆除；线锁插槽：防止机器被整机搬迁；认证3C认证、EPEAT GLOD、Energy Star、GREENGUARD认证，服务 提供三年部件及人工服务，原厂400/800技术支持，可通过网络、电话、邮件等方式提供软硬件技术支持；</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345"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8</w:t>
                  </w:r>
                </w:p>
              </w:tc>
              <w:tc>
                <w:tcPr>
                  <w:tcW w:w="614"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线材</w:t>
                  </w: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六类非屏蔽双绞线</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箱</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3</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480"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9</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机柜</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标准:符合ANSI/EIA RS-310-D、IEC297-2、DIN41491; PART1、DIN41494; PART7、 GB/T3047.2- 92标准;兼容ETSI标准.</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120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特点:高密度平板六角网孔前后门，一揽子解决机械保护、通风散热、外部观察机器运行状态三方面的使用要求;前后为圆形通风孔的上下框;外观设计（专利）高贵典雅，工艺精湛，尺寸精密，极富时代气息，为您的工程增添价值;可方便地安装图腾机柜集中配电单元（专利）；结构坚固，最大静载达800KG(带支脚）;</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可关闭的上部、下部多处走线通道，底部大走线孔尺寸可按需调整;</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可选配安装底座，达到固定机柜、底部过线、底部送冷风、防鼠的要求;高效坚固的并柜连接（专利）;前后门配高级弹力锁;齐全的可选配件.承载:静载800KG(带支架)    防护等级: IP20</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主要材料:SPCC优质冷扎钢板制作；厚度：方孔条2.0mm，安装梁1.5mm，其它1.2mm。表面处理:方孔条镀蓝锌；其余：脱脂、磷化、静电喷塑。</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570"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10</w:t>
                  </w:r>
                </w:p>
              </w:tc>
              <w:tc>
                <w:tcPr>
                  <w:tcW w:w="614"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防静电地板</w:t>
                  </w: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20</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480"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11</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不间断电源</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16KW。高输入功率＞0.95。输入电压范围：(304-478)   单相四线+地线。波形：正弦波   充电电流：91A</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套</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评标室及评标监控</w:t>
                  </w: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输入频率46-54Hz  输出频率：与市电同步，且范围可调（电池模式）电流峰值比 3:1    额定功率因数 0.8。</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过载能力：105%-125%，1分钟后转旁路；125%-1505,30秒后转旁路，1分钟后断输出；＞150%，0.5秒后转旁路。失真度：THD＜2%（线性负载）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通讯接口：RS232(可转485），干节点，智能插槽（可扩充SNMP,手机短信等多种监控方式）尺寸：248mm*500mm*616mm</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96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净重：35KG UPS电源外接电池48节VT100-12(12V100AH)尺寸（mm×mm×mm）：407×175×238  UPS电源设备需配置对应的电池及电池柜，要求UPS设备在满载的情况下断电使用时间不低于6小时供电。</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1099"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UPS电池必须采用国际知名品牌，档次不能低于美国信源，松下，汤浅，JMB等，原厂三年免费质保，蓄电池生厂家必具有（生产许可证、职业健康体系认证、ISO认证、环境管理体系认证、泰尔认证、提供蓄电池厂家入围中央政府采购网站截图并加盖公章）。</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12</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不间断电源</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4.8KW。  高输入功率＞0.99。输入电压范围：120VAC-275VAC±5V</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机房设备</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单相二线+地线。波形：正弦波   充电电流：37A</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输入频率范围46-54Hz跟随市电（市电模式）。</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输出频率：与市电同步，且范围可调（电池模式）</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电流峰值比 3:1    额定功率因数 0.8。</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过载能力：105%-125%，1分钟后转旁路；125%-1505,30秒后转旁路，1分钟后断输出；＞150%，0.5秒后转旁路。失真度：THD＜2%（线性负载）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通讯接口：RS232(可转485），干节点，智能插槽（可扩充SNMP,手机短信等多种监控方式）尺寸：240mm*500mm*460mm   净重：18KG</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UPS电源外接电池16节VT100-12(12V100AH)尺寸（mm×mm×mm）：407×175×238    UPS电源设备需配置对应的电池及电池柜，要求UPS设备在满载的情况下断电使用时间不低于6小时供电。</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1099"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UPS电池必须采用国际知名品牌，档次不能低于美国信源，松下，汤浅，JMB等，原厂三年免费质保，蓄电池生厂家必具有（生产许可证、职业健康体系认证、ISO认证、环境管理体系认证、泰尔认证、提供蓄电池厂家入围中央政府采购网站截图并加盖公章）。</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13</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机房门禁</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工作电压 12VDC    静态电流 ＜35mA负载电流 1A   </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套</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报警输出 50mA    工作温度 （-25～60）℃  工作湿度 10%～90%RH</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存储容量 500张用户卡和密码  读卡距离 20～50mm</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读卡类型 ID或EM兼容卡片  开门延时 0～99s</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开门方式 纯卡、卡加密码、卡或密码开门</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60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产品功能 门状态监视功能、布防、撤防功能、安全模式、防撬报警功能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14</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机房防雷</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1、电源一级防雷   保护级别 B级     工作电压Un（V） 220V    标称放电电流In（KA） 30KA(8/20μs)</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套</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最大放电电流Imax（KA） 60KA(8/20μs)</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电压保护水平Up(V) ≤1800V  最大持续运行电压Uc（V） 385V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响应时间（ns） ＜20ns  漏电流（μA） ≤30μA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保护模式 L-PE、N-PE (2P)劣化指示 劣化指示窗</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工作环境 温度：-40℃～+80℃，相对湿度＜95%</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外壳材料 阻燃材料  防护等级 IP20  外形尺寸 90*36*65mm</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2、电源二级防雷  保护等级 B级    最大持续工作电压Uc 275V</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标称放电电流（8/20μS）In 40kA   最大放电电流（8/20μS）Imax 80kA    电压保护水平（In）Up ≤1.75kV    响应时间tA ≤25ns    备用保险丝 125A   短路容量 25kA/50Hz</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温度范围Tu -40℃…+80℃安装接线方式/规格 并联/多股线线16mm2</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工作状态/故障指示 绿/红    外壳材料 红色强化热熔塑料,UL94-V0    安装支架 35mmDIN轨</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远程报警端子类型 开关转换触点  远程信号 AC：250V/0.5A</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遥信端子接线规格 最大1.5mm2</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防护等级 IP20    外形尺寸 90*36*65mm</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3.电源三级精细保护：保护级别 C级 D级    工作电压Un（V） 220V 220V    标称放电电流In（KA） 20KA(8/20μs) 10KA(8/20μs)</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最大放电电流Imax（KA） 40KA(8/20μs) 20KA(8/20μs)</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电压保护水平Up(V) ≤1800V ≤1200V  最大持续运行电压Uc（V） 385V 385V      响应时间（ns） ＜20ns ＜20ns</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漏电流（μA） ≤30μA ≤30μA</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保护模式 L-PE、N-PE (2P)  劣化指示 劣化指示窗</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工作环境 温度：-40℃～+80℃，相对湿度＜95%</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39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外壳材料 阻燃材料   防护等级 IP20    外形尺寸 90*36*65mm</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15</w:t>
                  </w:r>
                </w:p>
              </w:tc>
              <w:tc>
                <w:tcPr>
                  <w:tcW w:w="614"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气体消防</w:t>
                  </w: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套</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16</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安检门</w:t>
                  </w:r>
                </w:p>
              </w:tc>
              <w:tc>
                <w:tcPr>
                  <w:tcW w:w="4608" w:type="dxa"/>
                  <w:tcBorders>
                    <w:top w:val="nil"/>
                    <w:left w:val="nil"/>
                    <w:bottom w:val="nil"/>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功能描述：</w:t>
                  </w:r>
                  <w:r>
                    <w:rPr>
                      <w:rFonts w:hint="eastAsia" w:ascii="宋体" w:hAnsi="宋体" w:eastAsia="宋体" w:cs="宋体"/>
                      <w:kern w:val="0"/>
                      <w:sz w:val="20"/>
                      <w:szCs w:val="20"/>
                    </w:rPr>
                    <w:t>显示面板：高亮度LED显示通过人数和报警人数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报警设置：声光同时报警，1-25S报警时间、255级连续音量可调</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灵敏度：  区灵敏度、总体灵敏度均有255级可调</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精确定位：六个平均分布的独立探测区域划分，探测到目标物时，声光同时报警，门板两侧立柱灯直接显示报警区，能精确定位，直观显示目标物的位置。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计数功能：智能化的客流量和报警计数功能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防水设计：采用进口防水合成纤维材料，通过精密的加工工艺制作合成</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密码保护设置：具有密码保护功能，只有输入正确的密码才能修改参数，非操作人员无法改变安检门参数设置，便于管理。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安全标准：符合当前所采用的国际安全标准，采用弱磁场发射技术，对心脏起博器佩带者、孕妇、软盘、录像带等无害。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技术参数：</w:t>
                  </w:r>
                  <w:r>
                    <w:rPr>
                      <w:rFonts w:hint="eastAsia" w:ascii="宋体" w:hAnsi="宋体" w:eastAsia="宋体" w:cs="宋体"/>
                      <w:kern w:val="0"/>
                      <w:sz w:val="20"/>
                      <w:szCs w:val="20"/>
                    </w:rPr>
                    <w:t>电源：AC85V~264V/50-60HZ          功率：12W</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外型尺寸：2230mm(高)X830mm(宽)X580mm(深)</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通道尺寸：2000mm(高)X700mm(宽)X500mm(深)</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整机重量：约65kg            工作环境：-20℃- +45℃</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1560"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17</w:t>
                  </w:r>
                </w:p>
              </w:tc>
              <w:tc>
                <w:tcPr>
                  <w:tcW w:w="614"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音箱</w:t>
                  </w: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产品单元均经过严格对比及破坏性实验挑选出来的，采用了先进的分频网络，不仅最大限度的发挥了扬声器 单元效能，而且对扬声器单元进行了有效的保护，该系列为，会议，多功能厅等场所的应用带来了灵活 的系列搭配。规格： 单12寸，配置： 12″×1（LOW）+号角高音；功率： 260W/8Ω；频率响应: 50Hz-20KHz；灵敏度： 98dB单元配置：1*12‘170磁65芯’1*34芯’</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14</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1722"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18</w:t>
                  </w:r>
                </w:p>
              </w:tc>
              <w:tc>
                <w:tcPr>
                  <w:tcW w:w="614"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功放</w:t>
                  </w: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功率2*450W，阻抗8欧。功率:2*750W，阻抗4欧。桥接功率:1800W，阻抗8欧。频率响应：20Hz-20KHz总谐波失真：0.05%。尺寸：483*385*88mm1：整机的稳定性有赖于先进齐全的保护电路。 2：完美的保护电路。 3: 采用完善的温控保护电路，当机内温度达到90℃时，功放将自动切断与扬声器的连接，当温度回落到88℃功放将自动恢复并正常工作。短路保护功能，它能保证工程人员在误操作或其它意外的情况下，保护机器扬声器安全可靠地工作。</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720"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19</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效果器</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1.采用24位高性能DSP和AD/DA，48K采样频率的纯数字KTV效果器    2.专业演唱的回音和混响效果。3.特别的麦克风反馈拟制，有8级强度。</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4.麦克风输入15段参量均衡。5.音乐输入7段参量均衡。</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6.3组音频自动优先输入，背景音乐BGM功能。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7.标准5.1通道输出，每个通道均独立音箱处理能力，分别有音乐和麦克风混音、延时、压限、音量、2段EQ，极性变换的功能。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8.具有按键锁的功能。9.拥有15组用户参数设置。10.VOD点歌控制接口，无线遥控和线控功能。11.USB实时通过PC软件控制全部参数。</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12.16×2字符LED显示屏，用于显示各种参数调节的信息。</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13.麦克风效果电平音量(EFFECT VOL)旋钮。14.麦克风音量（MIC VOL）旋钮。15.音乐音量/主（MUSIC/MASTER/SAVE）旋钮</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16.返回/存储用户参数（RETURE/SAVE）按键。</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17.编辑/调用用户参数（EDIL/LOAD）按键。</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18.上移选择（UP）按键。19.下移选择（DOWN）按键。</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20.音乐（MUSIC）按键。21.主输出（MAIN）按键。</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96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22.中置、超重音输出（CEN/SW）按键。23.麦克风功能（MIC）功能按键。24.麦克风效果（EFFECT）功能按键。25.环绕输出（SUR）功能按键。26.3路麦克风输入音量调节电位器。27.3路麦克风输入插孔。</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20</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调音台</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 8/12/16单声道,3段EQ+MF</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 8/12/16个高性能话筒放大器带幻象电源开关</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3. 6组母线（立体声+编组4），三AUX发送，一个立体声返回</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4.9段立体声图形均衡器，内置DSP数字效果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5.60mm行程高精准衰减推杆电位器          6内置静噪开关电源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7.高精准三色显示输出电平  8.24-40HZ可调双声道超低音输出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9.配MP3，自带蓝牙接收，支持简，繁，英文显示，支持TD插卡，USB输入播放器       </w:t>
                  </w:r>
                </w:p>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10.精美双色水晶接键通道开关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11，配有MPS；蓝牙；USB盘；音量控制开关。还有高低音开关</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r>
            <w:tr>
              <w:trPr>
                <w:trHeight w:val="1680"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21</w:t>
                  </w:r>
                </w:p>
              </w:tc>
              <w:tc>
                <w:tcPr>
                  <w:tcW w:w="614"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无线话筒</w:t>
                  </w: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U频无线麦，LCD液晶显示，可同时显示RF/AF及自动选讯信号强度，频道、频率静音水平、等多项功能。行业首创自动人手感应专利技术，话筒离开人手静止后5秒内自动静音（任意方向，任意角度放置均可），是一款全新概念的智能化、自动化无线麦克风，·载波频段：UHF 620~950MHz；机箱规格：EIA标准1U·射频稳定度：±0.005%(-10~50℃)·振荡模式：PLL相位锁定频率合成·可切换频率数：200组·接收方式：双调谐器自动选讯，接受距离80米</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套</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22</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高拍仪</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 硬件部分    CMOS镜头，500万图像有效像素(2592X1944)。</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6</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120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伸缩拉杆，可拍摄A3/A4/A5/A6/A7幅面。金属机身构架，端庄稳重，铝合金伸缩性支杆带有A3、A4幅面刻度，精准定位各幅面扫描。  可识别 、拍摄、自动调整白平衡，自动调整曝光。8颗白光LED灯；智能补光。USB接口供电, 无需外接电源。镜头可至少270°折叠和旋转。</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67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 软件部分    快速扫描、快速抓图、一秒钟扫描存档。实物展示，动态下视频展示功能。可以将文档图像转化为Word/Excel文件。</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96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新建、删除、改名，支持多级文件夹。支持成册图片和一组图片一键转换成PDF文件，并自带PDF阅读器。生动投影展示，配合打印机行动复印。动态状态下缩放，翻转。自动裁边，自动去黑边。实现图片增加水印功能。</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7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3、 条码识别。CMOS镜头，500万有效像素；分辨率(2592X1944)，可识别 、拍摄、自动调整白平衡，自动调整曝光；手动调焦，可拍摄A3幅面；伸缩杆标有幅面刻度，精准定位各种尺寸幅面的扫描；8颗LED灯；配备按钮开关，长按可无极调控亮度；USB接口供电, 无需外接电源。节约能源，绿色环保；创新设计，镜头可旋转，270°折叠收纳。金属机身，铝合金伸缩杆。文件扫描。可扫描A3、A4、A5以及名片证件等幅面文档。一秒钟扫描并存档。实物展示，动态下视频展示功能。视频录制，可录制视频文件并存储。RGB24位真彩图像，输出支持JPG、BMP、GIF以及TIF等格式。软件为双界面设计，动态预览窗体和静态操作界面分开。预览效果更好，功能模块突出；强大目录管理功能。支持新建、删除、改名，支持多级文件夹。专业OCR功能，并支持三种导出格式。转化为Word/Excel文件。支持图片删除、导出、另存和更名等操作；支持单个或批量图片一键转换成PDF导出。屏幕录制。可录制屏幕显示内容，制成AVI文件并保存。条码识别功能。识别文件的条码并以此作为文件命名。具备水印功能。支持页面水印的添加;自动纠偏，自动去黑边；曝光度调节，图片质量调节，分辨率调节以及储存数据大小调节；幅面自由旋转；鼠标滚轮控制放大缩小，可以进行无极缩放；支持B/S和C/S软件系统的无逢集成，提供可以适合于多种语言开发的二次开发包。支持 Twain接口。投影展示、视频通讯、电子邮件和网络传真等。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23</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屏蔽器</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1、CDMA手机：  869-880 MHz2、GSM手机：   925-960MHz                    </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3</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48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3、DCS/4G: 1805-1920MHZ   4、联通、电信3G手机：2110-2145Mhz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5、移动3G手机：2010-2025MHz       6、WIFI ：2400-2484MHZ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7、缓启动时间：3秒    8、完成屏蔽时间：30秒</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9、环境温度：-40— +65°C   10、相对湿度：20-95% </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480" w:hRule="atLeast"/>
                <w:jc w:val="center"/>
              </w:trPr>
              <w:tc>
                <w:tcPr>
                  <w:tcW w:w="416" w:type="dxa"/>
                  <w:vMerge w:val="restart"/>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24</w:t>
                  </w:r>
                </w:p>
              </w:tc>
              <w:tc>
                <w:tcPr>
                  <w:tcW w:w="614"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碎纸机</w:t>
                  </w: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碎纸方式 段状    碎纸效果 4×35mm   碎纸能力 12张/次    碎纸速度 3米/分    碎纸宽度 225mm    碎纸箱容积 20L</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3</w:t>
                  </w:r>
                </w:p>
              </w:tc>
              <w:tc>
                <w:tcPr>
                  <w:tcW w:w="599"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restart"/>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产品尺寸 390×303×608mm    工作噪音 55dB</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85"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其它特性 1、采用免堵卡结构设计；</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720" w:hRule="atLeast"/>
                <w:jc w:val="center"/>
              </w:trPr>
              <w:tc>
                <w:tcPr>
                  <w:tcW w:w="416"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614"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608" w:type="dxa"/>
                  <w:tcBorders>
                    <w:top w:val="nil"/>
                    <w:left w:val="nil"/>
                    <w:bottom w:val="nil"/>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2、满负荷连续碎纸时间：40分钟以上，单张连续碎纸时间：10个小时以上；3、机器睡眠功能，机器闲置2分钟后进入睡眠状态，入纸自动唤醒；过载保护、过热保护、纸满提示；</w:t>
                  </w: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4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p>
              </w:tc>
              <w:tc>
                <w:tcPr>
                  <w:tcW w:w="599"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25"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c>
                <w:tcPr>
                  <w:tcW w:w="616" w:type="dxa"/>
                  <w:vMerge w:val="continue"/>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p>
              </w:tc>
            </w:tr>
            <w:tr>
              <w:trPr>
                <w:trHeight w:val="2520" w:hRule="atLeast"/>
                <w:jc w:val="center"/>
              </w:trPr>
              <w:tc>
                <w:tcPr>
                  <w:tcW w:w="41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25</w:t>
                  </w:r>
                </w:p>
              </w:tc>
              <w:tc>
                <w:tcPr>
                  <w:tcW w:w="614"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变声对讲设备</w:t>
                  </w:r>
                </w:p>
              </w:tc>
              <w:tc>
                <w:tcPr>
                  <w:tcW w:w="4608"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设备名称：10路变声服务器</w:t>
                  </w:r>
                  <w:r>
                    <w:rPr>
                      <w:rFonts w:hint="eastAsia" w:ascii="宋体" w:hAnsi="宋体" w:eastAsia="宋体" w:cs="宋体"/>
                      <w:kern w:val="0"/>
                      <w:sz w:val="20"/>
                      <w:szCs w:val="20"/>
                    </w:rPr>
                    <w:br/>
                  </w:r>
                  <w:r>
                    <w:rPr>
                      <w:rFonts w:hint="eastAsia" w:ascii="宋体" w:hAnsi="宋体" w:eastAsia="宋体" w:cs="宋体"/>
                      <w:kern w:val="0"/>
                      <w:sz w:val="20"/>
                      <w:szCs w:val="20"/>
                    </w:rPr>
                    <w:t>支持通话过程变声、原音录音取证。</w:t>
                  </w:r>
                  <w:r>
                    <w:rPr>
                      <w:rFonts w:hint="eastAsia" w:ascii="宋体" w:hAnsi="宋体" w:eastAsia="宋体" w:cs="宋体"/>
                      <w:kern w:val="0"/>
                      <w:sz w:val="20"/>
                      <w:szCs w:val="20"/>
                    </w:rPr>
                    <w:br/>
                  </w:r>
                  <w:r>
                    <w:rPr>
                      <w:rFonts w:hint="eastAsia" w:ascii="宋体" w:hAnsi="宋体" w:eastAsia="宋体" w:cs="宋体"/>
                      <w:kern w:val="0"/>
                      <w:sz w:val="20"/>
                      <w:szCs w:val="20"/>
                    </w:rPr>
                    <w:t>支持超级变声：几十种变声效果，想怎么变就怎么变。</w:t>
                  </w:r>
                  <w:r>
                    <w:rPr>
                      <w:rFonts w:hint="eastAsia" w:ascii="宋体" w:hAnsi="宋体" w:eastAsia="宋体" w:cs="宋体"/>
                      <w:kern w:val="0"/>
                      <w:sz w:val="20"/>
                      <w:szCs w:val="20"/>
                    </w:rPr>
                    <w:br/>
                  </w:r>
                  <w:r>
                    <w:rPr>
                      <w:rFonts w:hint="eastAsia" w:ascii="宋体" w:hAnsi="宋体" w:eastAsia="宋体" w:cs="宋体"/>
                      <w:kern w:val="0"/>
                      <w:sz w:val="20"/>
                      <w:szCs w:val="20"/>
                    </w:rPr>
                    <w:t>各变声资源互相独立：每个资源可独立设定变声效果。</w:t>
                  </w:r>
                  <w:r>
                    <w:rPr>
                      <w:rFonts w:hint="eastAsia" w:ascii="宋体" w:hAnsi="宋体" w:eastAsia="宋体" w:cs="宋体"/>
                      <w:kern w:val="0"/>
                      <w:sz w:val="20"/>
                      <w:szCs w:val="20"/>
                    </w:rPr>
                    <w:br/>
                  </w:r>
                  <w:r>
                    <w:rPr>
                      <w:rFonts w:hint="eastAsia" w:ascii="宋体" w:hAnsi="宋体" w:eastAsia="宋体" w:cs="宋体"/>
                      <w:kern w:val="0"/>
                      <w:sz w:val="20"/>
                      <w:szCs w:val="20"/>
                    </w:rPr>
                    <w:t>支持PCI总线，真正即插即用。</w:t>
                  </w:r>
                  <w:r>
                    <w:rPr>
                      <w:rFonts w:hint="eastAsia" w:ascii="宋体" w:hAnsi="宋体" w:eastAsia="宋体" w:cs="宋体"/>
                      <w:kern w:val="0"/>
                      <w:sz w:val="20"/>
                      <w:szCs w:val="20"/>
                    </w:rPr>
                    <w:br/>
                  </w:r>
                  <w:r>
                    <w:rPr>
                      <w:rFonts w:hint="eastAsia" w:ascii="宋体" w:hAnsi="宋体" w:eastAsia="宋体" w:cs="宋体"/>
                      <w:kern w:val="0"/>
                      <w:sz w:val="20"/>
                      <w:szCs w:val="20"/>
                    </w:rPr>
                    <w:t>支持CT-BUS总线，超强的卡间数据交换能力。</w:t>
                  </w:r>
                  <w:r>
                    <w:rPr>
                      <w:rFonts w:hint="eastAsia" w:ascii="宋体" w:hAnsi="宋体" w:eastAsia="宋体" w:cs="宋体"/>
                      <w:kern w:val="0"/>
                      <w:sz w:val="20"/>
                      <w:szCs w:val="20"/>
                    </w:rPr>
                    <w:br/>
                  </w:r>
                  <w:r>
                    <w:rPr>
                      <w:rFonts w:hint="eastAsia" w:ascii="宋体" w:hAnsi="宋体" w:eastAsia="宋体" w:cs="宋体"/>
                      <w:kern w:val="0"/>
                      <w:sz w:val="20"/>
                      <w:szCs w:val="20"/>
                    </w:rPr>
                    <w:t>大容量、高密度单块板卡拥有高达120路或240路的变声资源，为构建超大容量的平台提供了技术基础。</w:t>
                  </w:r>
                  <w:r>
                    <w:rPr>
                      <w:rFonts w:hint="eastAsia" w:ascii="宋体" w:hAnsi="宋体" w:eastAsia="宋体" w:cs="宋体"/>
                      <w:kern w:val="0"/>
                      <w:sz w:val="20"/>
                      <w:szCs w:val="20"/>
                    </w:rPr>
                    <w:br/>
                  </w:r>
                  <w:r>
                    <w:rPr>
                      <w:rFonts w:hint="eastAsia" w:ascii="宋体" w:hAnsi="宋体" w:eastAsia="宋体" w:cs="宋体"/>
                      <w:kern w:val="0"/>
                      <w:sz w:val="20"/>
                      <w:szCs w:val="20"/>
                    </w:rPr>
                    <w:t>采用DSP阵列，系统资源占用极低核心变声算法由DSP阵列实现，勿须占用系统资源，同时更加稳定可靠。</w:t>
                  </w:r>
                </w:p>
              </w:tc>
              <w:tc>
                <w:tcPr>
                  <w:tcW w:w="416"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套</w:t>
                  </w:r>
                </w:p>
              </w:tc>
              <w:tc>
                <w:tcPr>
                  <w:tcW w:w="416"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w:t>
                  </w:r>
                </w:p>
              </w:tc>
              <w:tc>
                <w:tcPr>
                  <w:tcW w:w="599"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25"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16" w:type="dxa"/>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619" w:hRule="atLeast"/>
                <w:jc w:val="center"/>
              </w:trPr>
              <w:tc>
                <w:tcPr>
                  <w:tcW w:w="416" w:type="dxa"/>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26</w:t>
                  </w:r>
                </w:p>
              </w:tc>
              <w:tc>
                <w:tcPr>
                  <w:tcW w:w="614"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电话</w:t>
                  </w:r>
                </w:p>
              </w:tc>
              <w:tc>
                <w:tcPr>
                  <w:tcW w:w="4608"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16"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台</w:t>
                  </w:r>
                </w:p>
              </w:tc>
              <w:tc>
                <w:tcPr>
                  <w:tcW w:w="416"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5</w:t>
                  </w:r>
                </w:p>
              </w:tc>
              <w:tc>
                <w:tcPr>
                  <w:tcW w:w="599"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25"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616"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r>
              <w:trPr>
                <w:trHeight w:val="619" w:hRule="atLeast"/>
                <w:jc w:val="center"/>
              </w:trPr>
              <w:tc>
                <w:tcPr>
                  <w:tcW w:w="416" w:type="dxa"/>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614"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合计</w:t>
                  </w:r>
                </w:p>
              </w:tc>
              <w:tc>
                <w:tcPr>
                  <w:tcW w:w="4608"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416" w:type="dxa"/>
                  <w:tcBorders>
                    <w:top w:val="nil"/>
                    <w:left w:val="nil"/>
                    <w:bottom w:val="single" w:color="000000" w:sz="4" w:space="0"/>
                    <w:right w:val="single" w:color="000000" w:sz="4" w:space="0"/>
                  </w:tcBorders>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99"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625" w:type="dxa"/>
                  <w:tcBorders>
                    <w:top w:val="nil"/>
                    <w:left w:val="nil"/>
                    <w:bottom w:val="single" w:color="000000" w:sz="4" w:space="0"/>
                    <w:right w:val="single" w:color="000000" w:sz="4" w:space="0"/>
                  </w:tcBorders>
                  <w:vAlign w:val="center"/>
                </w:tcPr>
                <w:p>
                  <w:pPr>
                    <w:widowControl/>
                    <w:jc w:val="right"/>
                    <w:rPr>
                      <w:rFonts w:ascii="宋体" w:hAnsi="宋体" w:eastAsia="宋体" w:cs="宋体"/>
                      <w:b/>
                      <w:bCs/>
                      <w:kern w:val="0"/>
                      <w:sz w:val="20"/>
                      <w:szCs w:val="20"/>
                    </w:rPr>
                  </w:pPr>
                </w:p>
              </w:tc>
              <w:tc>
                <w:tcPr>
                  <w:tcW w:w="616" w:type="dxa"/>
                  <w:tcBorders>
                    <w:top w:val="nil"/>
                    <w:left w:val="nil"/>
                    <w:bottom w:val="single" w:color="000000" w:sz="4" w:space="0"/>
                    <w:right w:val="single" w:color="000000" w:sz="4" w:space="0"/>
                  </w:tcBorders>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r>
          </w:tbl>
          <w:p>
            <w:pPr>
              <w:spacing w:line="480" w:lineRule="exact"/>
              <w:rPr>
                <w:rFonts w:ascii="仿宋" w:hAnsi="仿宋" w:eastAsia="仿宋" w:cs="仿宋"/>
                <w:sz w:val="28"/>
                <w:szCs w:val="28"/>
              </w:rPr>
            </w:pPr>
            <w:r>
              <w:rPr>
                <w:rFonts w:hint="eastAsia" w:ascii="仿宋" w:hAnsi="仿宋" w:eastAsia="仿宋" w:cs="仿宋"/>
                <w:sz w:val="28"/>
                <w:szCs w:val="28"/>
              </w:rPr>
              <w:t>四、供应商资格要求：</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1、符合《政府采购法》第二十二条规定的条件；</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（1）具有独立承担民事责任的能力；</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（2）具有良好的商业信誉和健全的财务会计制度；</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（3）具有履行合同所必需的设备和专业技术能力；</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（4）有依法缴纳税收和社会保障资金的良好记录；</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（6）法律、行政法规规定的其他条件。</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公司、企业住所地或者业务发生地检察机关出具的行贿犯罪档案查询结果证明(检察机关现场出具的书面告知函或网上下载的彩色查询告知函)。</w:t>
            </w:r>
          </w:p>
          <w:p>
            <w:pPr>
              <w:spacing w:line="480" w:lineRule="exact"/>
              <w:rPr>
                <w:rFonts w:ascii="仿宋" w:hAnsi="仿宋" w:eastAsia="仿宋" w:cs="仿宋"/>
                <w:sz w:val="28"/>
                <w:szCs w:val="28"/>
              </w:rPr>
            </w:pPr>
            <w:r>
              <w:rPr>
                <w:rFonts w:hint="eastAsia" w:ascii="仿宋" w:hAnsi="仿宋" w:eastAsia="仿宋" w:cs="仿宋"/>
                <w:sz w:val="28"/>
                <w:szCs w:val="28"/>
              </w:rPr>
              <w:t>五、采购文件发售信息</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1、本项目询价文件可以自询价公告发出之日起通过《河南省政府采购网》或《温县公共资源交易中心网》或《河南省公共服务平台网》网站下载方式获取。如有补遗网上另行通知，相应顺延开标时间。</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2、询价文件出售事宜：开标现场以现金方式缴纳询价文件费</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3、询价文件出售方式：自行下载方式获取（本询价公告即询价文件）。</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4、询价文件出售时间:2016年9月13日9时00分— 2016年9月18日18时00分止。</w:t>
            </w:r>
            <w:r>
              <w:rPr>
                <w:rFonts w:hint="eastAsia" w:ascii="仿宋" w:hAnsi="仿宋" w:eastAsia="仿宋"/>
                <w:sz w:val="28"/>
                <w:szCs w:val="28"/>
              </w:rPr>
              <w:t>（节假日除外）</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5、询价文件售价：300元/份。</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六、采购文件接收信息</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1、询价文件接收截止时间：</w:t>
            </w:r>
            <w:r>
              <w:rPr>
                <w:rFonts w:hint="eastAsia" w:ascii="仿宋" w:hAnsi="仿宋" w:eastAsia="仿宋" w:cs="仿宋"/>
                <w:color w:val="auto"/>
                <w:sz w:val="28"/>
                <w:szCs w:val="28"/>
              </w:rPr>
              <w:t>2016年9月19日9时30分 </w:t>
            </w:r>
            <w:r>
              <w:rPr>
                <w:rFonts w:ascii="仿宋" w:hAnsi="仿宋" w:eastAsia="仿宋" w:cs="仿宋"/>
                <w:color w:val="auto"/>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2、询价文件接受地点：温县公共资源交易中心三楼开标厅（温县黄河西路366号）</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3、询价响应文件相关要求：</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（1）内容：应包含报价单、法定代表人或负责人证明及身份证复印件（或法定代表人授权委托书及被授权人身份证复印件）均加盖公章、资格审查资料（加盖公章的复印件）等。</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（2）报价文件需提供正本壹份、副本肆份，分别装订成册，且须单位法定代表人或其委托人签署。</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（3）报价文件应装入封袋密封并加盖公章，封面注明项目名称、供货商名称、地址。</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 （4）其他有关事项</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1、营业执照（副本）、税务登记证（副本）、组织机构代码证（或三证合一的营业执照）</w:t>
            </w:r>
            <w:r>
              <w:rPr>
                <w:rFonts w:hint="eastAsia" w:ascii="仿宋" w:hAnsi="仿宋" w:eastAsia="仿宋" w:cs="仿宋"/>
                <w:color w:val="FF0000"/>
                <w:sz w:val="28"/>
                <w:szCs w:val="28"/>
              </w:rPr>
              <w:t>、</w:t>
            </w:r>
            <w:r>
              <w:rPr>
                <w:rFonts w:hint="eastAsia" w:ascii="仿宋" w:hAnsi="仿宋" w:eastAsia="仿宋" w:cs="仿宋"/>
                <w:sz w:val="28"/>
                <w:szCs w:val="28"/>
              </w:rPr>
              <w:t>法定代表人授权委托书原件、公司、企业住所地或者业务发生地检察机关出具的行贿犯罪档案查询结果证明、参加政府采购活动前三年内无重大违法记录的书面声明、 询价保证金凭证、报价单、依法缴纳税收的证明、依法缴纳社会保障资金的证明、</w:t>
            </w:r>
            <w:r>
              <w:rPr>
                <w:rFonts w:hint="eastAsia" w:ascii="仿宋" w:hAnsi="仿宋" w:eastAsia="仿宋" w:cs="仿宋"/>
                <w:bCs/>
                <w:sz w:val="28"/>
                <w:szCs w:val="28"/>
              </w:rPr>
              <w:t>财务报告或财务报表等加盖公章的复印件</w:t>
            </w:r>
            <w:r>
              <w:rPr>
                <w:rFonts w:hint="eastAsia" w:ascii="仿宋" w:hAnsi="仿宋" w:eastAsia="仿宋" w:cs="仿宋"/>
                <w:sz w:val="28"/>
                <w:szCs w:val="28"/>
              </w:rPr>
              <w:t>；（备注：开标时</w:t>
            </w:r>
            <w:r>
              <w:rPr>
                <w:rFonts w:hint="eastAsia" w:ascii="仿宋" w:hAnsi="仿宋" w:eastAsia="仿宋" w:cs="仿宋"/>
                <w:bCs/>
                <w:sz w:val="28"/>
                <w:szCs w:val="28"/>
              </w:rPr>
              <w:t>，应携带上述有关证书原件及加盖公章的复印件</w:t>
            </w:r>
            <w:r>
              <w:rPr>
                <w:rFonts w:hint="eastAsia" w:ascii="仿宋" w:hAnsi="仿宋" w:eastAsia="仿宋" w:cs="仿宋"/>
                <w:sz w:val="28"/>
                <w:szCs w:val="28"/>
              </w:rPr>
              <w:t>）。</w:t>
            </w:r>
          </w:p>
          <w:p>
            <w:pPr>
              <w:spacing w:line="480" w:lineRule="exact"/>
              <w:ind w:firstLine="140" w:firstLineChars="50"/>
              <w:rPr>
                <w:rFonts w:ascii="仿宋" w:hAnsi="仿宋" w:eastAsia="仿宋" w:cs="仿宋"/>
                <w:sz w:val="28"/>
                <w:szCs w:val="28"/>
              </w:rPr>
            </w:pPr>
            <w:r>
              <w:rPr>
                <w:rFonts w:hint="eastAsia" w:ascii="仿宋" w:hAnsi="仿宋" w:eastAsia="仿宋" w:cs="仿宋"/>
                <w:sz w:val="28"/>
                <w:szCs w:val="28"/>
              </w:rPr>
              <w:t>2、询价保证金：保证金的金额4000.00元整；保证金的形式：企业账户转帐。</w:t>
            </w:r>
          </w:p>
          <w:p>
            <w:pPr>
              <w:spacing w:line="480" w:lineRule="exact"/>
              <w:rPr>
                <w:rFonts w:ascii="仿宋" w:hAnsi="仿宋" w:eastAsia="仿宋" w:cs="仿宋"/>
                <w:sz w:val="28"/>
                <w:szCs w:val="28"/>
              </w:rPr>
            </w:pPr>
            <w:r>
              <w:rPr>
                <w:rFonts w:hint="eastAsia" w:ascii="仿宋" w:hAnsi="仿宋" w:eastAsia="仿宋" w:cs="仿宋"/>
                <w:sz w:val="28"/>
                <w:szCs w:val="28"/>
              </w:rPr>
              <w:t>开    户：中国邮政储蓄银行有限责任公司温县温泉路支行</w:t>
            </w:r>
          </w:p>
          <w:p>
            <w:pPr>
              <w:spacing w:line="480" w:lineRule="exact"/>
              <w:rPr>
                <w:rFonts w:ascii="仿宋" w:hAnsi="仿宋" w:eastAsia="仿宋" w:cs="仿宋"/>
                <w:sz w:val="28"/>
                <w:szCs w:val="28"/>
              </w:rPr>
            </w:pPr>
            <w:r>
              <w:rPr>
                <w:rFonts w:hint="eastAsia" w:ascii="仿宋" w:hAnsi="仿宋" w:eastAsia="仿宋" w:cs="仿宋"/>
                <w:sz w:val="28"/>
                <w:szCs w:val="28"/>
              </w:rPr>
              <w:t>开户单位：温县财政国库支付中心公共资源交易专户</w:t>
            </w:r>
          </w:p>
          <w:p>
            <w:pPr>
              <w:spacing w:line="480" w:lineRule="exact"/>
              <w:rPr>
                <w:rFonts w:ascii="仿宋" w:hAnsi="仿宋" w:eastAsia="仿宋" w:cs="仿宋"/>
                <w:sz w:val="28"/>
                <w:szCs w:val="28"/>
              </w:rPr>
            </w:pPr>
            <w:r>
              <w:rPr>
                <w:rFonts w:hint="eastAsia" w:ascii="仿宋" w:hAnsi="仿宋" w:eastAsia="仿宋" w:cs="仿宋"/>
                <w:sz w:val="28"/>
                <w:szCs w:val="28"/>
              </w:rPr>
              <w:t>账    号：100435110440010001</w:t>
            </w:r>
          </w:p>
          <w:p>
            <w:pPr>
              <w:spacing w:line="480" w:lineRule="exact"/>
              <w:rPr>
                <w:rFonts w:ascii="仿宋" w:hAnsi="仿宋" w:eastAsia="仿宋" w:cs="仿宋"/>
                <w:sz w:val="28"/>
                <w:szCs w:val="28"/>
              </w:rPr>
            </w:pPr>
            <w:r>
              <w:rPr>
                <w:rFonts w:hint="eastAsia" w:ascii="仿宋" w:hAnsi="仿宋" w:eastAsia="仿宋" w:cs="仿宋"/>
                <w:sz w:val="28"/>
                <w:szCs w:val="28"/>
              </w:rPr>
              <w:t>递交时间：响应人必须于</w:t>
            </w:r>
            <w:r>
              <w:rPr>
                <w:rFonts w:hint="eastAsia" w:ascii="仿宋" w:hAnsi="仿宋" w:eastAsia="仿宋" w:cs="仿宋"/>
                <w:color w:val="auto"/>
                <w:sz w:val="28"/>
                <w:szCs w:val="28"/>
              </w:rPr>
              <w:t>2016年9月18日16时前</w:t>
            </w:r>
            <w:r>
              <w:rPr>
                <w:rFonts w:hint="eastAsia" w:ascii="仿宋" w:hAnsi="仿宋" w:eastAsia="仿宋" w:cs="仿宋"/>
                <w:sz w:val="28"/>
                <w:szCs w:val="28"/>
              </w:rPr>
              <w:t>，交至指定账户，以实际到账时间为准（注意1、附言请写清项目名称、项目编号2、请选择适当汇划方式，注意到账时间）。</w:t>
            </w:r>
          </w:p>
          <w:p>
            <w:pPr>
              <w:spacing w:line="480" w:lineRule="exact"/>
              <w:rPr>
                <w:rFonts w:ascii="仿宋" w:hAnsi="仿宋" w:eastAsia="仿宋" w:cs="仿宋"/>
                <w:sz w:val="28"/>
                <w:szCs w:val="28"/>
              </w:rPr>
            </w:pPr>
            <w:r>
              <w:rPr>
                <w:rFonts w:hint="eastAsia" w:ascii="仿宋" w:hAnsi="仿宋" w:eastAsia="仿宋" w:cs="仿宋"/>
                <w:sz w:val="28"/>
                <w:szCs w:val="28"/>
              </w:rPr>
              <w:t>未按本规定和要求提交保证金的，采购人有权拒收其文件；</w:t>
            </w:r>
          </w:p>
          <w:p>
            <w:pPr>
              <w:spacing w:line="480" w:lineRule="exact"/>
              <w:rPr>
                <w:rFonts w:ascii="仿宋" w:hAnsi="仿宋" w:eastAsia="仿宋" w:cs="仿宋"/>
                <w:sz w:val="28"/>
                <w:szCs w:val="28"/>
              </w:rPr>
            </w:pPr>
            <w:r>
              <w:rPr>
                <w:rFonts w:hint="eastAsia" w:ascii="仿宋" w:hAnsi="仿宋" w:eastAsia="仿宋" w:cs="仿宋"/>
                <w:sz w:val="28"/>
                <w:szCs w:val="28"/>
              </w:rPr>
              <w:t>未成交供应商的保证金在发出中标通知书后五个工作日内无息全额退还；在提交询价响应文件截止时间前，对所提交的响应文件进行补充、修改或者撤回，未书面通知采购人、采购代理机构的，询价保证金不予退回，上交县国库。</w:t>
            </w:r>
          </w:p>
          <w:p>
            <w:pPr>
              <w:spacing w:line="480" w:lineRule="exact"/>
              <w:rPr>
                <w:rFonts w:ascii="仿宋" w:hAnsi="仿宋" w:eastAsia="仿宋" w:cs="仿宋"/>
                <w:sz w:val="28"/>
                <w:szCs w:val="28"/>
              </w:rPr>
            </w:pPr>
            <w:r>
              <w:rPr>
                <w:rFonts w:hint="eastAsia" w:ascii="仿宋" w:hAnsi="仿宋" w:eastAsia="仿宋" w:cs="仿宋"/>
                <w:sz w:val="28"/>
                <w:szCs w:val="28"/>
              </w:rPr>
              <w:t>七、询价开标时间及地点</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1、询价开标时间：</w:t>
            </w:r>
            <w:bookmarkStart w:id="0" w:name="_GoBack"/>
            <w:r>
              <w:rPr>
                <w:rFonts w:hint="eastAsia" w:ascii="仿宋" w:hAnsi="仿宋" w:eastAsia="仿宋" w:cs="仿宋"/>
                <w:color w:val="auto"/>
                <w:sz w:val="28"/>
                <w:szCs w:val="28"/>
              </w:rPr>
              <w:t>2016年9月19日9时30分</w:t>
            </w:r>
            <w:bookmarkEnd w:id="0"/>
            <w:r>
              <w:rPr>
                <w:rFonts w:ascii="仿宋" w:hAnsi="仿宋" w:eastAsia="仿宋" w:cs="仿宋"/>
                <w:color w:val="FF0000"/>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2、询价开标地点：温县公共资源交易中心三楼开标厅</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3、投标总报价包含成本、运输、税金、培训、安装调试及正常使用之前等一切与之相关费用，交货地点为用户指定地点。</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4、本次采购是一次性报价，不接受递交报价文件后对报价的修改，须提交一式伍份的报价文件。</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八、询价会程序</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1、宣布会议纪律</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2、介绍出席开标会议的采购人与监督代表及供应商</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3、供应商互验密封情况；投标人超过5家的抽取三家投标单位查验投标文件的密封情况。</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4、唱标</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九、组建询价小组</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询价小组由采购人代表1人和有关技术、经济等方面的专家2人共3人组成。</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1、评审工作由采购人或采购代理机构负责组织，具体评审事务由采购人或采购代理机构依法组建的询价小组负责，并独立履行下列职责：</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（1）审查询价响应性文件是否符合询价文件要求，并作出评价；</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（2）推荐成交候选供应商名单，或者受采购人委托按照事先确定的办法直接确定成交供应商；</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（3）向采购单位或者有关部门报告非法干预评审工作的行为。</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2、询价小组成员应当履行下列义务：</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（1）遵纪守法，客观、公正、廉洁地履行职责；</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（2）按照询价文件规定的方法和标准进行评审，对评审意见承担个人责任；</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（3）对评审过程和结果，以及供应商的商业秘密保密；</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（4）参与评审报告的起草；</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（5）配合财政部门的投诉处理工作；</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（6）配合采购单位答复参与供应商提出的质疑。</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十、纪律和监督</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1、对采购人的纪律要求。采购人不得泄漏招标投标活动中应当保密的情况和资料，不得与供应商串通损害国家利益、社会公共利益或者他人合法权益。</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对供应商的纪律要求。供应商不得相互串通投标或者与采购人串通投标，不得向采购人或者评标委员会成员行贿谋取中标，不得以他人名义投标或者以其他方式弄虚作假骗取中标；供应商不得以任何方式干扰、影响评标工作。</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对询价小组成员的纪律要求。询价小组成员不得收受他人的财物或者其他好处，不得向他人透露对投标文件的评审和比较、成交候选人的推荐情况以及询价有关的其他情况。在评标活动中，询价小组成员不得擅离职守，影响询价程序正常进行。</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十一、评审办法：最低评标价法</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这里的最低评标价法，是指以价格为主要因素确定中标候选供应商的评标方法，即在全部满足招标文件实质性要求前提下，依据统一的价格要素评定最低报价，以提出最低报价的供应商作为中标候选供应商。</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十二、评审：</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被询价的供应商只能一次报出不得更改的价格，并对询价文件所列出的全部商务、技术要求做出响应。询价小组将全部满足询价文件实质性要求的供应商的报价由低到高排列供应商顺序，报价相同的，按技术指标优劣顺序排列。</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十三、在询价过程中有以下情形之一的，按无效投标处理：</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1、询价文件逾期送达的或者未送达指定地点的；</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2、未按询价文件签署、盖章和密封的；</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3、技术参数出现重大负偏离的；</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4、未提交询价文件资料费和保证金的；</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5、资质证件不齐或无效的；</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6、不符合法律、法规和文件中规定的其他实质性要求的。</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十四、确定成交供应商</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询价小组按照询价文件中的评审和方法，对各个响应性询价文件进行评审和比较，独立、客观、公正地填写评审意见，推荐或确定成交供应商。</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十五、采购结果公告</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成交供应商确定后，采购代理机构应将采购结果在原询价公告发布媒体进行公告。</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十六、发放成交通知书</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在发布采购结果公告的同时，采购代理机构应当向成交供应商发出成交通知书。</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十七、合同签订</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采购人或者采购代理机构应当自成交通知书发出之日起30日内，按照询价文件和成交供应商递交的询价响应性文件的约定，与成交供应商签订书面合同。所签订的合同不得对询价文件和询价响应性文件作实质性修改。并在合同签订后七个工作日内将合同副本报县财政部门政府采购管理办公室和温县公共资源交易中心备案。</w:t>
            </w:r>
            <w:r>
              <w:rPr>
                <w:rFonts w:ascii="仿宋" w:hAnsi="仿宋" w:eastAsia="仿宋" w:cs="仿宋"/>
                <w:sz w:val="28"/>
                <w:szCs w:val="28"/>
              </w:rPr>
              <w:t xml:space="preserve"> </w:t>
            </w:r>
          </w:p>
          <w:p>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采购单位不得向成交供应商提出任何不合理的要求，作为签订合同的条件，不得与成交供应商私下订立背离合同实质性内容的协议。</w:t>
            </w:r>
          </w:p>
          <w:p>
            <w:pPr>
              <w:spacing w:line="440" w:lineRule="exact"/>
              <w:ind w:firstLine="420" w:firstLineChars="150"/>
              <w:rPr>
                <w:rFonts w:ascii="仿宋" w:hAnsi="仿宋" w:eastAsia="仿宋"/>
                <w:bCs/>
                <w:sz w:val="28"/>
                <w:szCs w:val="28"/>
              </w:rPr>
            </w:pPr>
            <w:r>
              <w:rPr>
                <w:rFonts w:hint="eastAsia" w:ascii="仿宋" w:hAnsi="仿宋" w:eastAsia="仿宋"/>
                <w:bCs/>
                <w:sz w:val="28"/>
                <w:szCs w:val="28"/>
              </w:rPr>
              <w:t>2、交货期：</w:t>
            </w:r>
          </w:p>
          <w:p>
            <w:pPr>
              <w:spacing w:line="440" w:lineRule="exact"/>
              <w:ind w:firstLine="560" w:firstLineChars="200"/>
              <w:rPr>
                <w:rFonts w:ascii="仿宋" w:hAnsi="仿宋" w:eastAsia="仿宋"/>
                <w:bCs/>
                <w:sz w:val="28"/>
                <w:szCs w:val="28"/>
              </w:rPr>
            </w:pPr>
            <w:r>
              <w:rPr>
                <w:rFonts w:hint="eastAsia" w:ascii="仿宋" w:hAnsi="仿宋" w:eastAsia="仿宋" w:cs="仿宋"/>
                <w:sz w:val="28"/>
                <w:szCs w:val="28"/>
              </w:rPr>
              <w:t>本项目采购的货物需安装在温县公共资源交易中心。签订合同之日起10日内完成供货、安装和联网调试工作。</w:t>
            </w:r>
            <w:r>
              <w:rPr>
                <w:rFonts w:hint="eastAsia" w:ascii="仿宋" w:hAnsi="仿宋" w:eastAsia="仿宋"/>
                <w:bCs/>
                <w:sz w:val="28"/>
                <w:szCs w:val="28"/>
              </w:rPr>
              <w:t>。</w:t>
            </w:r>
          </w:p>
          <w:p>
            <w:pPr>
              <w:spacing w:line="440" w:lineRule="exact"/>
              <w:ind w:firstLine="560" w:firstLineChars="200"/>
              <w:rPr>
                <w:rFonts w:ascii="仿宋" w:hAnsi="仿宋" w:eastAsia="仿宋"/>
                <w:bCs/>
                <w:sz w:val="28"/>
                <w:szCs w:val="28"/>
              </w:rPr>
            </w:pPr>
            <w:r>
              <w:rPr>
                <w:rFonts w:hint="eastAsia" w:ascii="仿宋" w:hAnsi="仿宋" w:eastAsia="仿宋"/>
                <w:bCs/>
                <w:sz w:val="28"/>
                <w:szCs w:val="28"/>
              </w:rPr>
              <w:t>交货时，由采购人组织人员验收，如不符合合同要求，供应商承担相应违约责任。</w:t>
            </w:r>
          </w:p>
          <w:p>
            <w:pPr>
              <w:spacing w:line="440" w:lineRule="exact"/>
              <w:ind w:firstLine="560" w:firstLineChars="200"/>
              <w:rPr>
                <w:rFonts w:ascii="仿宋" w:hAnsi="仿宋" w:eastAsia="仿宋"/>
                <w:bCs/>
                <w:sz w:val="28"/>
                <w:szCs w:val="28"/>
              </w:rPr>
            </w:pPr>
            <w:r>
              <w:rPr>
                <w:rFonts w:hint="eastAsia" w:ascii="仿宋" w:hAnsi="仿宋" w:eastAsia="仿宋"/>
                <w:bCs/>
                <w:sz w:val="28"/>
                <w:szCs w:val="28"/>
              </w:rPr>
              <w:t>3、售后服务：本项目验收之日起，成交供应商提供3年免费质保服务。严格按照招标文件提供服务，保证产品质量，售后服务提供24小时技术支持。服务期限内出现问题的，成交供应商要在1小时内及时响应，24小时内解决问题，解决不了的，须提供相应的应急和安全措施。</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4、付款方式：</w:t>
            </w:r>
            <w:r>
              <w:rPr>
                <w:rFonts w:hint="eastAsia" w:ascii="仿宋" w:hAnsi="仿宋" w:eastAsia="仿宋" w:cs="宋体"/>
                <w:sz w:val="28"/>
                <w:szCs w:val="28"/>
              </w:rPr>
              <w:t>本项目采购内容验收合格后付全部价款的95%，剩余5%作为质保金，三个月后无质量问题付清全部</w:t>
            </w:r>
            <w:r>
              <w:rPr>
                <w:rFonts w:hint="eastAsia" w:ascii="仿宋" w:hAnsi="仿宋" w:eastAsia="仿宋" w:cs="仿宋"/>
                <w:bCs/>
                <w:sz w:val="28"/>
                <w:szCs w:val="28"/>
              </w:rPr>
              <w:t>。</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5、争议的解决：双方友好协商；提请主管部门进行调解；由需方所在地人民法院诉讼管辖。</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十八、质疑和投诉</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供应商认为采购文件、采购过程和中标、成交结果使自己的权益受到损害的，可以在知道或者应知其权益受到损害之日起七个工作日内，以书面形式向采购人或采购代理机构提出质疑，否则不予受理。</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十九、投标费用：</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无论投标过程中的作法和结果如何，投标人应自行承担所有参与投标有关的全部费用，采购人和采购代理机构在任何情况下均无义务和责任承担上述费用。</w:t>
            </w:r>
            <w:r>
              <w:rPr>
                <w:rFonts w:ascii="仿宋" w:hAnsi="仿宋" w:eastAsia="仿宋" w:cs="仿宋"/>
                <w:sz w:val="28"/>
                <w:szCs w:val="28"/>
              </w:rPr>
              <w:t xml:space="preserve"> </w:t>
            </w:r>
          </w:p>
          <w:p>
            <w:pPr>
              <w:spacing w:line="480" w:lineRule="exact"/>
              <w:rPr>
                <w:rFonts w:ascii="仿宋" w:hAnsi="仿宋" w:eastAsia="仿宋" w:cs="仿宋"/>
                <w:sz w:val="28"/>
                <w:szCs w:val="28"/>
              </w:rPr>
            </w:pPr>
            <w:r>
              <w:rPr>
                <w:rFonts w:hint="eastAsia" w:ascii="仿宋" w:hAnsi="仿宋" w:eastAsia="仿宋" w:cs="仿宋"/>
                <w:sz w:val="28"/>
                <w:szCs w:val="28"/>
              </w:rPr>
              <w:t>二十、本次采购项目联系事项</w:t>
            </w:r>
            <w:r>
              <w:rPr>
                <w:rFonts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采购人：温县公共资源交易中心</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联系人：陈先生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联系电话：0391-6135062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代理机构：中科高盛咨询集团有限公司</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联系人：陈尚楠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电话：15978786479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监督单位：温县财政局</w:t>
            </w:r>
            <w:r>
              <w:rPr>
                <w:rFonts w:ascii="仿宋" w:hAnsi="仿宋" w:eastAsia="仿宋" w:cs="仿宋"/>
                <w:sz w:val="28"/>
                <w:szCs w:val="28"/>
              </w:rPr>
              <w:t xml:space="preserve"> </w:t>
            </w:r>
            <w:r>
              <w:rPr>
                <w:rFonts w:hint="eastAsia" w:ascii="仿宋" w:hAnsi="仿宋" w:eastAsia="仿宋" w:cs="仿宋"/>
                <w:sz w:val="28"/>
                <w:szCs w:val="28"/>
              </w:rPr>
              <w:t xml:space="preserve">          电话：</w:t>
            </w:r>
            <w:r>
              <w:rPr>
                <w:rFonts w:hint="eastAsia" w:ascii="宋体" w:hAnsi="宋体" w:eastAsia="宋体" w:cs="宋体"/>
                <w:sz w:val="28"/>
                <w:szCs w:val="28"/>
              </w:rPr>
              <w:t> </w:t>
            </w:r>
            <w:r>
              <w:rPr>
                <w:rFonts w:hint="eastAsia" w:ascii="仿宋" w:hAnsi="仿宋" w:eastAsia="仿宋" w:cs="仿宋"/>
                <w:sz w:val="28"/>
                <w:szCs w:val="28"/>
              </w:rPr>
              <w:t>0391-6197778</w:t>
            </w:r>
            <w:r>
              <w:rPr>
                <w:rFonts w:ascii="仿宋" w:hAnsi="仿宋" w:eastAsia="仿宋" w:cs="仿宋"/>
                <w:sz w:val="28"/>
                <w:szCs w:val="28"/>
              </w:rPr>
              <w:t xml:space="preserve"> </w:t>
            </w:r>
          </w:p>
          <w:p>
            <w:pPr>
              <w:spacing w:line="480" w:lineRule="exact"/>
              <w:ind w:firstLine="5600" w:firstLineChars="2000"/>
              <w:rPr>
                <w:rFonts w:ascii="仿宋" w:hAnsi="仿宋" w:eastAsia="仿宋" w:cs="仿宋"/>
                <w:sz w:val="28"/>
                <w:szCs w:val="28"/>
              </w:rPr>
            </w:pPr>
            <w:r>
              <w:rPr>
                <w:rFonts w:hint="eastAsia" w:ascii="仿宋" w:hAnsi="仿宋" w:eastAsia="仿宋" w:cs="仿宋"/>
                <w:sz w:val="28"/>
                <w:szCs w:val="28"/>
              </w:rPr>
              <w:t>温县公共资源交易中心</w:t>
            </w:r>
          </w:p>
          <w:p>
            <w:pPr>
              <w:pStyle w:val="31"/>
              <w:spacing w:line="480" w:lineRule="exact"/>
              <w:jc w:val="right"/>
            </w:pPr>
            <w:r>
              <w:rPr>
                <w:rFonts w:hint="eastAsia" w:ascii="宋体" w:hAnsi="宋体" w:eastAsia="宋体" w:cs="宋体"/>
              </w:rPr>
              <w:t>     </w:t>
            </w:r>
            <w:r>
              <w:rPr>
                <w:rFonts w:hint="eastAsia" w:ascii="仿宋" w:hAnsi="仿宋" w:eastAsia="仿宋" w:cs="仿宋"/>
                <w:sz w:val="28"/>
                <w:szCs w:val="28"/>
              </w:rPr>
              <w:t>2016年9月13日</w:t>
            </w:r>
          </w:p>
        </w:tc>
      </w:tr>
    </w:tbl>
    <w:p>
      <w:pPr>
        <w:rPr>
          <w:rFonts w:ascii="宋体" w:hAnsi="宋体"/>
          <w:sz w:val="28"/>
          <w:szCs w:val="28"/>
        </w:rPr>
      </w:pPr>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nhideWhenUsed="0"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8">
    <w:name w:val="Default Paragraph Font"/>
    <w:semiHidden/>
    <w:unhideWhenUsed/>
    <w:uiPriority w:val="1"/>
  </w:style>
  <w:style w:type="paragraph" w:styleId="2">
    <w:name w:val="Document Map"/>
    <w:basedOn w:val="1"/>
    <w:link w:val="33"/>
    <w:uiPriority w:val="0"/>
    <w:pPr>
      <w:shd w:val="clear" w:color="auto" w:fill="000080"/>
    </w:pPr>
    <w:rPr>
      <w:rFonts w:ascii="Times New Roman" w:hAnsi="Times New Roman" w:eastAsia="宋体" w:cs="Times New Roman"/>
      <w:sz w:val="32"/>
      <w:szCs w:val="24"/>
    </w:rPr>
  </w:style>
  <w:style w:type="paragraph" w:styleId="3">
    <w:name w:val="annotation text"/>
    <w:basedOn w:val="1"/>
    <w:link w:val="37"/>
    <w:uiPriority w:val="0"/>
    <w:pPr>
      <w:jc w:val="left"/>
    </w:pPr>
    <w:rPr>
      <w:rFonts w:ascii="Times New Roman" w:hAnsi="Times New Roman" w:eastAsia="宋体" w:cs="Times New Roman"/>
      <w:sz w:val="32"/>
      <w:szCs w:val="24"/>
    </w:rPr>
  </w:style>
  <w:style w:type="paragraph" w:styleId="4">
    <w:name w:val="Balloon Text"/>
    <w:basedOn w:val="1"/>
    <w:link w:val="34"/>
    <w:semiHidden/>
    <w:uiPriority w:val="0"/>
    <w:rPr>
      <w:rFonts w:ascii="Times New Roman" w:hAnsi="Times New Roman" w:eastAsia="仿宋_GB2312" w:cs="Times New Roman"/>
      <w:sz w:val="18"/>
      <w:szCs w:val="18"/>
    </w:rPr>
  </w:style>
  <w:style w:type="paragraph" w:styleId="5">
    <w:name w:val="footer"/>
    <w:basedOn w:val="1"/>
    <w:link w:val="36"/>
    <w:uiPriority w:val="0"/>
    <w:pPr>
      <w:tabs>
        <w:tab w:val="center" w:pos="4153"/>
        <w:tab w:val="right" w:pos="8306"/>
      </w:tabs>
      <w:snapToGrid w:val="0"/>
      <w:jc w:val="left"/>
    </w:pPr>
    <w:rPr>
      <w:rFonts w:ascii="Times New Roman" w:hAnsi="Times New Roman" w:eastAsia="宋体" w:cs="Times New Roman"/>
      <w:sz w:val="18"/>
      <w:szCs w:val="24"/>
    </w:rPr>
  </w:style>
  <w:style w:type="paragraph" w:styleId="6">
    <w:name w:val="header"/>
    <w:basedOn w:val="1"/>
    <w:link w:val="35"/>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eastAsia="宋体" w:cs="Times New Roman"/>
      <w:sz w:val="18"/>
      <w:szCs w:val="24"/>
    </w:rPr>
  </w:style>
  <w:style w:type="paragraph" w:styleId="7">
    <w:name w:val="Normal (Web)"/>
    <w:basedOn w:val="1"/>
    <w:uiPriority w:val="0"/>
    <w:pPr>
      <w:spacing w:before="100" w:beforeAutospacing="1" w:after="100" w:afterAutospacing="1"/>
      <w:jc w:val="left"/>
    </w:pPr>
    <w:rPr>
      <w:rFonts w:ascii="Times New Roman" w:hAnsi="Times New Roman" w:eastAsia="宋体" w:cs="Times New Roman"/>
      <w:kern w:val="0"/>
      <w:sz w:val="24"/>
      <w:szCs w:val="24"/>
    </w:rPr>
  </w:style>
  <w:style w:type="character" w:styleId="9">
    <w:name w:val="FollowedHyperlink"/>
    <w:basedOn w:val="8"/>
    <w:unhideWhenUsed/>
    <w:uiPriority w:val="99"/>
    <w:rPr>
      <w:color w:val="954F72"/>
      <w:u w:val="single"/>
    </w:rPr>
  </w:style>
  <w:style w:type="character" w:styleId="10">
    <w:name w:val="Hyperlink"/>
    <w:basedOn w:val="8"/>
    <w:unhideWhenUsed/>
    <w:uiPriority w:val="99"/>
    <w:rPr>
      <w:color w:val="0000FF"/>
      <w:u w:val="single"/>
    </w:rPr>
  </w:style>
  <w:style w:type="paragraph" w:customStyle="1" w:styleId="11">
    <w:name w:val="p0"/>
    <w:uiPriority w:val="0"/>
    <w:rPr>
      <w:rFonts w:ascii="Calibri" w:hAnsi="Calibri" w:eastAsia="宋体" w:cs="宋体"/>
      <w:szCs w:val="21"/>
    </w:rPr>
  </w:style>
  <w:style w:type="paragraph" w:customStyle="1" w:styleId="12">
    <w:name w:val="font5"/>
    <w:basedOn w:val="1"/>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3">
    <w:name w:val="font6"/>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4">
    <w:name w:val="xl66"/>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5">
    <w:name w:val="xl67"/>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16">
    <w:name w:val="xl68"/>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17">
    <w:name w:val="xl69"/>
    <w:basedOn w:val="1"/>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18">
    <w:name w:val="xl70"/>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19">
    <w:name w:val="xl71"/>
    <w:basedOn w:val="1"/>
    <w:uiPriority w:val="0"/>
    <w:pPr>
      <w:widowControl/>
      <w:pBdr>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0">
    <w:name w:val="xl72"/>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b/>
      <w:bCs/>
      <w:kern w:val="0"/>
      <w:sz w:val="20"/>
      <w:szCs w:val="20"/>
    </w:rPr>
  </w:style>
  <w:style w:type="paragraph" w:customStyle="1" w:styleId="21">
    <w:name w:val="xl73"/>
    <w:basedOn w:val="1"/>
    <w:uiPriority w:val="0"/>
    <w:pPr>
      <w:widowControl/>
      <w:pBdr>
        <w:right w:val="single" w:color="000000" w:sz="4" w:space="0"/>
      </w:pBdr>
      <w:spacing w:before="100" w:beforeAutospacing="1" w:after="100" w:afterAutospacing="1"/>
      <w:jc w:val="left"/>
    </w:pPr>
    <w:rPr>
      <w:rFonts w:ascii="宋体" w:hAnsi="宋体" w:eastAsia="宋体" w:cs="宋体"/>
      <w:b/>
      <w:bCs/>
      <w:kern w:val="0"/>
      <w:sz w:val="20"/>
      <w:szCs w:val="20"/>
    </w:rPr>
  </w:style>
  <w:style w:type="paragraph" w:customStyle="1" w:styleId="22">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23">
    <w:name w:val="xl75"/>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b/>
      <w:bCs/>
      <w:kern w:val="0"/>
      <w:sz w:val="20"/>
      <w:szCs w:val="20"/>
    </w:rPr>
  </w:style>
  <w:style w:type="paragraph" w:customStyle="1" w:styleId="24">
    <w:name w:val="xl76"/>
    <w:basedOn w:val="1"/>
    <w:uiPriority w:val="0"/>
    <w:pPr>
      <w:widowControl/>
      <w:pBdr>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5">
    <w:name w:val="xl77"/>
    <w:basedOn w:val="1"/>
    <w:uiPriority w:val="0"/>
    <w:pPr>
      <w:widowControl/>
      <w:pBdr>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6">
    <w:name w:val="xl78"/>
    <w:basedOn w:val="1"/>
    <w:uiPriority w:val="0"/>
    <w:pPr>
      <w:widowControl/>
      <w:pBdr>
        <w:bottom w:val="single" w:color="000000" w:sz="4" w:space="0"/>
        <w:right w:val="single" w:color="000000" w:sz="4" w:space="0"/>
      </w:pBdr>
      <w:spacing w:before="100" w:beforeAutospacing="1" w:after="100" w:afterAutospacing="1"/>
      <w:jc w:val="center"/>
    </w:pPr>
    <w:rPr>
      <w:rFonts w:ascii="宋体" w:hAnsi="宋体" w:eastAsia="宋体" w:cs="宋体"/>
      <w:kern w:val="0"/>
      <w:sz w:val="20"/>
      <w:szCs w:val="20"/>
    </w:rPr>
  </w:style>
  <w:style w:type="paragraph" w:customStyle="1" w:styleId="27">
    <w:name w:val="xl79"/>
    <w:basedOn w:val="1"/>
    <w:uiPriority w:val="0"/>
    <w:pPr>
      <w:widowControl/>
      <w:pBdr>
        <w:left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8">
    <w:name w:val="xl80"/>
    <w:basedOn w:val="1"/>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kern w:val="0"/>
      <w:sz w:val="20"/>
      <w:szCs w:val="20"/>
    </w:rPr>
  </w:style>
  <w:style w:type="paragraph" w:customStyle="1" w:styleId="29">
    <w:name w:val="xl81"/>
    <w:basedOn w:val="1"/>
    <w:uiPriority w:val="0"/>
    <w:pPr>
      <w:widowControl/>
      <w:spacing w:before="100" w:beforeAutospacing="1" w:after="100" w:afterAutospacing="1"/>
      <w:jc w:val="center"/>
    </w:pPr>
    <w:rPr>
      <w:rFonts w:ascii="宋体" w:hAnsi="宋体" w:eastAsia="宋体" w:cs="宋体"/>
      <w:b/>
      <w:bCs/>
      <w:kern w:val="0"/>
      <w:sz w:val="28"/>
      <w:szCs w:val="28"/>
    </w:rPr>
  </w:style>
  <w:style w:type="paragraph" w:customStyle="1" w:styleId="30">
    <w:name w:val="目录"/>
    <w:basedOn w:val="1"/>
    <w:uiPriority w:val="0"/>
    <w:pPr>
      <w:widowControl/>
      <w:jc w:val="center"/>
    </w:pPr>
    <w:rPr>
      <w:rFonts w:ascii="宋体" w:hAnsi="Times New Roman" w:eastAsia="Times New Roman" w:cs="Times New Roman"/>
      <w:b/>
      <w:sz w:val="36"/>
      <w:szCs w:val="24"/>
      <w:lang w:val="zh-CN"/>
    </w:rPr>
  </w:style>
  <w:style w:type="paragraph" w:customStyle="1" w:styleId="31">
    <w:name w:val="无间隔1"/>
    <w:qFormat/>
    <w:uiPriority w:val="1"/>
    <w:pPr>
      <w:widowControl w:val="0"/>
      <w:jc w:val="both"/>
    </w:pPr>
    <w:rPr>
      <w:kern w:val="2"/>
      <w:sz w:val="21"/>
      <w:szCs w:val="22"/>
    </w:rPr>
  </w:style>
  <w:style w:type="character" w:customStyle="1" w:styleId="32">
    <w:name w:val="font21"/>
    <w:basedOn w:val="8"/>
    <w:uiPriority w:val="0"/>
    <w:rPr>
      <w:rFonts w:hint="eastAsia" w:ascii="宋体" w:hAnsi="宋体" w:eastAsia="宋体" w:cs="宋体"/>
      <w:color w:val="000000"/>
      <w:sz w:val="20"/>
      <w:szCs w:val="20"/>
      <w:u w:val="none"/>
    </w:rPr>
  </w:style>
  <w:style w:type="character" w:customStyle="1" w:styleId="33">
    <w:name w:val="文档结构图 Char Char"/>
    <w:basedOn w:val="8"/>
    <w:link w:val="2"/>
    <w:uiPriority w:val="0"/>
    <w:rPr>
      <w:rFonts w:ascii="Times New Roman" w:hAnsi="Times New Roman" w:eastAsia="宋体" w:cs="Times New Roman"/>
      <w:sz w:val="32"/>
      <w:szCs w:val="24"/>
      <w:shd w:val="clear" w:color="auto" w:fill="000080"/>
    </w:rPr>
  </w:style>
  <w:style w:type="character" w:customStyle="1" w:styleId="34">
    <w:name w:val="批注框文本 Char Char"/>
    <w:basedOn w:val="8"/>
    <w:link w:val="4"/>
    <w:uiPriority w:val="0"/>
    <w:rPr>
      <w:rFonts w:ascii="Times New Roman" w:hAnsi="Times New Roman" w:eastAsia="仿宋_GB2312" w:cs="Times New Roman"/>
      <w:sz w:val="18"/>
      <w:szCs w:val="18"/>
    </w:rPr>
  </w:style>
  <w:style w:type="character" w:customStyle="1" w:styleId="35">
    <w:name w:val="页眉 Char Char"/>
    <w:basedOn w:val="8"/>
    <w:link w:val="6"/>
    <w:uiPriority w:val="0"/>
    <w:rPr>
      <w:rFonts w:ascii="Times New Roman" w:hAnsi="Times New Roman" w:eastAsia="宋体" w:cs="Times New Roman"/>
      <w:sz w:val="18"/>
      <w:szCs w:val="24"/>
    </w:rPr>
  </w:style>
  <w:style w:type="character" w:customStyle="1" w:styleId="36">
    <w:name w:val="页脚 Char Char"/>
    <w:basedOn w:val="8"/>
    <w:link w:val="5"/>
    <w:uiPriority w:val="0"/>
    <w:rPr>
      <w:rFonts w:ascii="Times New Roman" w:hAnsi="Times New Roman" w:eastAsia="宋体" w:cs="Times New Roman"/>
      <w:sz w:val="18"/>
      <w:szCs w:val="24"/>
    </w:rPr>
  </w:style>
  <w:style w:type="character" w:customStyle="1" w:styleId="37">
    <w:name w:val="批注文字 Char Char"/>
    <w:basedOn w:val="8"/>
    <w:link w:val="3"/>
    <w:uiPriority w:val="0"/>
    <w:rPr>
      <w:rFonts w:ascii="Times New Roman" w:hAnsi="Times New Roman" w:eastAsia="宋体" w:cs="Times New Roman"/>
      <w:sz w:val="32"/>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2363</Words>
  <Characters>13471</Characters>
  <Lines>112</Lines>
  <Paragraphs>31</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2016-09-08T03:21:00Z</dcterms:created>
  <dc:creator>Administrator</dc:creator>
  <cp:lastModifiedBy>Administrator</cp:lastModifiedBy>
  <cp:lastPrinted>2016-09-13T02:43:00Z</cp:lastPrinted>
  <dcterms:modified xsi:type="dcterms:W3CDTF">2016-09-13T02:54:12Z</dcterms:modified>
  <dc:title>温县公共资源交易平台采购项目询价公告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